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B6E10" w14:textId="77777777" w:rsidR="00207FD5" w:rsidRDefault="005B3F7A" w:rsidP="000C0987">
      <w:pPr>
        <w:pStyle w:val="paragraph"/>
        <w:snapToGrid w:val="0"/>
        <w:spacing w:before="0" w:beforeAutospacing="0" w:after="0" w:afterAutospacing="0" w:line="720" w:lineRule="exact"/>
        <w:jc w:val="center"/>
        <w:rPr>
          <w:rFonts w:ascii="方正小标宋_GBK" w:eastAsia="方正小标宋_GBK" w:hAnsi="仿宋"/>
          <w:color w:val="000000" w:themeColor="text1"/>
          <w:sz w:val="44"/>
          <w:szCs w:val="44"/>
        </w:rPr>
      </w:pPr>
      <w:r>
        <w:rPr>
          <w:rFonts w:ascii="方正小标宋_GBK" w:eastAsia="方正小标宋_GBK" w:hAnsi="仿宋" w:hint="eastAsia"/>
          <w:color w:val="000000" w:themeColor="text1"/>
          <w:sz w:val="44"/>
          <w:szCs w:val="44"/>
        </w:rPr>
        <w:t>南京市高标准农田工程设施管护实施意见</w:t>
      </w:r>
    </w:p>
    <w:p w14:paraId="06955A32" w14:textId="77777777" w:rsidR="00207FD5" w:rsidRDefault="005B3F7A" w:rsidP="000C0987">
      <w:pPr>
        <w:pStyle w:val="paragraph"/>
        <w:snapToGrid w:val="0"/>
        <w:spacing w:beforeLines="50" w:before="156" w:beforeAutospacing="0" w:after="0" w:afterAutospacing="0" w:line="720" w:lineRule="exact"/>
        <w:jc w:val="cente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（征求意见稿）</w:t>
      </w:r>
    </w:p>
    <w:p w14:paraId="1C5DAAB6" w14:textId="77777777" w:rsidR="00207FD5" w:rsidRDefault="005B3F7A">
      <w:pPr>
        <w:pStyle w:val="paragraph"/>
        <w:spacing w:line="56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第一章 总则</w:t>
      </w:r>
    </w:p>
    <w:p w14:paraId="77EB052E" w14:textId="77777777" w:rsidR="00207FD5" w:rsidRDefault="005B3F7A">
      <w:pPr>
        <w:pStyle w:val="paragraph"/>
        <w:snapToGrid w:val="0"/>
        <w:spacing w:before="0" w:beforeAutospacing="0" w:after="0" w:afterAutospacing="0" w:line="560" w:lineRule="exact"/>
        <w:ind w:firstLineChars="200" w:firstLine="640"/>
        <w:jc w:val="both"/>
        <w:rPr>
          <w:rFonts w:ascii="仿宋" w:eastAsia="仿宋" w:hAnsi="仿宋"/>
          <w:color w:val="000000" w:themeColor="text1"/>
          <w:sz w:val="32"/>
          <w:szCs w:val="32"/>
        </w:rPr>
      </w:pPr>
      <w:r>
        <w:rPr>
          <w:rFonts w:ascii="楷体" w:eastAsia="楷体" w:hAnsi="楷体" w:cs="Segoe UI" w:hint="eastAsia"/>
          <w:bCs/>
          <w:color w:val="000000" w:themeColor="text1"/>
          <w:sz w:val="32"/>
          <w:szCs w:val="32"/>
        </w:rPr>
        <w:t>第一条</w:t>
      </w:r>
      <w:r>
        <w:rPr>
          <w:rFonts w:ascii="仿宋" w:eastAsia="仿宋" w:hAnsi="仿宋" w:hint="eastAsia"/>
          <w:color w:val="000000" w:themeColor="text1"/>
          <w:sz w:val="32"/>
          <w:szCs w:val="32"/>
        </w:rPr>
        <w:t xml:space="preserve">  </w:t>
      </w:r>
      <w:r>
        <w:rPr>
          <w:rFonts w:ascii="Times New Roman" w:eastAsia="仿宋_GB2312" w:hAnsi="Times New Roman"/>
          <w:color w:val="000000" w:themeColor="text1"/>
          <w:sz w:val="32"/>
          <w:szCs w:val="32"/>
        </w:rPr>
        <w:t>为建立健全本市高标准农田工程设施管护机制，保障工程设施在设计使用年限内发挥应</w:t>
      </w:r>
      <w:r>
        <w:rPr>
          <w:rFonts w:ascii="Times New Roman" w:eastAsia="仿宋_GB2312" w:hAnsi="Times New Roman" w:hint="eastAsia"/>
          <w:color w:val="000000" w:themeColor="text1"/>
          <w:sz w:val="32"/>
          <w:szCs w:val="32"/>
        </w:rPr>
        <w:t>有</w:t>
      </w:r>
      <w:r>
        <w:rPr>
          <w:rFonts w:ascii="Times New Roman" w:eastAsia="仿宋_GB2312" w:hAnsi="Times New Roman"/>
          <w:color w:val="000000" w:themeColor="text1"/>
          <w:sz w:val="32"/>
          <w:szCs w:val="32"/>
        </w:rPr>
        <w:t>效益，依据《中共中央办公厅</w:t>
      </w:r>
      <w:r>
        <w:rPr>
          <w:rFonts w:ascii="Times New Roman" w:eastAsia="仿宋_GB2312" w:hAnsi="Times New Roman"/>
          <w:color w:val="000000" w:themeColor="text1"/>
          <w:sz w:val="32"/>
          <w:szCs w:val="32"/>
        </w:rPr>
        <w:t xml:space="preserve"> </w:t>
      </w:r>
      <w:r>
        <w:rPr>
          <w:rFonts w:ascii="Times New Roman" w:eastAsia="仿宋_GB2312" w:hAnsi="Times New Roman"/>
          <w:color w:val="000000" w:themeColor="text1"/>
          <w:sz w:val="32"/>
          <w:szCs w:val="32"/>
        </w:rPr>
        <w:t>国务院办公厅关于印发〈逐步把永久基本农田建成高标准农田实施方案〉的通知》《农业农村部关于印发〈高标准农田工程设施管护办法（试行）〉的通知》《江苏省人民代表大会常务委员会关于加强高标准农田建设的决定》及《江苏省高标准农田工程设施管护实施办法》（苏农</w:t>
      </w:r>
      <w:proofErr w:type="gramStart"/>
      <w:r>
        <w:rPr>
          <w:rFonts w:ascii="Times New Roman" w:eastAsia="仿宋_GB2312" w:hAnsi="Times New Roman"/>
          <w:color w:val="000000" w:themeColor="text1"/>
          <w:sz w:val="32"/>
          <w:szCs w:val="32"/>
        </w:rPr>
        <w:t>规</w:t>
      </w:r>
      <w:proofErr w:type="gramEnd"/>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2025</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4</w:t>
      </w:r>
      <w:r>
        <w:rPr>
          <w:rFonts w:ascii="Times New Roman" w:eastAsia="仿宋_GB2312" w:hAnsi="Times New Roman"/>
          <w:color w:val="000000" w:themeColor="text1"/>
          <w:sz w:val="32"/>
          <w:szCs w:val="32"/>
        </w:rPr>
        <w:t>号）等文件精神，结合我市实际，制定本实施意见。</w:t>
      </w:r>
      <w:r>
        <w:rPr>
          <w:rFonts w:ascii="Times New Roman" w:eastAsia="仿宋_GB2312" w:hAnsi="Times New Roman"/>
          <w:color w:val="000000" w:themeColor="text1"/>
          <w:sz w:val="32"/>
          <w:szCs w:val="32"/>
        </w:rPr>
        <w:t> </w:t>
      </w:r>
    </w:p>
    <w:p w14:paraId="780D38E9" w14:textId="77777777" w:rsidR="00207FD5" w:rsidRDefault="005B3F7A">
      <w:pPr>
        <w:pStyle w:val="paragraph"/>
        <w:snapToGrid w:val="0"/>
        <w:spacing w:before="0" w:beforeAutospacing="0" w:after="0" w:afterAutospacing="0" w:line="560" w:lineRule="exact"/>
        <w:ind w:firstLineChars="200" w:firstLine="640"/>
        <w:jc w:val="both"/>
        <w:rPr>
          <w:rFonts w:ascii="仿宋" w:eastAsia="仿宋" w:hAnsi="仿宋"/>
          <w:color w:val="000000" w:themeColor="text1"/>
          <w:sz w:val="32"/>
          <w:szCs w:val="32"/>
        </w:rPr>
      </w:pPr>
      <w:r>
        <w:rPr>
          <w:rFonts w:ascii="楷体" w:eastAsia="楷体" w:hAnsi="楷体" w:cs="Segoe UI" w:hint="eastAsia"/>
          <w:bCs/>
          <w:color w:val="000000" w:themeColor="text1"/>
          <w:sz w:val="32"/>
          <w:szCs w:val="32"/>
        </w:rPr>
        <w:t>第二条</w:t>
      </w:r>
      <w:r>
        <w:rPr>
          <w:rFonts w:ascii="仿宋" w:eastAsia="仿宋" w:hAnsi="仿宋" w:hint="eastAsia"/>
          <w:color w:val="000000" w:themeColor="text1"/>
          <w:sz w:val="32"/>
          <w:szCs w:val="32"/>
        </w:rPr>
        <w:t xml:space="preserve">  </w:t>
      </w:r>
      <w:r>
        <w:rPr>
          <w:rFonts w:ascii="仿宋_GB2312" w:eastAsia="仿宋_GB2312" w:hAnsi="仿宋" w:hint="eastAsia"/>
          <w:color w:val="000000" w:themeColor="text1"/>
          <w:sz w:val="32"/>
          <w:szCs w:val="32"/>
        </w:rPr>
        <w:t>本实施意见所称高标准农田工程设施管护，是指对已上图入库项目建成的田块整治、灌排设施、田间道路、机耕桥、农田防护与生态环境保护、农田输配电等工程设施（设备）开展的日常巡查、维修养护，保障其在设计年限内正常运行。</w:t>
      </w:r>
    </w:p>
    <w:p w14:paraId="74AF964C" w14:textId="77777777" w:rsidR="00207FD5" w:rsidRDefault="005B3F7A">
      <w:pPr>
        <w:pStyle w:val="paragraph"/>
        <w:spacing w:before="0" w:beforeAutospacing="0" w:after="0" w:afterAutospacing="0" w:line="560" w:lineRule="exact"/>
        <w:ind w:firstLineChars="200" w:firstLine="640"/>
        <w:jc w:val="both"/>
        <w:rPr>
          <w:rFonts w:ascii="仿宋" w:eastAsia="仿宋" w:hAnsi="仿宋"/>
          <w:color w:val="000000" w:themeColor="text1"/>
          <w:sz w:val="32"/>
          <w:szCs w:val="32"/>
        </w:rPr>
      </w:pPr>
      <w:r>
        <w:rPr>
          <w:rFonts w:ascii="楷体" w:eastAsia="楷体" w:hAnsi="楷体" w:cs="Segoe UI" w:hint="eastAsia"/>
          <w:bCs/>
          <w:color w:val="000000" w:themeColor="text1"/>
          <w:sz w:val="32"/>
          <w:szCs w:val="32"/>
        </w:rPr>
        <w:t xml:space="preserve">第三条  </w:t>
      </w:r>
      <w:r>
        <w:rPr>
          <w:rFonts w:ascii="仿宋_GB2312" w:eastAsia="仿宋_GB2312" w:hAnsi="仿宋" w:hint="eastAsia"/>
          <w:color w:val="000000" w:themeColor="text1"/>
          <w:sz w:val="32"/>
          <w:szCs w:val="32"/>
        </w:rPr>
        <w:t>建立健全在省级统一领导下的“市级督导、区级主责、街镇落实、所有权人管护、使用者参与”的多层次管护责任体系。各区应切实履行属地管理职责，强化组织保障，确保工程设施发挥效益。</w:t>
      </w:r>
    </w:p>
    <w:p w14:paraId="51165429" w14:textId="579A020A" w:rsidR="00207FD5" w:rsidRDefault="005B3F7A">
      <w:pPr>
        <w:pStyle w:val="paragraph"/>
        <w:snapToGrid w:val="0"/>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Pr>
          <w:rFonts w:ascii="楷体" w:eastAsia="楷体" w:hAnsi="楷体" w:cs="Segoe UI" w:hint="eastAsia"/>
          <w:bCs/>
          <w:color w:val="000000" w:themeColor="text1"/>
          <w:sz w:val="32"/>
          <w:szCs w:val="32"/>
        </w:rPr>
        <w:t>第四条</w:t>
      </w:r>
      <w:r>
        <w:rPr>
          <w:rFonts w:ascii="仿宋" w:eastAsia="仿宋" w:hAnsi="仿宋" w:hint="eastAsia"/>
          <w:color w:val="000000" w:themeColor="text1"/>
          <w:sz w:val="32"/>
          <w:szCs w:val="32"/>
        </w:rPr>
        <w:t xml:space="preserve">  </w:t>
      </w:r>
      <w:r>
        <w:rPr>
          <w:rFonts w:ascii="仿宋_GB2312" w:eastAsia="仿宋_GB2312" w:hAnsi="仿宋" w:hint="eastAsia"/>
          <w:color w:val="000000" w:themeColor="text1"/>
          <w:sz w:val="32"/>
          <w:szCs w:val="32"/>
        </w:rPr>
        <w:t>高标准农田建设项目应推行“管护先行”机制，未落实管护主体和管护机制的项目，不予通过竣工验收；项目</w:t>
      </w:r>
      <w:r>
        <w:rPr>
          <w:rFonts w:ascii="仿宋_GB2312" w:eastAsia="仿宋_GB2312" w:hAnsi="仿宋" w:hint="eastAsia"/>
          <w:color w:val="000000" w:themeColor="text1"/>
          <w:sz w:val="32"/>
          <w:szCs w:val="32"/>
        </w:rPr>
        <w:lastRenderedPageBreak/>
        <w:t>通过验收后，开展资产交付、登记等手续。高标准农田建设项目形成的工程设施，原则上</w:t>
      </w:r>
      <w:proofErr w:type="gramStart"/>
      <w:r>
        <w:rPr>
          <w:rFonts w:ascii="仿宋_GB2312" w:eastAsia="仿宋_GB2312" w:hAnsi="仿宋" w:hint="eastAsia"/>
          <w:color w:val="000000" w:themeColor="text1"/>
          <w:sz w:val="32"/>
          <w:szCs w:val="32"/>
        </w:rPr>
        <w:t>归项</w:t>
      </w:r>
      <w:r w:rsidR="00103019">
        <w:rPr>
          <w:rFonts w:ascii="仿宋_GB2312" w:eastAsia="仿宋_GB2312" w:hAnsi="仿宋" w:hint="eastAsia"/>
          <w:color w:val="000000" w:themeColor="text1"/>
          <w:sz w:val="32"/>
          <w:szCs w:val="32"/>
        </w:rPr>
        <w:t>目</w:t>
      </w:r>
      <w:proofErr w:type="gramEnd"/>
      <w:r w:rsidR="00103019">
        <w:rPr>
          <w:rFonts w:ascii="仿宋_GB2312" w:eastAsia="仿宋_GB2312" w:hAnsi="仿宋" w:hint="eastAsia"/>
          <w:color w:val="000000" w:themeColor="text1"/>
          <w:sz w:val="32"/>
          <w:szCs w:val="32"/>
        </w:rPr>
        <w:t>区土地所有者所有，工程设施所有权人为管护主体。项目区土地承包</w:t>
      </w:r>
      <w:r>
        <w:rPr>
          <w:rFonts w:ascii="仿宋_GB2312" w:eastAsia="仿宋_GB2312" w:hAnsi="仿宋" w:hint="eastAsia"/>
          <w:color w:val="000000" w:themeColor="text1"/>
          <w:sz w:val="32"/>
          <w:szCs w:val="32"/>
        </w:rPr>
        <w:t>经营权依法流转的，取得土地承包经营权的组织或个人，应</w:t>
      </w:r>
      <w:bookmarkStart w:id="0" w:name="_GoBack"/>
      <w:bookmarkEnd w:id="0"/>
      <w:r>
        <w:rPr>
          <w:rFonts w:ascii="仿宋_GB2312" w:eastAsia="仿宋_GB2312" w:hAnsi="仿宋" w:hint="eastAsia"/>
          <w:color w:val="000000" w:themeColor="text1"/>
          <w:sz w:val="32"/>
          <w:szCs w:val="32"/>
        </w:rPr>
        <w:t>当承担经营范围内工程设施的日常管护责任。</w:t>
      </w:r>
    </w:p>
    <w:p w14:paraId="230FB742" w14:textId="77777777" w:rsidR="00207FD5" w:rsidRDefault="005B3F7A">
      <w:pPr>
        <w:pStyle w:val="paragraph"/>
        <w:spacing w:line="56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第二章 管护职责与方式</w:t>
      </w:r>
    </w:p>
    <w:p w14:paraId="510AE534" w14:textId="77777777" w:rsidR="00207FD5" w:rsidRDefault="005B3F7A">
      <w:pPr>
        <w:pStyle w:val="paragraph"/>
        <w:snapToGrid w:val="0"/>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Pr>
          <w:rFonts w:ascii="楷体" w:eastAsia="楷体" w:hAnsi="楷体" w:cs="Segoe UI" w:hint="eastAsia"/>
          <w:bCs/>
          <w:color w:val="000000" w:themeColor="text1"/>
          <w:sz w:val="32"/>
          <w:szCs w:val="32"/>
        </w:rPr>
        <w:t>第五条</w:t>
      </w:r>
      <w:r>
        <w:rPr>
          <w:rFonts w:ascii="仿宋_GB2312" w:eastAsia="仿宋_GB2312" w:hAnsi="仿宋" w:hint="eastAsia"/>
          <w:color w:val="000000" w:themeColor="text1"/>
          <w:sz w:val="32"/>
          <w:szCs w:val="32"/>
        </w:rPr>
        <w:t xml:space="preserve">  市农业农村局负责全市高标准农田工程设施管护工作的政策指导、监督检查与绩效评价，推动管护机制创新、管护制度完善、管护能力提升。</w:t>
      </w:r>
    </w:p>
    <w:p w14:paraId="70690E9C" w14:textId="77777777" w:rsidR="00207FD5" w:rsidRDefault="005B3F7A">
      <w:pPr>
        <w:pStyle w:val="paragraph"/>
        <w:snapToGrid w:val="0"/>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Pr>
          <w:rFonts w:ascii="楷体" w:eastAsia="楷体" w:hAnsi="楷体" w:cs="Segoe UI" w:hint="eastAsia"/>
          <w:bCs/>
          <w:color w:val="000000" w:themeColor="text1"/>
          <w:sz w:val="32"/>
          <w:szCs w:val="32"/>
        </w:rPr>
        <w:t>第六条</w:t>
      </w:r>
      <w:r>
        <w:rPr>
          <w:rFonts w:ascii="仿宋_GB2312" w:eastAsia="仿宋_GB2312" w:hAnsi="仿宋" w:hint="eastAsia"/>
          <w:color w:val="000000" w:themeColor="text1"/>
          <w:sz w:val="32"/>
          <w:szCs w:val="32"/>
        </w:rPr>
        <w:t xml:space="preserve">  区农业农村主管部门负责细化本区域管护制度，会同相关部门组织落实管护经费，组织管护人员培训，强化巡查检查，指导街镇做好资产登记、管护移交、上图入库、明确日常管护单位等工作，确保工程设施得到及时有效维护。会商供电部门强化电网运行状态运行监测，建立农田输配电设施协同管护、农田排灌</w:t>
      </w:r>
      <w:proofErr w:type="gramStart"/>
      <w:r>
        <w:rPr>
          <w:rFonts w:ascii="仿宋_GB2312" w:eastAsia="仿宋_GB2312" w:hAnsi="仿宋" w:hint="eastAsia"/>
          <w:color w:val="000000" w:themeColor="text1"/>
          <w:sz w:val="32"/>
          <w:szCs w:val="32"/>
        </w:rPr>
        <w:t>用电保障</w:t>
      </w:r>
      <w:proofErr w:type="gramEnd"/>
      <w:r>
        <w:rPr>
          <w:rFonts w:ascii="仿宋_GB2312" w:eastAsia="仿宋_GB2312" w:hAnsi="仿宋" w:hint="eastAsia"/>
          <w:color w:val="000000" w:themeColor="text1"/>
          <w:sz w:val="32"/>
          <w:szCs w:val="32"/>
        </w:rPr>
        <w:t>和应急响应机制。</w:t>
      </w:r>
    </w:p>
    <w:p w14:paraId="6131D14F" w14:textId="77777777" w:rsidR="00207FD5" w:rsidRDefault="005B3F7A">
      <w:pPr>
        <w:pStyle w:val="paragraph"/>
        <w:snapToGrid w:val="0"/>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Pr>
          <w:rFonts w:ascii="楷体" w:eastAsia="楷体" w:hAnsi="楷体" w:cs="Segoe UI" w:hint="eastAsia"/>
          <w:bCs/>
          <w:color w:val="000000" w:themeColor="text1"/>
          <w:sz w:val="32"/>
          <w:szCs w:val="32"/>
        </w:rPr>
        <w:t>第七条</w:t>
      </w:r>
      <w:r>
        <w:rPr>
          <w:rFonts w:ascii="仿宋_GB2312" w:eastAsia="仿宋_GB2312" w:hAnsi="仿宋" w:hint="eastAsia"/>
          <w:color w:val="000000" w:themeColor="text1"/>
          <w:sz w:val="32"/>
          <w:szCs w:val="32"/>
        </w:rPr>
        <w:t xml:space="preserve">  街镇应当按照有关资产管理规定，及时组织所有权人完成资产登记，形成资产交付清单，办理资产交付手续。按照工程设施所有权统筹落实管护主体，明确管护要求和标准，建立健全工程设施管护档案，并及时将权属登记、管护协议、设施清单等资料报区农业农村主管部门备案。</w:t>
      </w:r>
    </w:p>
    <w:p w14:paraId="3DEF3F58" w14:textId="77777777" w:rsidR="00207FD5" w:rsidRDefault="005B3F7A">
      <w:pPr>
        <w:pStyle w:val="paragraph"/>
        <w:snapToGrid w:val="0"/>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Pr>
          <w:rFonts w:ascii="楷体" w:eastAsia="楷体" w:hAnsi="楷体" w:cs="Segoe UI" w:hint="eastAsia"/>
          <w:bCs/>
          <w:color w:val="000000" w:themeColor="text1"/>
          <w:sz w:val="32"/>
          <w:szCs w:val="32"/>
        </w:rPr>
        <w:t>第八条</w:t>
      </w:r>
      <w:r>
        <w:rPr>
          <w:rFonts w:ascii="仿宋_GB2312" w:eastAsia="仿宋_GB2312" w:hAnsi="仿宋" w:hint="eastAsia"/>
          <w:color w:val="000000" w:themeColor="text1"/>
          <w:sz w:val="32"/>
          <w:szCs w:val="32"/>
        </w:rPr>
        <w:t xml:space="preserve">  管护主体承担日常管护工作，负责工程设施的移交接收、资产登记，开展日常巡查、维修养护，加强管护人员管理，保障工程设施功能完好、运行安全。管护人员应熟悉管</w:t>
      </w:r>
      <w:r>
        <w:rPr>
          <w:rFonts w:ascii="仿宋_GB2312" w:eastAsia="仿宋_GB2312" w:hAnsi="仿宋" w:hint="eastAsia"/>
          <w:color w:val="000000" w:themeColor="text1"/>
          <w:sz w:val="32"/>
          <w:szCs w:val="32"/>
        </w:rPr>
        <w:lastRenderedPageBreak/>
        <w:t>护区域内工程设施布局、类型及管护标准，具备必要的业务技能和应急处置能力。</w:t>
      </w:r>
    </w:p>
    <w:p w14:paraId="7A9AB520" w14:textId="77777777" w:rsidR="00207FD5" w:rsidRDefault="005B3F7A">
      <w:pPr>
        <w:pStyle w:val="paragraph"/>
        <w:snapToGrid w:val="0"/>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Pr>
          <w:rFonts w:ascii="楷体" w:eastAsia="楷体" w:hAnsi="楷体" w:cs="Segoe UI" w:hint="eastAsia"/>
          <w:bCs/>
          <w:color w:val="000000" w:themeColor="text1"/>
          <w:sz w:val="32"/>
          <w:szCs w:val="32"/>
        </w:rPr>
        <w:t>第九条</w:t>
      </w:r>
      <w:r>
        <w:rPr>
          <w:rFonts w:ascii="仿宋_GB2312" w:eastAsia="仿宋_GB2312" w:hAnsi="仿宋" w:hint="eastAsia"/>
          <w:color w:val="000000" w:themeColor="text1"/>
          <w:sz w:val="32"/>
          <w:szCs w:val="32"/>
        </w:rPr>
        <w:t xml:space="preserve">  管护主体可自行组织管护，也可通过委托承担、购买服务等方式落实具体管护任务。委托第三方实施管护的，应签订管护合同，明确管护内容、人员、责任、标准、经费、期限及违约责任等。委托管护承接方应当落实具体管护人员并组织培训。</w:t>
      </w:r>
    </w:p>
    <w:p w14:paraId="3A86638A" w14:textId="77777777" w:rsidR="00207FD5" w:rsidRDefault="005B3F7A">
      <w:pPr>
        <w:pStyle w:val="paragraph"/>
        <w:snapToGrid w:val="0"/>
        <w:spacing w:before="0" w:beforeAutospacing="0" w:after="0" w:afterAutospacing="0" w:line="560" w:lineRule="exact"/>
        <w:ind w:firstLineChars="200" w:firstLine="640"/>
        <w:jc w:val="both"/>
        <w:rPr>
          <w:rFonts w:ascii="仿宋" w:eastAsia="仿宋" w:hAnsi="仿宋"/>
          <w:color w:val="000000" w:themeColor="text1"/>
          <w:sz w:val="32"/>
          <w:szCs w:val="32"/>
        </w:rPr>
      </w:pPr>
      <w:r>
        <w:rPr>
          <w:rFonts w:ascii="楷体" w:eastAsia="楷体" w:hAnsi="楷体" w:cs="Segoe UI" w:hint="eastAsia"/>
          <w:bCs/>
          <w:color w:val="000000" w:themeColor="text1"/>
          <w:sz w:val="32"/>
          <w:szCs w:val="32"/>
        </w:rPr>
        <w:t>第十条</w:t>
      </w:r>
      <w:r>
        <w:rPr>
          <w:rFonts w:ascii="仿宋_GB2312" w:eastAsia="仿宋_GB2312" w:hAnsi="仿宋" w:hint="eastAsia"/>
          <w:color w:val="000000" w:themeColor="text1"/>
          <w:sz w:val="32"/>
          <w:szCs w:val="32"/>
        </w:rPr>
        <w:t xml:space="preserve">  鼓励各区推动高标准农田工程设施纳入农村公共基础设施统一管护体系，探索城乡一体化管护路径。对专业性较强的设施，可委托专业机构维护。支持推行工程质量与管护保险，引导社会力量参与监督和风险共担。鼓励管护主体参与项目设计、施工与验收，提升工程适用性与管护基础。</w:t>
      </w:r>
    </w:p>
    <w:p w14:paraId="75B37471" w14:textId="77777777" w:rsidR="00207FD5" w:rsidRDefault="005B3F7A">
      <w:pPr>
        <w:pStyle w:val="paragraph"/>
        <w:snapToGrid w:val="0"/>
        <w:spacing w:line="56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第三章 管护内容与标准</w:t>
      </w:r>
    </w:p>
    <w:p w14:paraId="0FD8DCDA" w14:textId="77777777" w:rsidR="00207FD5" w:rsidRDefault="005B3F7A">
      <w:pPr>
        <w:pStyle w:val="paragraph"/>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Pr>
          <w:rFonts w:ascii="楷体" w:eastAsia="楷体" w:hAnsi="楷体" w:cs="Segoe UI" w:hint="eastAsia"/>
          <w:bCs/>
          <w:color w:val="000000" w:themeColor="text1"/>
          <w:sz w:val="32"/>
          <w:szCs w:val="32"/>
        </w:rPr>
        <w:t>第十一条</w:t>
      </w:r>
      <w:r>
        <w:rPr>
          <w:rFonts w:ascii="仿宋" w:eastAsia="仿宋" w:hAnsi="仿宋" w:hint="eastAsia"/>
          <w:color w:val="000000" w:themeColor="text1"/>
          <w:sz w:val="32"/>
          <w:szCs w:val="32"/>
        </w:rPr>
        <w:t xml:space="preserve">  </w:t>
      </w:r>
      <w:r>
        <w:rPr>
          <w:rFonts w:ascii="仿宋_GB2312" w:eastAsia="仿宋_GB2312" w:hAnsi="仿宋" w:hint="eastAsia"/>
          <w:color w:val="000000" w:themeColor="text1"/>
          <w:sz w:val="32"/>
          <w:szCs w:val="32"/>
        </w:rPr>
        <w:t>高标准农田工程设施管护应达到以下基本标准：</w:t>
      </w:r>
    </w:p>
    <w:p w14:paraId="5825F572" w14:textId="77777777" w:rsidR="00207FD5" w:rsidRDefault="005B3F7A">
      <w:pPr>
        <w:pStyle w:val="paragraph"/>
        <w:spacing w:before="0" w:beforeAutospacing="0" w:after="0" w:afterAutospacing="0" w:line="560" w:lineRule="exact"/>
        <w:ind w:firstLineChars="200" w:firstLine="643"/>
        <w:jc w:val="both"/>
        <w:rPr>
          <w:rFonts w:ascii="仿宋_GB2312" w:eastAsia="仿宋_GB2312" w:hAnsi="宋体" w:cs="宋体"/>
          <w:color w:val="000000" w:themeColor="text1"/>
          <w:sz w:val="32"/>
          <w:szCs w:val="32"/>
        </w:rPr>
      </w:pPr>
      <w:r>
        <w:rPr>
          <w:rFonts w:ascii="仿宋_GB2312" w:eastAsia="仿宋_GB2312" w:hAnsi="仿宋" w:hint="eastAsia"/>
          <w:b/>
          <w:color w:val="000000" w:themeColor="text1"/>
          <w:sz w:val="32"/>
          <w:szCs w:val="32"/>
        </w:rPr>
        <w:t>（一）灌排设施：</w:t>
      </w:r>
      <w:r>
        <w:rPr>
          <w:rFonts w:ascii="仿宋_GB2312" w:eastAsia="仿宋_GB2312" w:hAnsi="仿宋" w:hint="eastAsia"/>
          <w:color w:val="000000" w:themeColor="text1"/>
          <w:sz w:val="32"/>
          <w:szCs w:val="32"/>
        </w:rPr>
        <w:t>渠道、管道、泵站、水闸等保持通畅、结构完好，运行可靠；</w:t>
      </w:r>
      <w:r>
        <w:rPr>
          <w:rFonts w:ascii="仿宋_GB2312" w:eastAsia="仿宋_GB2312" w:hAnsi="宋体" w:cs="宋体" w:hint="eastAsia"/>
          <w:color w:val="000000" w:themeColor="text1"/>
          <w:sz w:val="32"/>
          <w:szCs w:val="32"/>
        </w:rPr>
        <w:t> </w:t>
      </w:r>
    </w:p>
    <w:p w14:paraId="17CF450F" w14:textId="77777777" w:rsidR="00207FD5" w:rsidRDefault="005B3F7A">
      <w:pPr>
        <w:pStyle w:val="paragraph"/>
        <w:spacing w:before="0" w:beforeAutospacing="0" w:after="0" w:afterAutospacing="0" w:line="560" w:lineRule="exact"/>
        <w:ind w:firstLineChars="200" w:firstLine="643"/>
        <w:jc w:val="both"/>
        <w:rPr>
          <w:rFonts w:ascii="仿宋_GB2312" w:eastAsia="仿宋_GB2312" w:hAnsi="仿宋"/>
          <w:color w:val="000000" w:themeColor="text1"/>
          <w:sz w:val="32"/>
          <w:szCs w:val="32"/>
        </w:rPr>
      </w:pPr>
      <w:r>
        <w:rPr>
          <w:rFonts w:ascii="仿宋_GB2312" w:eastAsia="仿宋_GB2312" w:hAnsi="仿宋" w:hint="eastAsia"/>
          <w:b/>
          <w:color w:val="000000" w:themeColor="text1"/>
          <w:sz w:val="32"/>
          <w:szCs w:val="32"/>
        </w:rPr>
        <w:t>（二）田间道路：</w:t>
      </w:r>
      <w:r>
        <w:rPr>
          <w:rFonts w:ascii="仿宋_GB2312" w:eastAsia="仿宋_GB2312" w:hAnsi="仿宋" w:hint="eastAsia"/>
          <w:color w:val="000000" w:themeColor="text1"/>
          <w:sz w:val="32"/>
          <w:szCs w:val="32"/>
        </w:rPr>
        <w:t>路面平整，路肩稳固，满足农业机械安全通行需求；</w:t>
      </w:r>
    </w:p>
    <w:p w14:paraId="5813F5E5" w14:textId="77777777" w:rsidR="00207FD5" w:rsidRDefault="005B3F7A">
      <w:pPr>
        <w:pStyle w:val="paragraph"/>
        <w:spacing w:before="0" w:beforeAutospacing="0" w:after="0" w:afterAutospacing="0" w:line="560" w:lineRule="exact"/>
        <w:ind w:firstLineChars="200" w:firstLine="643"/>
        <w:jc w:val="both"/>
        <w:rPr>
          <w:rFonts w:ascii="仿宋_GB2312" w:eastAsia="仿宋_GB2312" w:hAnsi="仿宋"/>
          <w:color w:val="000000" w:themeColor="text1"/>
          <w:sz w:val="32"/>
          <w:szCs w:val="32"/>
        </w:rPr>
      </w:pPr>
      <w:r>
        <w:rPr>
          <w:rFonts w:ascii="仿宋_GB2312" w:eastAsia="仿宋_GB2312" w:hAnsi="仿宋" w:hint="eastAsia"/>
          <w:b/>
          <w:color w:val="000000" w:themeColor="text1"/>
          <w:sz w:val="32"/>
          <w:szCs w:val="32"/>
        </w:rPr>
        <w:t>（三）机耕桥：</w:t>
      </w:r>
      <w:r>
        <w:rPr>
          <w:rFonts w:ascii="仿宋_GB2312" w:eastAsia="仿宋_GB2312" w:hAnsi="仿宋" w:hint="eastAsia"/>
          <w:color w:val="000000" w:themeColor="text1"/>
          <w:sz w:val="32"/>
          <w:szCs w:val="32"/>
        </w:rPr>
        <w:t>桥体结构安全，桥面平整，限</w:t>
      </w:r>
      <w:proofErr w:type="gramStart"/>
      <w:r>
        <w:rPr>
          <w:rFonts w:ascii="仿宋_GB2312" w:eastAsia="仿宋_GB2312" w:hAnsi="仿宋" w:hint="eastAsia"/>
          <w:color w:val="000000" w:themeColor="text1"/>
          <w:sz w:val="32"/>
          <w:szCs w:val="32"/>
        </w:rPr>
        <w:t>载标志</w:t>
      </w:r>
      <w:proofErr w:type="gramEnd"/>
      <w:r>
        <w:rPr>
          <w:rFonts w:ascii="仿宋_GB2312" w:eastAsia="仿宋_GB2312" w:hAnsi="仿宋" w:hint="eastAsia"/>
          <w:color w:val="000000" w:themeColor="text1"/>
          <w:sz w:val="32"/>
          <w:szCs w:val="32"/>
        </w:rPr>
        <w:t>清晰；</w:t>
      </w:r>
    </w:p>
    <w:p w14:paraId="5527C56A" w14:textId="77777777" w:rsidR="00207FD5" w:rsidRDefault="005B3F7A">
      <w:pPr>
        <w:pStyle w:val="paragraph"/>
        <w:spacing w:before="0" w:beforeAutospacing="0" w:after="0" w:afterAutospacing="0" w:line="560" w:lineRule="exact"/>
        <w:ind w:firstLineChars="200" w:firstLine="643"/>
        <w:jc w:val="both"/>
        <w:rPr>
          <w:rFonts w:ascii="仿宋_GB2312" w:eastAsia="仿宋_GB2312" w:hAnsi="仿宋"/>
          <w:b/>
          <w:color w:val="000000" w:themeColor="text1"/>
          <w:sz w:val="32"/>
          <w:szCs w:val="32"/>
        </w:rPr>
      </w:pPr>
      <w:r>
        <w:rPr>
          <w:rFonts w:ascii="仿宋_GB2312" w:eastAsia="仿宋_GB2312" w:hAnsi="仿宋" w:hint="eastAsia"/>
          <w:b/>
          <w:color w:val="000000" w:themeColor="text1"/>
          <w:sz w:val="32"/>
          <w:szCs w:val="32"/>
        </w:rPr>
        <w:t>（四）农田输配电：</w:t>
      </w:r>
      <w:r>
        <w:rPr>
          <w:rFonts w:ascii="仿宋_GB2312" w:eastAsia="仿宋_GB2312" w:hAnsi="仿宋" w:hint="eastAsia"/>
          <w:color w:val="000000" w:themeColor="text1"/>
          <w:sz w:val="32"/>
          <w:szCs w:val="32"/>
        </w:rPr>
        <w:t>输电线路、变配电设备及配套工程设施运行安全可靠，围栏和警示标识齐全；</w:t>
      </w:r>
    </w:p>
    <w:p w14:paraId="7CE2BDF9" w14:textId="77777777" w:rsidR="00207FD5" w:rsidRDefault="005B3F7A">
      <w:pPr>
        <w:pStyle w:val="paragraph"/>
        <w:spacing w:before="0" w:beforeAutospacing="0" w:after="0" w:afterAutospacing="0" w:line="560" w:lineRule="exact"/>
        <w:ind w:firstLineChars="200" w:firstLine="643"/>
        <w:jc w:val="both"/>
        <w:rPr>
          <w:rFonts w:ascii="仿宋_GB2312" w:eastAsia="仿宋_GB2312" w:hAnsi="仿宋"/>
          <w:color w:val="000000" w:themeColor="text1"/>
          <w:sz w:val="32"/>
          <w:szCs w:val="32"/>
        </w:rPr>
      </w:pPr>
      <w:r>
        <w:rPr>
          <w:rFonts w:ascii="仿宋_GB2312" w:eastAsia="仿宋_GB2312" w:hAnsi="仿宋" w:hint="eastAsia"/>
          <w:b/>
          <w:color w:val="000000" w:themeColor="text1"/>
          <w:sz w:val="32"/>
          <w:szCs w:val="32"/>
        </w:rPr>
        <w:t>（五）农田工程和种植状态：</w:t>
      </w:r>
      <w:r>
        <w:rPr>
          <w:rFonts w:ascii="仿宋_GB2312" w:eastAsia="仿宋_GB2312" w:hAnsi="仿宋" w:hint="eastAsia"/>
          <w:color w:val="000000" w:themeColor="text1"/>
          <w:sz w:val="32"/>
          <w:szCs w:val="32"/>
        </w:rPr>
        <w:t>农田防护林网、生态护坡、沟渠等总体完好，能够有效发挥作用。农田种植状态正常。</w:t>
      </w:r>
    </w:p>
    <w:p w14:paraId="3F8C962A" w14:textId="77777777" w:rsidR="00207FD5" w:rsidRDefault="005B3F7A">
      <w:pPr>
        <w:pStyle w:val="paragraph"/>
        <w:spacing w:before="0" w:beforeAutospacing="0" w:after="0" w:afterAutospacing="0" w:line="560" w:lineRule="exact"/>
        <w:ind w:firstLineChars="200" w:firstLine="643"/>
        <w:jc w:val="both"/>
        <w:rPr>
          <w:rFonts w:ascii="仿宋_GB2312" w:eastAsia="仿宋_GB2312" w:hAnsi="仿宋"/>
          <w:color w:val="000000" w:themeColor="text1"/>
          <w:sz w:val="32"/>
          <w:szCs w:val="32"/>
        </w:rPr>
      </w:pPr>
      <w:r>
        <w:rPr>
          <w:rFonts w:ascii="仿宋_GB2312" w:eastAsia="仿宋_GB2312" w:hAnsi="仿宋" w:hint="eastAsia"/>
          <w:b/>
          <w:color w:val="000000" w:themeColor="text1"/>
          <w:sz w:val="32"/>
          <w:szCs w:val="32"/>
        </w:rPr>
        <w:lastRenderedPageBreak/>
        <w:t>（六）其他设施：</w:t>
      </w:r>
      <w:r>
        <w:rPr>
          <w:rFonts w:ascii="仿宋_GB2312" w:eastAsia="仿宋_GB2312" w:hAnsi="仿宋" w:hint="eastAsia"/>
          <w:color w:val="000000" w:themeColor="text1"/>
          <w:sz w:val="32"/>
          <w:szCs w:val="32"/>
        </w:rPr>
        <w:t>项目标识标牌完好，相关工程的附属设施运行状态良好。</w:t>
      </w:r>
    </w:p>
    <w:p w14:paraId="7511DDDB" w14:textId="77777777" w:rsidR="00207FD5" w:rsidRDefault="005B3F7A">
      <w:pPr>
        <w:pStyle w:val="paragraph"/>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Pr>
          <w:rFonts w:ascii="楷体" w:eastAsia="楷体" w:hAnsi="楷体" w:cs="Segoe UI" w:hint="eastAsia"/>
          <w:bCs/>
          <w:color w:val="000000" w:themeColor="text1"/>
          <w:sz w:val="32"/>
          <w:szCs w:val="32"/>
        </w:rPr>
        <w:t>第十二条</w:t>
      </w:r>
      <w:r>
        <w:rPr>
          <w:rFonts w:ascii="仿宋" w:eastAsia="仿宋" w:hAnsi="仿宋" w:hint="eastAsia"/>
          <w:color w:val="000000" w:themeColor="text1"/>
          <w:sz w:val="32"/>
          <w:szCs w:val="32"/>
        </w:rPr>
        <w:t xml:space="preserve">  </w:t>
      </w:r>
      <w:r>
        <w:rPr>
          <w:rFonts w:ascii="仿宋_GB2312" w:eastAsia="仿宋_GB2312" w:hAnsi="仿宋" w:hint="eastAsia"/>
          <w:color w:val="000000" w:themeColor="text1"/>
          <w:sz w:val="32"/>
          <w:szCs w:val="32"/>
        </w:rPr>
        <w:t>管护主体应制定巡查计划，组织管护人员定期巡查，如实记录巡查情况并建立问题台账。</w:t>
      </w:r>
    </w:p>
    <w:p w14:paraId="046FFA8D" w14:textId="77777777" w:rsidR="00207FD5" w:rsidRDefault="005B3F7A">
      <w:pPr>
        <w:pStyle w:val="paragraph"/>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Pr>
          <w:rFonts w:ascii="楷体" w:eastAsia="楷体" w:hAnsi="楷体" w:cs="Segoe UI" w:hint="eastAsia"/>
          <w:bCs/>
          <w:color w:val="000000" w:themeColor="text1"/>
          <w:sz w:val="32"/>
          <w:szCs w:val="32"/>
        </w:rPr>
        <w:t>第十三条</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 xml:space="preserve"> </w:t>
      </w:r>
      <w:r>
        <w:rPr>
          <w:rFonts w:ascii="仿宋_GB2312" w:eastAsia="仿宋_GB2312" w:hAnsi="仿宋" w:hint="eastAsia"/>
          <w:color w:val="000000" w:themeColor="text1"/>
          <w:sz w:val="32"/>
          <w:szCs w:val="32"/>
        </w:rPr>
        <w:t>巡查中发现一般性问题，管护人员应及时处理；无法处理的，应逐级上报。对重大损毁或功能故障，管护主体应组织专业维修，必要时报请区农业农村主管部门协调处置。因工程质量问题导致的损坏，由建设单位依据合同约定组织修复。</w:t>
      </w:r>
    </w:p>
    <w:p w14:paraId="4FAA1186" w14:textId="77777777" w:rsidR="00207FD5" w:rsidRDefault="005B3F7A">
      <w:pPr>
        <w:pStyle w:val="paragraph"/>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Pr>
          <w:rFonts w:ascii="楷体" w:eastAsia="楷体" w:hAnsi="楷体" w:cs="Segoe UI" w:hint="eastAsia"/>
          <w:bCs/>
          <w:color w:val="000000" w:themeColor="text1"/>
          <w:sz w:val="32"/>
          <w:szCs w:val="32"/>
        </w:rPr>
        <w:t>第十四条</w:t>
      </w:r>
      <w:r>
        <w:rPr>
          <w:rFonts w:ascii="仿宋" w:eastAsia="仿宋" w:hAnsi="仿宋" w:hint="eastAsia"/>
          <w:color w:val="000000" w:themeColor="text1"/>
          <w:sz w:val="32"/>
          <w:szCs w:val="32"/>
        </w:rPr>
        <w:t xml:space="preserve">  </w:t>
      </w:r>
      <w:r>
        <w:rPr>
          <w:rFonts w:ascii="仿宋_GB2312" w:eastAsia="仿宋_GB2312" w:hAnsi="仿宋" w:hint="eastAsia"/>
          <w:color w:val="000000" w:themeColor="text1"/>
          <w:sz w:val="32"/>
          <w:szCs w:val="32"/>
        </w:rPr>
        <w:t>任何单位和个人不得擅自破坏、占用高标准农田工程设施。因人为因素损毁的，责任人须依法承担修复及赔偿责任；涉嫌违法犯罪的，移送司法机关处理。</w:t>
      </w:r>
    </w:p>
    <w:p w14:paraId="1817FE02" w14:textId="77777777" w:rsidR="00207FD5" w:rsidRDefault="005B3F7A">
      <w:pPr>
        <w:pStyle w:val="paragraph"/>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Pr>
          <w:rFonts w:ascii="楷体" w:eastAsia="楷体" w:hAnsi="楷体" w:cs="Segoe UI" w:hint="eastAsia"/>
          <w:bCs/>
          <w:color w:val="000000" w:themeColor="text1"/>
          <w:sz w:val="32"/>
          <w:szCs w:val="32"/>
        </w:rPr>
        <w:t>第十五条</w:t>
      </w:r>
      <w:r>
        <w:rPr>
          <w:rFonts w:ascii="仿宋" w:eastAsia="仿宋" w:hAnsi="仿宋" w:hint="eastAsia"/>
          <w:color w:val="000000" w:themeColor="text1"/>
          <w:sz w:val="32"/>
          <w:szCs w:val="32"/>
        </w:rPr>
        <w:t xml:space="preserve">  </w:t>
      </w:r>
      <w:r>
        <w:rPr>
          <w:rFonts w:ascii="仿宋_GB2312" w:eastAsia="仿宋_GB2312" w:hAnsi="仿宋" w:hint="eastAsia"/>
          <w:color w:val="000000" w:themeColor="text1"/>
          <w:sz w:val="32"/>
          <w:szCs w:val="32"/>
        </w:rPr>
        <w:t>各区应根据农时需要或上级部署，定期组织工程设施排查与集中维护，检查工程设施运行状况，确保正常运行和效益发挥。</w:t>
      </w:r>
    </w:p>
    <w:p w14:paraId="75DE6ECF" w14:textId="77777777" w:rsidR="00207FD5" w:rsidRDefault="005B3F7A">
      <w:pPr>
        <w:pStyle w:val="paragraph"/>
        <w:spacing w:line="56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第四章 资金保障与使用管理 </w:t>
      </w:r>
    </w:p>
    <w:p w14:paraId="5296ADE8" w14:textId="77777777" w:rsidR="00207FD5" w:rsidRDefault="005B3F7A">
      <w:pPr>
        <w:pStyle w:val="paragraph"/>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Pr>
          <w:rFonts w:ascii="楷体" w:eastAsia="楷体" w:hAnsi="楷体" w:cs="Segoe UI" w:hint="eastAsia"/>
          <w:bCs/>
          <w:color w:val="000000" w:themeColor="text1"/>
          <w:sz w:val="32"/>
          <w:szCs w:val="32"/>
        </w:rPr>
        <w:t>第十六条</w:t>
      </w:r>
      <w:r>
        <w:rPr>
          <w:rFonts w:ascii="仿宋" w:eastAsia="仿宋" w:hAnsi="仿宋" w:hint="eastAsia"/>
          <w:color w:val="000000" w:themeColor="text1"/>
          <w:sz w:val="32"/>
          <w:szCs w:val="32"/>
        </w:rPr>
        <w:t xml:space="preserve">  </w:t>
      </w:r>
      <w:r>
        <w:rPr>
          <w:rFonts w:ascii="仿宋_GB2312" w:eastAsia="仿宋_GB2312" w:hAnsi="仿宋" w:hint="eastAsia"/>
          <w:color w:val="000000" w:themeColor="text1"/>
          <w:sz w:val="32"/>
          <w:szCs w:val="32"/>
        </w:rPr>
        <w:t>各区应建立“财政资金引导、多元渠道协同”的管护资金保障机制，鼓励结合区域实际制定年均管护经费投入指导标准。</w:t>
      </w:r>
    </w:p>
    <w:p w14:paraId="22945AF5" w14:textId="77777777" w:rsidR="00207FD5" w:rsidRDefault="005B3F7A">
      <w:pPr>
        <w:pStyle w:val="paragraph"/>
        <w:spacing w:before="0" w:beforeAutospacing="0" w:after="0" w:afterAutospacing="0" w:line="560" w:lineRule="exact"/>
        <w:ind w:firstLineChars="200" w:firstLine="640"/>
        <w:jc w:val="both"/>
        <w:rPr>
          <w:rFonts w:ascii="仿宋_GB2312" w:eastAsia="仿宋_GB2312" w:hAnsi="Segoe UI" w:cs="Segoe UI"/>
          <w:color w:val="000000" w:themeColor="text1"/>
          <w:sz w:val="32"/>
          <w:szCs w:val="32"/>
        </w:rPr>
      </w:pPr>
      <w:r>
        <w:rPr>
          <w:rFonts w:ascii="楷体" w:eastAsia="楷体" w:hAnsi="楷体" w:cs="Segoe UI" w:hint="eastAsia"/>
          <w:bCs/>
          <w:color w:val="000000" w:themeColor="text1"/>
          <w:sz w:val="32"/>
          <w:szCs w:val="32"/>
        </w:rPr>
        <w:t>第十七条</w:t>
      </w:r>
      <w:r>
        <w:rPr>
          <w:rFonts w:ascii="仿宋" w:eastAsia="仿宋" w:hAnsi="仿宋" w:hint="eastAsia"/>
          <w:color w:val="000000" w:themeColor="text1"/>
          <w:sz w:val="32"/>
          <w:szCs w:val="32"/>
        </w:rPr>
        <w:t xml:space="preserve">  </w:t>
      </w:r>
      <w:r>
        <w:rPr>
          <w:rFonts w:ascii="仿宋_GB2312" w:eastAsia="仿宋_GB2312" w:hAnsi="Segoe UI" w:cs="Segoe UI" w:hint="eastAsia"/>
          <w:color w:val="000000" w:themeColor="text1"/>
          <w:sz w:val="32"/>
          <w:szCs w:val="32"/>
        </w:rPr>
        <w:t>建立健全管护经费</w:t>
      </w:r>
      <w:proofErr w:type="gramStart"/>
      <w:r>
        <w:rPr>
          <w:rFonts w:ascii="仿宋_GB2312" w:eastAsia="仿宋_GB2312" w:hAnsi="Segoe UI" w:cs="Segoe UI" w:hint="eastAsia"/>
          <w:color w:val="000000" w:themeColor="text1"/>
          <w:sz w:val="32"/>
          <w:szCs w:val="32"/>
        </w:rPr>
        <w:t>长效保障</w:t>
      </w:r>
      <w:proofErr w:type="gramEnd"/>
      <w:r>
        <w:rPr>
          <w:rFonts w:ascii="仿宋_GB2312" w:eastAsia="仿宋_GB2312" w:hAnsi="Segoe UI" w:cs="Segoe UI" w:hint="eastAsia"/>
          <w:color w:val="000000" w:themeColor="text1"/>
          <w:sz w:val="32"/>
          <w:szCs w:val="32"/>
        </w:rPr>
        <w:t>机制：</w:t>
      </w:r>
    </w:p>
    <w:p w14:paraId="101A61BC" w14:textId="77777777" w:rsidR="00207FD5" w:rsidRDefault="005B3F7A">
      <w:pPr>
        <w:pStyle w:val="paragraph"/>
        <w:spacing w:before="0" w:beforeAutospacing="0" w:after="0" w:afterAutospacing="0" w:line="560" w:lineRule="exact"/>
        <w:ind w:firstLineChars="200" w:firstLine="640"/>
        <w:jc w:val="both"/>
        <w:rPr>
          <w:rFonts w:ascii="仿宋_GB2312" w:eastAsia="仿宋_GB2312" w:hAnsi="Times New Roman"/>
          <w:color w:val="000000" w:themeColor="text1"/>
          <w:sz w:val="32"/>
          <w:szCs w:val="32"/>
        </w:rPr>
      </w:pPr>
      <w:r>
        <w:rPr>
          <w:rFonts w:ascii="仿宋_GB2312" w:eastAsia="仿宋_GB2312" w:hAnsi="Times New Roman" w:hint="eastAsia"/>
          <w:color w:val="000000" w:themeColor="text1"/>
          <w:sz w:val="32"/>
          <w:szCs w:val="32"/>
        </w:rPr>
        <w:t>（一）市级视财力状况、高标准农田保有规模和</w:t>
      </w:r>
      <w:proofErr w:type="gramStart"/>
      <w:r>
        <w:rPr>
          <w:rFonts w:ascii="仿宋_GB2312" w:eastAsia="仿宋_GB2312" w:hAnsi="Times New Roman" w:hint="eastAsia"/>
          <w:color w:val="000000" w:themeColor="text1"/>
          <w:sz w:val="32"/>
          <w:szCs w:val="32"/>
        </w:rPr>
        <w:t>管护成效</w:t>
      </w:r>
      <w:proofErr w:type="gramEnd"/>
      <w:r>
        <w:rPr>
          <w:rFonts w:ascii="仿宋_GB2312" w:eastAsia="仿宋_GB2312" w:hAnsi="Times New Roman" w:hint="eastAsia"/>
          <w:color w:val="000000" w:themeColor="text1"/>
          <w:sz w:val="32"/>
          <w:szCs w:val="32"/>
        </w:rPr>
        <w:t>等情况，安排一定</w:t>
      </w:r>
      <w:proofErr w:type="gramStart"/>
      <w:r>
        <w:rPr>
          <w:rFonts w:ascii="仿宋_GB2312" w:eastAsia="仿宋_GB2312" w:hAnsi="Times New Roman" w:hint="eastAsia"/>
          <w:color w:val="000000" w:themeColor="text1"/>
          <w:sz w:val="32"/>
          <w:szCs w:val="32"/>
        </w:rPr>
        <w:t>管护奖补</w:t>
      </w:r>
      <w:proofErr w:type="gramEnd"/>
      <w:r>
        <w:rPr>
          <w:rFonts w:ascii="仿宋_GB2312" w:eastAsia="仿宋_GB2312" w:hAnsi="Times New Roman" w:hint="eastAsia"/>
          <w:color w:val="000000" w:themeColor="text1"/>
          <w:sz w:val="32"/>
          <w:szCs w:val="32"/>
        </w:rPr>
        <w:t>资金；</w:t>
      </w:r>
    </w:p>
    <w:p w14:paraId="5B93B777" w14:textId="77777777" w:rsidR="00207FD5" w:rsidRDefault="005B3F7A">
      <w:pPr>
        <w:widowControl/>
        <w:shd w:val="clear" w:color="auto" w:fill="FFFFFF"/>
        <w:snapToGrid w:val="0"/>
        <w:spacing w:line="560" w:lineRule="exact"/>
        <w:ind w:firstLineChars="177" w:firstLine="566"/>
        <w:jc w:val="left"/>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lastRenderedPageBreak/>
        <w:t>（二）</w:t>
      </w:r>
      <w:r>
        <w:rPr>
          <w:rFonts w:ascii="仿宋_GB2312" w:eastAsia="仿宋_GB2312" w:hAnsi="Segoe UI" w:cs="Segoe UI" w:hint="eastAsia"/>
          <w:color w:val="000000" w:themeColor="text1"/>
          <w:kern w:val="0"/>
          <w:sz w:val="32"/>
          <w:szCs w:val="32"/>
        </w:rPr>
        <w:t>各区应承担管护资金主要保障责任，每年安排一定数量的工程管护经费；</w:t>
      </w:r>
    </w:p>
    <w:p w14:paraId="05031802" w14:textId="77777777" w:rsidR="00207FD5" w:rsidRDefault="005B3F7A">
      <w:pPr>
        <w:pStyle w:val="paragraph"/>
        <w:spacing w:before="0" w:beforeAutospacing="0" w:after="0" w:afterAutospacing="0" w:line="560" w:lineRule="exact"/>
        <w:ind w:firstLineChars="200" w:firstLine="640"/>
        <w:jc w:val="both"/>
        <w:rPr>
          <w:rFonts w:ascii="仿宋_GB2312" w:eastAsia="仿宋_GB2312" w:hAnsi="Times New Roman"/>
          <w:color w:val="000000" w:themeColor="text1"/>
          <w:sz w:val="32"/>
          <w:szCs w:val="32"/>
        </w:rPr>
      </w:pPr>
      <w:r>
        <w:rPr>
          <w:rFonts w:ascii="仿宋_GB2312" w:eastAsia="仿宋_GB2312" w:hAnsi="Times New Roman" w:hint="eastAsia"/>
          <w:color w:val="000000" w:themeColor="text1"/>
          <w:sz w:val="32"/>
          <w:szCs w:val="32"/>
        </w:rPr>
        <w:t>（三）鼓励街镇安排资金用于日常管护与应急维修；</w:t>
      </w:r>
    </w:p>
    <w:p w14:paraId="49EA1575" w14:textId="77777777" w:rsidR="00207FD5" w:rsidRDefault="005B3F7A">
      <w:pPr>
        <w:pStyle w:val="paragraph"/>
        <w:spacing w:before="0" w:beforeAutospacing="0" w:after="0" w:afterAutospacing="0" w:line="560" w:lineRule="exact"/>
        <w:ind w:firstLineChars="200" w:firstLine="640"/>
        <w:jc w:val="both"/>
        <w:rPr>
          <w:rFonts w:ascii="仿宋_GB2312" w:eastAsia="仿宋_GB2312" w:hAnsi="Times New Roman"/>
          <w:color w:val="000000" w:themeColor="text1"/>
          <w:sz w:val="32"/>
          <w:szCs w:val="32"/>
        </w:rPr>
      </w:pPr>
      <w:r>
        <w:rPr>
          <w:rFonts w:ascii="仿宋_GB2312" w:eastAsia="仿宋_GB2312" w:hAnsi="Times New Roman" w:hint="eastAsia"/>
          <w:color w:val="000000" w:themeColor="text1"/>
          <w:sz w:val="32"/>
          <w:szCs w:val="32"/>
        </w:rPr>
        <w:t>（四）管护资金可从设施使用收益、土地流转增值中按一定比例提取，或通过村集体投入、社会捐助等渠道筹集；</w:t>
      </w:r>
    </w:p>
    <w:p w14:paraId="4DB4D948" w14:textId="77777777" w:rsidR="00207FD5" w:rsidRDefault="005B3F7A">
      <w:pPr>
        <w:pStyle w:val="paragraph"/>
        <w:spacing w:before="0" w:beforeAutospacing="0" w:after="0" w:afterAutospacing="0" w:line="560" w:lineRule="exact"/>
        <w:ind w:firstLineChars="200" w:firstLine="640"/>
        <w:jc w:val="both"/>
        <w:rPr>
          <w:rFonts w:ascii="仿宋_GB2312" w:eastAsia="仿宋_GB2312" w:hAnsi="Times New Roman"/>
          <w:color w:val="000000" w:themeColor="text1"/>
          <w:sz w:val="32"/>
          <w:szCs w:val="32"/>
        </w:rPr>
      </w:pPr>
      <w:r>
        <w:rPr>
          <w:rFonts w:ascii="仿宋_GB2312" w:eastAsia="仿宋_GB2312" w:hAnsi="Times New Roman" w:hint="eastAsia"/>
          <w:color w:val="000000" w:themeColor="text1"/>
          <w:sz w:val="32"/>
          <w:szCs w:val="32"/>
        </w:rPr>
        <w:t>（五）积极引导有条件的社会投资、金融机构等参与管护投入。</w:t>
      </w:r>
    </w:p>
    <w:p w14:paraId="7D1A9495" w14:textId="77777777" w:rsidR="00207FD5" w:rsidRDefault="005B3F7A">
      <w:pPr>
        <w:pStyle w:val="paragraph"/>
        <w:spacing w:before="0" w:beforeAutospacing="0" w:after="0" w:afterAutospacing="0" w:line="560" w:lineRule="exact"/>
        <w:ind w:firstLineChars="200" w:firstLine="640"/>
        <w:jc w:val="both"/>
        <w:rPr>
          <w:rFonts w:ascii="仿宋" w:eastAsia="仿宋" w:hAnsi="仿宋"/>
          <w:color w:val="000000" w:themeColor="text1"/>
          <w:sz w:val="32"/>
          <w:szCs w:val="32"/>
        </w:rPr>
      </w:pPr>
      <w:r>
        <w:rPr>
          <w:rFonts w:ascii="楷体" w:eastAsia="楷体" w:hAnsi="楷体" w:cs="Segoe UI" w:hint="eastAsia"/>
          <w:bCs/>
          <w:color w:val="000000" w:themeColor="text1"/>
          <w:sz w:val="32"/>
          <w:szCs w:val="32"/>
        </w:rPr>
        <w:t>第十八条</w:t>
      </w:r>
      <w:r>
        <w:rPr>
          <w:rFonts w:ascii="仿宋" w:eastAsia="仿宋" w:hAnsi="仿宋" w:hint="eastAsia"/>
          <w:color w:val="000000" w:themeColor="text1"/>
          <w:sz w:val="32"/>
          <w:szCs w:val="32"/>
        </w:rPr>
        <w:t xml:space="preserve">  </w:t>
      </w:r>
      <w:r>
        <w:rPr>
          <w:rFonts w:ascii="仿宋_GB2312" w:eastAsia="仿宋_GB2312" w:hAnsi="仿宋" w:hint="eastAsia"/>
          <w:color w:val="000000" w:themeColor="text1"/>
          <w:sz w:val="32"/>
          <w:szCs w:val="32"/>
        </w:rPr>
        <w:t>管护资金应专项用于工程设施维修、物料购置、委托服务、人员劳务等直接相关支出，不得用于人员工资、办公经费等无关用途。各区应明确资金管理办法，规范资金使用程序，加强审计与公开。</w:t>
      </w:r>
      <w:r>
        <w:rPr>
          <w:rFonts w:ascii="仿宋_GB2312" w:eastAsia="仿宋_GB2312" w:hAnsi="宋体" w:cs="宋体" w:hint="eastAsia"/>
          <w:color w:val="000000" w:themeColor="text1"/>
          <w:sz w:val="32"/>
          <w:szCs w:val="32"/>
        </w:rPr>
        <w:t> </w:t>
      </w:r>
    </w:p>
    <w:p w14:paraId="0549210A" w14:textId="77777777" w:rsidR="00207FD5" w:rsidRDefault="005B3F7A">
      <w:pPr>
        <w:pStyle w:val="paragraph"/>
        <w:spacing w:line="56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第五章 监督与管理 </w:t>
      </w:r>
    </w:p>
    <w:p w14:paraId="10045755" w14:textId="77777777" w:rsidR="00207FD5" w:rsidRDefault="005B3F7A">
      <w:pPr>
        <w:pStyle w:val="paragraph"/>
        <w:spacing w:before="0" w:beforeAutospacing="0" w:after="0" w:afterAutospacing="0" w:line="560" w:lineRule="exact"/>
        <w:ind w:firstLineChars="200" w:firstLine="640"/>
        <w:jc w:val="both"/>
        <w:rPr>
          <w:rFonts w:ascii="仿宋" w:eastAsia="仿宋" w:hAnsi="仿宋"/>
          <w:color w:val="000000" w:themeColor="text1"/>
          <w:sz w:val="32"/>
          <w:szCs w:val="32"/>
        </w:rPr>
      </w:pPr>
      <w:r>
        <w:rPr>
          <w:rFonts w:ascii="楷体" w:eastAsia="楷体" w:hAnsi="楷体" w:cs="Segoe UI" w:hint="eastAsia"/>
          <w:bCs/>
          <w:color w:val="000000" w:themeColor="text1"/>
          <w:sz w:val="32"/>
          <w:szCs w:val="32"/>
        </w:rPr>
        <w:t>第十九条</w:t>
      </w:r>
      <w:r>
        <w:rPr>
          <w:rFonts w:ascii="仿宋" w:eastAsia="仿宋" w:hAnsi="仿宋" w:hint="eastAsia"/>
          <w:color w:val="000000" w:themeColor="text1"/>
          <w:sz w:val="32"/>
          <w:szCs w:val="32"/>
        </w:rPr>
        <w:t xml:space="preserve">  </w:t>
      </w:r>
      <w:r>
        <w:rPr>
          <w:rFonts w:ascii="仿宋_GB2312" w:eastAsia="仿宋_GB2312" w:hAnsi="仿宋" w:hint="eastAsia"/>
          <w:color w:val="000000" w:themeColor="text1"/>
          <w:sz w:val="32"/>
          <w:szCs w:val="32"/>
        </w:rPr>
        <w:t>市农业农村局加强对全市工程设施管护工作的监督，推动责任、资金、人员“三落实”。</w:t>
      </w:r>
    </w:p>
    <w:p w14:paraId="44A87292" w14:textId="77777777" w:rsidR="00207FD5" w:rsidRDefault="005B3F7A">
      <w:pPr>
        <w:pStyle w:val="paragraph"/>
        <w:spacing w:before="0" w:beforeAutospacing="0" w:after="0" w:afterAutospacing="0" w:line="560" w:lineRule="exact"/>
        <w:ind w:firstLineChars="200" w:firstLine="640"/>
        <w:jc w:val="both"/>
        <w:rPr>
          <w:rFonts w:ascii="仿宋_GB2312" w:eastAsia="仿宋_GB2312" w:hAnsi="仿宋"/>
          <w:color w:val="000000" w:themeColor="text1"/>
          <w:sz w:val="32"/>
          <w:szCs w:val="32"/>
        </w:rPr>
      </w:pPr>
      <w:r>
        <w:rPr>
          <w:rFonts w:ascii="楷体" w:eastAsia="楷体" w:hAnsi="楷体" w:cs="Segoe UI" w:hint="eastAsia"/>
          <w:bCs/>
          <w:color w:val="000000" w:themeColor="text1"/>
          <w:sz w:val="32"/>
          <w:szCs w:val="32"/>
        </w:rPr>
        <w:t>第二十条</w:t>
      </w:r>
      <w:r>
        <w:rPr>
          <w:rFonts w:ascii="仿宋" w:eastAsia="仿宋" w:hAnsi="仿宋" w:hint="eastAsia"/>
          <w:color w:val="000000" w:themeColor="text1"/>
          <w:sz w:val="32"/>
          <w:szCs w:val="32"/>
        </w:rPr>
        <w:t xml:space="preserve">  </w:t>
      </w:r>
      <w:r>
        <w:rPr>
          <w:rFonts w:ascii="仿宋_GB2312" w:eastAsia="仿宋_GB2312" w:hAnsi="仿宋" w:hint="eastAsia"/>
          <w:color w:val="000000" w:themeColor="text1"/>
          <w:sz w:val="32"/>
          <w:szCs w:val="32"/>
        </w:rPr>
        <w:t>区农业农村主管部门应加强日常监管，设立公开监督渠道，动态掌握工程设施管护情况，建立问题发现、反馈、整改的闭环处置机制，指导街镇及管护主体加强经常性检查，实行管护信息公示制度。</w:t>
      </w:r>
      <w:r>
        <w:rPr>
          <w:rFonts w:ascii="仿宋_GB2312" w:eastAsia="仿宋_GB2312" w:hAnsi="Times New Roman"/>
          <w:color w:val="000000" w:themeColor="text1"/>
          <w:sz w:val="32"/>
          <w:szCs w:val="32"/>
        </w:rPr>
        <w:t> </w:t>
      </w:r>
    </w:p>
    <w:p w14:paraId="40802CC6" w14:textId="77777777" w:rsidR="00207FD5" w:rsidRDefault="005B3F7A">
      <w:pPr>
        <w:pStyle w:val="paragraph"/>
        <w:spacing w:line="56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第六章 附则</w:t>
      </w:r>
    </w:p>
    <w:p w14:paraId="1601F42E" w14:textId="77777777" w:rsidR="00207FD5" w:rsidRDefault="005B3F7A">
      <w:pPr>
        <w:pStyle w:val="paragraph"/>
        <w:snapToGrid w:val="0"/>
        <w:spacing w:before="0" w:beforeAutospacing="0" w:after="0" w:afterAutospacing="0" w:line="560" w:lineRule="exact"/>
        <w:ind w:firstLineChars="200" w:firstLine="640"/>
        <w:jc w:val="both"/>
        <w:rPr>
          <w:rFonts w:ascii="Times New Roman" w:eastAsia="仿宋_GB2312" w:hAnsi="Times New Roman"/>
          <w:color w:val="000000" w:themeColor="text1"/>
          <w:sz w:val="32"/>
          <w:szCs w:val="32"/>
        </w:rPr>
      </w:pPr>
      <w:r>
        <w:rPr>
          <w:rFonts w:ascii="楷体" w:eastAsia="楷体" w:hAnsi="楷体" w:cs="Segoe UI" w:hint="eastAsia"/>
          <w:bCs/>
          <w:color w:val="000000" w:themeColor="text1"/>
          <w:sz w:val="32"/>
          <w:szCs w:val="32"/>
        </w:rPr>
        <w:t>第二十一条</w:t>
      </w:r>
      <w:r>
        <w:rPr>
          <w:rFonts w:ascii="仿宋" w:eastAsia="仿宋" w:hAnsi="仿宋" w:hint="eastAsia"/>
          <w:color w:val="000000" w:themeColor="text1"/>
          <w:sz w:val="32"/>
          <w:szCs w:val="32"/>
        </w:rPr>
        <w:t xml:space="preserve">  </w:t>
      </w:r>
      <w:r>
        <w:rPr>
          <w:rFonts w:ascii="Times New Roman" w:eastAsia="仿宋_GB2312" w:hAnsi="Times New Roman"/>
          <w:color w:val="000000" w:themeColor="text1"/>
          <w:sz w:val="32"/>
          <w:szCs w:val="32"/>
        </w:rPr>
        <w:t>本实施意见自下发之日起实施。</w:t>
      </w:r>
    </w:p>
    <w:p w14:paraId="21E2BA56" w14:textId="77777777" w:rsidR="00207FD5" w:rsidRDefault="005B3F7A">
      <w:pPr>
        <w:pStyle w:val="paragraph"/>
        <w:snapToGrid w:val="0"/>
        <w:spacing w:before="0" w:beforeAutospacing="0" w:after="0" w:afterAutospacing="0" w:line="560" w:lineRule="exact"/>
        <w:ind w:firstLineChars="200" w:firstLine="640"/>
        <w:jc w:val="both"/>
        <w:rPr>
          <w:rFonts w:ascii="仿宋_GB2312" w:eastAsia="仿宋_GB2312" w:hAnsi="Times New Roman"/>
          <w:color w:val="000000" w:themeColor="text1"/>
          <w:sz w:val="32"/>
          <w:szCs w:val="32"/>
        </w:rPr>
      </w:pPr>
      <w:r>
        <w:rPr>
          <w:rFonts w:ascii="楷体" w:eastAsia="楷体" w:hAnsi="楷体" w:cs="Segoe UI" w:hint="eastAsia"/>
          <w:bCs/>
          <w:color w:val="000000" w:themeColor="text1"/>
          <w:sz w:val="32"/>
          <w:szCs w:val="32"/>
        </w:rPr>
        <w:t xml:space="preserve">第二十二条 </w:t>
      </w:r>
      <w:r>
        <w:rPr>
          <w:rFonts w:ascii="仿宋" w:eastAsia="仿宋" w:hAnsi="仿宋" w:hint="eastAsia"/>
          <w:color w:val="000000" w:themeColor="text1"/>
          <w:sz w:val="32"/>
          <w:szCs w:val="32"/>
        </w:rPr>
        <w:t xml:space="preserve"> </w:t>
      </w:r>
      <w:r>
        <w:rPr>
          <w:rFonts w:ascii="仿宋_GB2312" w:eastAsia="仿宋_GB2312" w:hAnsi="Times New Roman" w:hint="eastAsia"/>
          <w:color w:val="000000" w:themeColor="text1"/>
          <w:sz w:val="32"/>
          <w:szCs w:val="32"/>
        </w:rPr>
        <w:t>各区结合实际制定具体实施细则。</w:t>
      </w:r>
      <w:r>
        <w:rPr>
          <w:rFonts w:ascii="仿宋_GB2312" w:eastAsia="仿宋_GB2312" w:hAnsi="Times New Roman" w:hint="eastAsia"/>
          <w:color w:val="000000" w:themeColor="text1"/>
          <w:sz w:val="32"/>
          <w:szCs w:val="32"/>
        </w:rPr>
        <w:t> </w:t>
      </w:r>
    </w:p>
    <w:p w14:paraId="23145E58" w14:textId="77777777" w:rsidR="00207FD5" w:rsidRDefault="00207FD5"/>
    <w:sectPr w:rsidR="00207FD5">
      <w:footerReference w:type="default" r:id="rId7"/>
      <w:pgSz w:w="11906" w:h="16838"/>
      <w:pgMar w:top="1701"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F02FB" w14:textId="77777777" w:rsidR="00E610EC" w:rsidRDefault="00E610EC">
      <w:r>
        <w:separator/>
      </w:r>
    </w:p>
  </w:endnote>
  <w:endnote w:type="continuationSeparator" w:id="0">
    <w:p w14:paraId="20BF63BF" w14:textId="77777777" w:rsidR="00E610EC" w:rsidRDefault="00E61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218224"/>
    </w:sdtPr>
    <w:sdtEndPr/>
    <w:sdtContent>
      <w:p w14:paraId="1AF60533" w14:textId="77777777" w:rsidR="00207FD5" w:rsidRDefault="005B3F7A">
        <w:pPr>
          <w:pStyle w:val="a3"/>
          <w:jc w:val="center"/>
        </w:pPr>
        <w:r>
          <w:fldChar w:fldCharType="begin"/>
        </w:r>
        <w:r>
          <w:instrText>PAGE   \* MERGEFORMAT</w:instrText>
        </w:r>
        <w:r>
          <w:fldChar w:fldCharType="separate"/>
        </w:r>
        <w:r w:rsidR="00103019" w:rsidRPr="00103019">
          <w:rPr>
            <w:noProof/>
            <w:lang w:val="zh-CN"/>
          </w:rPr>
          <w:t>2</w:t>
        </w:r>
        <w:r>
          <w:fldChar w:fldCharType="end"/>
        </w:r>
      </w:p>
    </w:sdtContent>
  </w:sdt>
  <w:p w14:paraId="1ED06F3E" w14:textId="77777777" w:rsidR="00207FD5" w:rsidRDefault="00207FD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EA536" w14:textId="77777777" w:rsidR="00E610EC" w:rsidRDefault="00E610EC">
      <w:r>
        <w:separator/>
      </w:r>
    </w:p>
  </w:footnote>
  <w:footnote w:type="continuationSeparator" w:id="0">
    <w:p w14:paraId="1EA4D397" w14:textId="77777777" w:rsidR="00E610EC" w:rsidRDefault="00E61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3007A"/>
    <w:rsid w:val="000C0987"/>
    <w:rsid w:val="00103019"/>
    <w:rsid w:val="00207FD5"/>
    <w:rsid w:val="005B3F7A"/>
    <w:rsid w:val="00A85AC9"/>
    <w:rsid w:val="00E610EC"/>
    <w:rsid w:val="234149A1"/>
    <w:rsid w:val="4C230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cs="Times New Roman"/>
      <w:kern w:val="0"/>
      <w:sz w:val="24"/>
      <w:szCs w:val="24"/>
    </w:rPr>
  </w:style>
  <w:style w:type="paragraph" w:styleId="a4">
    <w:name w:val="header"/>
    <w:basedOn w:val="a"/>
    <w:link w:val="Char"/>
    <w:rsid w:val="000C09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C0987"/>
    <w:rPr>
      <w:kern w:val="2"/>
      <w:sz w:val="18"/>
      <w:szCs w:val="18"/>
    </w:rPr>
  </w:style>
  <w:style w:type="paragraph" w:styleId="a5">
    <w:name w:val="Balloon Text"/>
    <w:basedOn w:val="a"/>
    <w:link w:val="Char0"/>
    <w:rsid w:val="00103019"/>
    <w:rPr>
      <w:sz w:val="18"/>
      <w:szCs w:val="18"/>
    </w:rPr>
  </w:style>
  <w:style w:type="character" w:customStyle="1" w:styleId="Char0">
    <w:name w:val="批注框文本 Char"/>
    <w:basedOn w:val="a0"/>
    <w:link w:val="a5"/>
    <w:rsid w:val="0010301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cs="Times New Roman"/>
      <w:kern w:val="0"/>
      <w:sz w:val="24"/>
      <w:szCs w:val="24"/>
    </w:rPr>
  </w:style>
  <w:style w:type="paragraph" w:styleId="a4">
    <w:name w:val="header"/>
    <w:basedOn w:val="a"/>
    <w:link w:val="Char"/>
    <w:rsid w:val="000C09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C0987"/>
    <w:rPr>
      <w:kern w:val="2"/>
      <w:sz w:val="18"/>
      <w:szCs w:val="18"/>
    </w:rPr>
  </w:style>
  <w:style w:type="paragraph" w:styleId="a5">
    <w:name w:val="Balloon Text"/>
    <w:basedOn w:val="a"/>
    <w:link w:val="Char0"/>
    <w:rsid w:val="00103019"/>
    <w:rPr>
      <w:sz w:val="18"/>
      <w:szCs w:val="18"/>
    </w:rPr>
  </w:style>
  <w:style w:type="character" w:customStyle="1" w:styleId="Char0">
    <w:name w:val="批注框文本 Char"/>
    <w:basedOn w:val="a0"/>
    <w:link w:val="a5"/>
    <w:rsid w:val="0010301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370</Words>
  <Characters>2114</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可哪溜达</dc:creator>
  <cp:lastModifiedBy>Windows 用户</cp:lastModifiedBy>
  <cp:revision>3</cp:revision>
  <dcterms:created xsi:type="dcterms:W3CDTF">2025-11-10T01:32:00Z</dcterms:created>
  <dcterms:modified xsi:type="dcterms:W3CDTF">2025-11-13T01:51:00Z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351943EEB58342FCBC9F4AF26FDB433F_11</vt:lpwstr>
  </property>
  <property fmtid="{D5CDD505-2E9C-101B-9397-08002B2CF9AE}" pid="4" name="KSOTemplateDocerSaveRecord">
    <vt:lpwstr>eyJoZGlkIjoiZDA3ZDQwMmNiOWFlYzZjYTcwOWJiZGQ0YTA5ODBmZGUiLCJ1c2VySWQiOiIxNzQzNzc2MjI1In0=</vt:lpwstr>
  </property>
</Properties>
</file>