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hint="eastAsia" w:ascii="黑体" w:hAnsi="黑体" w:eastAsia="黑体" w:cs="宋体"/>
          <w:color w:val="auto"/>
          <w:kern w:val="0"/>
          <w:sz w:val="36"/>
          <w:szCs w:val="36"/>
        </w:rPr>
      </w:pPr>
      <w:r>
        <w:rPr>
          <w:rFonts w:hint="eastAsia" w:ascii="黑体" w:hAnsi="黑体" w:eastAsia="黑体" w:cs="宋体"/>
          <w:color w:val="auto"/>
          <w:kern w:val="0"/>
          <w:sz w:val="36"/>
          <w:szCs w:val="36"/>
          <w:lang w:val="en-US" w:eastAsia="zh-CN"/>
        </w:rPr>
        <w:t>2022年度</w:t>
      </w:r>
      <w:r>
        <w:rPr>
          <w:rFonts w:hint="eastAsia" w:ascii="黑体" w:hAnsi="黑体" w:eastAsia="黑体" w:cs="宋体"/>
          <w:color w:val="auto"/>
          <w:kern w:val="0"/>
          <w:sz w:val="36"/>
          <w:szCs w:val="36"/>
        </w:rPr>
        <w:t>南京市</w:t>
      </w:r>
      <w:r>
        <w:rPr>
          <w:rFonts w:hint="eastAsia" w:ascii="黑体" w:hAnsi="黑体" w:eastAsia="黑体" w:cs="宋体"/>
          <w:color w:val="auto"/>
          <w:kern w:val="0"/>
          <w:sz w:val="36"/>
          <w:szCs w:val="36"/>
          <w:lang w:eastAsia="zh-CN"/>
        </w:rPr>
        <w:t>畜牧家禽</w:t>
      </w:r>
      <w:r>
        <w:rPr>
          <w:rFonts w:hint="eastAsia" w:ascii="黑体" w:hAnsi="黑体" w:eastAsia="黑体" w:cs="宋体"/>
          <w:color w:val="auto"/>
          <w:kern w:val="0"/>
          <w:sz w:val="36"/>
          <w:szCs w:val="36"/>
        </w:rPr>
        <w:t>科学研究所</w:t>
      </w:r>
    </w:p>
    <w:p>
      <w:pPr>
        <w:widowControl/>
        <w:spacing w:line="520" w:lineRule="exact"/>
        <w:jc w:val="center"/>
        <w:rPr>
          <w:rFonts w:hint="eastAsia" w:ascii="黑体" w:hAnsi="黑体" w:eastAsia="黑体" w:cs="宋体"/>
          <w:color w:val="auto"/>
          <w:kern w:val="0"/>
          <w:sz w:val="36"/>
          <w:szCs w:val="36"/>
          <w:lang w:val="en-US" w:eastAsia="zh-CN"/>
        </w:rPr>
      </w:pPr>
      <w:r>
        <w:rPr>
          <w:rFonts w:hint="eastAsia" w:ascii="黑体" w:hAnsi="黑体" w:eastAsia="黑体" w:cs="宋体"/>
          <w:color w:val="auto"/>
          <w:kern w:val="0"/>
          <w:sz w:val="36"/>
          <w:szCs w:val="36"/>
        </w:rPr>
        <w:t>整体</w:t>
      </w:r>
      <w:r>
        <w:rPr>
          <w:rFonts w:hint="eastAsia" w:ascii="黑体" w:hAnsi="黑体" w:eastAsia="黑体" w:cs="宋体"/>
          <w:color w:val="auto"/>
          <w:kern w:val="0"/>
          <w:sz w:val="36"/>
          <w:szCs w:val="36"/>
          <w:lang w:val="en-US" w:eastAsia="zh-CN"/>
        </w:rPr>
        <w:t>预算</w:t>
      </w:r>
      <w:r>
        <w:rPr>
          <w:rFonts w:hint="eastAsia" w:ascii="黑体" w:hAnsi="黑体" w:eastAsia="黑体" w:cs="宋体"/>
          <w:color w:val="auto"/>
          <w:kern w:val="0"/>
          <w:sz w:val="36"/>
          <w:szCs w:val="36"/>
        </w:rPr>
        <w:t>绩效</w:t>
      </w:r>
      <w:r>
        <w:rPr>
          <w:rFonts w:hint="eastAsia" w:ascii="黑体" w:hAnsi="黑体" w:eastAsia="黑体" w:cs="宋体"/>
          <w:color w:val="auto"/>
          <w:kern w:val="0"/>
          <w:sz w:val="36"/>
          <w:szCs w:val="36"/>
          <w:lang w:val="en-US" w:eastAsia="zh-CN"/>
        </w:rPr>
        <w:t>自</w:t>
      </w:r>
      <w:r>
        <w:rPr>
          <w:rFonts w:hint="eastAsia" w:ascii="黑体" w:hAnsi="黑体" w:eastAsia="黑体" w:cs="宋体"/>
          <w:color w:val="auto"/>
          <w:kern w:val="0"/>
          <w:sz w:val="36"/>
          <w:szCs w:val="36"/>
        </w:rPr>
        <w:t>评价报告</w:t>
      </w:r>
    </w:p>
    <w:p>
      <w:pPr>
        <w:widowControl/>
        <w:spacing w:line="520" w:lineRule="exact"/>
        <w:jc w:val="center"/>
        <w:rPr>
          <w:rFonts w:ascii="方正小标宋简体" w:hAnsi="FZXBSK--GBK1-0" w:eastAsia="方正小标宋简体" w:cs="宋体"/>
          <w:color w:val="auto"/>
          <w:kern w:val="0"/>
          <w:sz w:val="24"/>
          <w:szCs w:val="24"/>
        </w:rPr>
      </w:pPr>
      <w:r>
        <w:rPr>
          <w:rFonts w:ascii="方正小标宋简体" w:hAnsi="FZXBSK--GBK1-0" w:eastAsia="方正小标宋简体" w:cs="宋体"/>
          <w:color w:val="auto"/>
          <w:kern w:val="0"/>
          <w:sz w:val="24"/>
          <w:szCs w:val="24"/>
        </w:rPr>
        <w:t>202</w:t>
      </w:r>
      <w:r>
        <w:rPr>
          <w:rFonts w:hint="eastAsia" w:ascii="方正小标宋简体" w:hAnsi="FZXBSK--GBK1-0" w:eastAsia="方正小标宋简体" w:cs="宋体"/>
          <w:color w:val="auto"/>
          <w:kern w:val="0"/>
          <w:sz w:val="24"/>
          <w:szCs w:val="24"/>
          <w:lang w:val="en-US" w:eastAsia="zh-CN"/>
        </w:rPr>
        <w:t>3</w:t>
      </w:r>
      <w:r>
        <w:rPr>
          <w:rFonts w:hint="eastAsia" w:ascii="方正小标宋简体" w:hAnsi="FZXBSK--GBK1-0" w:eastAsia="方正小标宋简体" w:cs="宋体"/>
          <w:color w:val="auto"/>
          <w:kern w:val="0"/>
          <w:sz w:val="24"/>
          <w:szCs w:val="24"/>
        </w:rPr>
        <w:t>年</w:t>
      </w:r>
      <w:r>
        <w:rPr>
          <w:rFonts w:hint="eastAsia" w:ascii="方正小标宋简体" w:hAnsi="FZXBSK--GBK1-0" w:eastAsia="方正小标宋简体" w:cs="宋体"/>
          <w:color w:val="auto"/>
          <w:kern w:val="0"/>
          <w:sz w:val="24"/>
          <w:szCs w:val="24"/>
          <w:lang w:val="en-US" w:eastAsia="zh-CN"/>
        </w:rPr>
        <w:t>6</w:t>
      </w:r>
      <w:r>
        <w:rPr>
          <w:rFonts w:hint="eastAsia" w:ascii="方正小标宋简体" w:hAnsi="FZXBSK--GBK1-0" w:eastAsia="方正小标宋简体" w:cs="宋体"/>
          <w:color w:val="auto"/>
          <w:kern w:val="0"/>
          <w:sz w:val="24"/>
          <w:szCs w:val="24"/>
        </w:rPr>
        <w:t>月</w:t>
      </w:r>
      <w:r>
        <w:rPr>
          <w:rFonts w:hint="eastAsia" w:ascii="方正小标宋简体" w:hAnsi="FZXBSK--GBK1-0" w:eastAsia="方正小标宋简体" w:cs="宋体"/>
          <w:color w:val="auto"/>
          <w:kern w:val="0"/>
          <w:sz w:val="24"/>
          <w:szCs w:val="24"/>
          <w:lang w:val="en-US" w:eastAsia="zh-CN"/>
        </w:rPr>
        <w:t>28</w:t>
      </w:r>
      <w:r>
        <w:rPr>
          <w:rFonts w:hint="eastAsia" w:ascii="方正小标宋简体" w:hAnsi="FZXBSK--GBK1-0" w:eastAsia="方正小标宋简体" w:cs="宋体"/>
          <w:color w:val="auto"/>
          <w:kern w:val="0"/>
          <w:sz w:val="24"/>
          <w:szCs w:val="24"/>
        </w:rPr>
        <w:t>日</w:t>
      </w:r>
    </w:p>
    <w:p>
      <w:pPr>
        <w:widowControl/>
        <w:spacing w:line="520" w:lineRule="exact"/>
        <w:ind w:firstLine="600" w:firstLineChars="200"/>
        <w:jc w:val="both"/>
        <w:rPr>
          <w:rFonts w:cs="仿宋_GB2312" w:asciiTheme="minorEastAsia" w:hAnsiTheme="minorEastAsia"/>
          <w:color w:val="auto"/>
          <w:sz w:val="30"/>
          <w:szCs w:val="30"/>
        </w:rPr>
      </w:pPr>
      <w:r>
        <w:rPr>
          <w:rFonts w:hint="eastAsia" w:cs="仿宋_GB2312" w:asciiTheme="minorEastAsia" w:hAnsiTheme="minorEastAsia"/>
          <w:color w:val="auto"/>
          <w:sz w:val="30"/>
          <w:szCs w:val="30"/>
        </w:rPr>
        <w:t>根据南京市预算绩效管理要求，本</w:t>
      </w:r>
      <w:r>
        <w:rPr>
          <w:rFonts w:hint="eastAsia" w:cs="仿宋_GB2312" w:asciiTheme="minorEastAsia" w:hAnsiTheme="minorEastAsia"/>
          <w:color w:val="auto"/>
          <w:sz w:val="30"/>
          <w:szCs w:val="30"/>
          <w:lang w:val="en-US" w:eastAsia="zh-CN"/>
        </w:rPr>
        <w:t>单位</w:t>
      </w:r>
      <w:r>
        <w:rPr>
          <w:rFonts w:hint="eastAsia" w:cs="仿宋_GB2312" w:asciiTheme="minorEastAsia" w:hAnsiTheme="minorEastAsia"/>
          <w:color w:val="auto"/>
          <w:sz w:val="30"/>
          <w:szCs w:val="30"/>
        </w:rPr>
        <w:t>认真学习部门整体绩效评价的有关文件精神，深入研究，贯彻落实，形成如下整体</w:t>
      </w:r>
      <w:r>
        <w:rPr>
          <w:rFonts w:hint="eastAsia" w:cs="仿宋_GB2312" w:asciiTheme="minorEastAsia" w:hAnsiTheme="minorEastAsia"/>
          <w:color w:val="auto"/>
          <w:sz w:val="30"/>
          <w:szCs w:val="30"/>
          <w:lang w:val="en-US" w:eastAsia="zh-CN"/>
        </w:rPr>
        <w:t>预算</w:t>
      </w:r>
      <w:r>
        <w:rPr>
          <w:rFonts w:hint="eastAsia" w:cs="仿宋_GB2312" w:asciiTheme="minorEastAsia" w:hAnsiTheme="minorEastAsia"/>
          <w:color w:val="auto"/>
          <w:sz w:val="30"/>
          <w:szCs w:val="30"/>
        </w:rPr>
        <w:t>绩效评价报告。</w:t>
      </w:r>
    </w:p>
    <w:p>
      <w:pPr>
        <w:widowControl/>
        <w:spacing w:line="520" w:lineRule="exact"/>
        <w:jc w:val="both"/>
        <w:rPr>
          <w:rFonts w:hint="default" w:cs="宋体" w:asciiTheme="minorEastAsia" w:hAnsiTheme="minorEastAsia" w:eastAsiaTheme="minorEastAsia"/>
          <w:b/>
          <w:color w:val="auto"/>
          <w:kern w:val="0"/>
          <w:sz w:val="30"/>
          <w:szCs w:val="30"/>
          <w:lang w:val="en-US" w:eastAsia="zh-CN"/>
        </w:rPr>
      </w:pPr>
      <w:r>
        <w:rPr>
          <w:rFonts w:hint="eastAsia" w:cs="宋体" w:asciiTheme="minorEastAsia" w:hAnsiTheme="minorEastAsia"/>
          <w:b/>
          <w:color w:val="auto"/>
          <w:kern w:val="0"/>
          <w:sz w:val="30"/>
          <w:szCs w:val="30"/>
        </w:rPr>
        <w:t>一、</w:t>
      </w:r>
      <w:r>
        <w:rPr>
          <w:rFonts w:hint="eastAsia" w:cs="宋体" w:asciiTheme="minorEastAsia" w:hAnsiTheme="minorEastAsia"/>
          <w:b/>
          <w:color w:val="auto"/>
          <w:kern w:val="0"/>
          <w:sz w:val="30"/>
          <w:szCs w:val="30"/>
          <w:lang w:val="en-US" w:eastAsia="zh-CN"/>
        </w:rPr>
        <w:t>单位概况</w:t>
      </w:r>
    </w:p>
    <w:p>
      <w:pPr>
        <w:tabs>
          <w:tab w:val="left" w:pos="5954"/>
        </w:tabs>
        <w:spacing w:line="520" w:lineRule="exact"/>
        <w:jc w:val="both"/>
        <w:rPr>
          <w:rFonts w:hint="default" w:cs="仿宋_GB2312" w:asciiTheme="minorEastAsia" w:hAnsiTheme="minorEastAsia"/>
          <w:b/>
          <w:bCs/>
          <w:i w:val="0"/>
          <w:iCs w:val="0"/>
          <w:color w:val="auto"/>
          <w:sz w:val="30"/>
          <w:szCs w:val="30"/>
          <w:lang w:val="en-US" w:eastAsia="zh-CN"/>
        </w:rPr>
      </w:pPr>
      <w:r>
        <w:rPr>
          <w:rFonts w:hint="eastAsia" w:cs="仿宋_GB2312" w:asciiTheme="minorEastAsia" w:hAnsiTheme="minorEastAsia"/>
          <w:b/>
          <w:bCs/>
          <w:i w:val="0"/>
          <w:iCs w:val="0"/>
          <w:color w:val="auto"/>
          <w:sz w:val="30"/>
          <w:szCs w:val="30"/>
          <w:lang w:eastAsia="zh-CN"/>
        </w:rPr>
        <w:t>（</w:t>
      </w:r>
      <w:r>
        <w:rPr>
          <w:rFonts w:hint="eastAsia" w:cs="仿宋_GB2312" w:asciiTheme="minorEastAsia" w:hAnsiTheme="minorEastAsia"/>
          <w:b/>
          <w:bCs/>
          <w:i w:val="0"/>
          <w:iCs w:val="0"/>
          <w:color w:val="auto"/>
          <w:sz w:val="30"/>
          <w:szCs w:val="30"/>
          <w:lang w:val="en-US" w:eastAsia="zh-CN"/>
        </w:rPr>
        <w:t>一</w:t>
      </w:r>
      <w:r>
        <w:rPr>
          <w:rFonts w:hint="eastAsia" w:cs="仿宋_GB2312" w:asciiTheme="minorEastAsia" w:hAnsiTheme="minorEastAsia"/>
          <w:b/>
          <w:bCs/>
          <w:i w:val="0"/>
          <w:iCs w:val="0"/>
          <w:color w:val="auto"/>
          <w:sz w:val="30"/>
          <w:szCs w:val="30"/>
          <w:lang w:eastAsia="zh-CN"/>
        </w:rPr>
        <w:t>）</w:t>
      </w:r>
      <w:r>
        <w:rPr>
          <w:rFonts w:hint="eastAsia" w:cs="仿宋_GB2312" w:asciiTheme="minorEastAsia" w:hAnsiTheme="minorEastAsia"/>
          <w:b/>
          <w:bCs/>
          <w:i w:val="0"/>
          <w:iCs w:val="0"/>
          <w:color w:val="auto"/>
          <w:sz w:val="30"/>
          <w:szCs w:val="30"/>
          <w:lang w:val="en-US" w:eastAsia="zh-CN"/>
        </w:rPr>
        <w:t>单位基本情况</w:t>
      </w:r>
    </w:p>
    <w:p>
      <w:pPr>
        <w:tabs>
          <w:tab w:val="left" w:pos="5954"/>
        </w:tabs>
        <w:spacing w:line="520" w:lineRule="exact"/>
        <w:ind w:firstLine="600" w:firstLineChars="200"/>
        <w:rPr>
          <w:rFonts w:hint="eastAsia" w:cs="仿宋_GB2312" w:asciiTheme="minorEastAsia" w:hAnsiTheme="minorEastAsia"/>
          <w:color w:val="auto"/>
          <w:sz w:val="30"/>
          <w:szCs w:val="30"/>
        </w:rPr>
      </w:pPr>
      <w:r>
        <w:rPr>
          <w:rFonts w:hint="eastAsia" w:cs="仿宋_GB2312" w:asciiTheme="minorEastAsia" w:hAnsiTheme="minorEastAsia"/>
          <w:color w:val="auto"/>
          <w:sz w:val="30"/>
          <w:szCs w:val="30"/>
        </w:rPr>
        <w:t>本单位成立于</w:t>
      </w:r>
      <w:r>
        <w:rPr>
          <w:rFonts w:cs="仿宋_GB2312" w:asciiTheme="minorEastAsia" w:hAnsiTheme="minorEastAsia"/>
          <w:color w:val="auto"/>
          <w:sz w:val="30"/>
          <w:szCs w:val="30"/>
        </w:rPr>
        <w:t>19</w:t>
      </w:r>
      <w:r>
        <w:rPr>
          <w:rFonts w:hint="eastAsia" w:cs="仿宋_GB2312" w:asciiTheme="minorEastAsia" w:hAnsiTheme="minorEastAsia"/>
          <w:color w:val="auto"/>
          <w:sz w:val="30"/>
          <w:szCs w:val="30"/>
        </w:rPr>
        <w:t>7</w:t>
      </w:r>
      <w:r>
        <w:rPr>
          <w:rFonts w:hint="eastAsia" w:cs="仿宋_GB2312" w:asciiTheme="minorEastAsia" w:hAnsiTheme="minorEastAsia"/>
          <w:color w:val="auto"/>
          <w:sz w:val="30"/>
          <w:szCs w:val="30"/>
          <w:lang w:val="en-US" w:eastAsia="zh-CN"/>
        </w:rPr>
        <w:t>8</w:t>
      </w:r>
      <w:r>
        <w:rPr>
          <w:rFonts w:hint="eastAsia" w:cs="仿宋_GB2312" w:asciiTheme="minorEastAsia" w:hAnsiTheme="minorEastAsia"/>
          <w:color w:val="auto"/>
          <w:sz w:val="30"/>
          <w:szCs w:val="30"/>
        </w:rPr>
        <w:t>年，隶属南京市农业农村局。其性质为财政全额拨款事业单位（正处级），</w:t>
      </w:r>
      <w:r>
        <w:rPr>
          <w:rFonts w:hint="eastAsia" w:asciiTheme="minorEastAsia" w:hAnsiTheme="minorEastAsia"/>
          <w:color w:val="auto"/>
          <w:sz w:val="30"/>
          <w:szCs w:val="30"/>
        </w:rPr>
        <w:t>执行《政府会计制度》并独立核算，</w:t>
      </w:r>
      <w:r>
        <w:rPr>
          <w:rFonts w:hint="eastAsia" w:cs="仿宋_GB2312" w:asciiTheme="minorEastAsia" w:hAnsiTheme="minorEastAsia"/>
          <w:color w:val="auto"/>
          <w:sz w:val="30"/>
          <w:szCs w:val="30"/>
        </w:rPr>
        <w:t>核定编制4</w:t>
      </w:r>
      <w:r>
        <w:rPr>
          <w:rFonts w:hint="eastAsia" w:cs="仿宋_GB2312" w:asciiTheme="minorEastAsia" w:hAnsiTheme="minorEastAsia"/>
          <w:color w:val="auto"/>
          <w:sz w:val="30"/>
          <w:szCs w:val="30"/>
          <w:lang w:val="en-US" w:eastAsia="zh-CN"/>
        </w:rPr>
        <w:t>5</w:t>
      </w:r>
      <w:r>
        <w:rPr>
          <w:rFonts w:hint="eastAsia" w:cs="仿宋_GB2312" w:asciiTheme="minorEastAsia" w:hAnsiTheme="minorEastAsia"/>
          <w:color w:val="auto"/>
          <w:sz w:val="30"/>
          <w:szCs w:val="30"/>
        </w:rPr>
        <w:t>人。</w:t>
      </w:r>
      <w:r>
        <w:rPr>
          <w:rFonts w:hint="eastAsia" w:cs="仿宋_GB2312" w:asciiTheme="minorEastAsia" w:hAnsiTheme="minorEastAsia"/>
          <w:color w:val="auto"/>
          <w:sz w:val="30"/>
          <w:szCs w:val="30"/>
          <w:lang w:val="en-US" w:eastAsia="zh-CN"/>
        </w:rPr>
        <w:t>2022</w:t>
      </w:r>
      <w:r>
        <w:rPr>
          <w:rFonts w:hint="eastAsia" w:cs="仿宋_GB2312" w:asciiTheme="minorEastAsia" w:hAnsiTheme="minorEastAsia"/>
          <w:color w:val="auto"/>
          <w:sz w:val="30"/>
          <w:szCs w:val="30"/>
        </w:rPr>
        <w:t>年</w:t>
      </w:r>
      <w:r>
        <w:rPr>
          <w:rFonts w:hint="eastAsia" w:cs="仿宋_GB2312" w:asciiTheme="minorEastAsia" w:hAnsiTheme="minorEastAsia"/>
          <w:color w:val="auto"/>
          <w:sz w:val="30"/>
          <w:szCs w:val="30"/>
          <w:lang w:val="en-US" w:eastAsia="zh-CN"/>
        </w:rPr>
        <w:t>末</w:t>
      </w:r>
      <w:r>
        <w:rPr>
          <w:rFonts w:hint="eastAsia" w:cs="仿宋_GB2312" w:asciiTheme="minorEastAsia" w:hAnsiTheme="minorEastAsia"/>
          <w:color w:val="auto"/>
          <w:sz w:val="30"/>
          <w:szCs w:val="30"/>
        </w:rPr>
        <w:t>在职在编干部职工</w:t>
      </w:r>
      <w:r>
        <w:rPr>
          <w:rFonts w:hint="eastAsia" w:cs="仿宋_GB2312" w:asciiTheme="minorEastAsia" w:hAnsiTheme="minorEastAsia"/>
          <w:color w:val="auto"/>
          <w:sz w:val="30"/>
          <w:szCs w:val="30"/>
          <w:lang w:val="en-US" w:eastAsia="zh-CN"/>
        </w:rPr>
        <w:t>32</w:t>
      </w:r>
      <w:r>
        <w:rPr>
          <w:rFonts w:hint="eastAsia" w:cs="仿宋_GB2312" w:asciiTheme="minorEastAsia" w:hAnsiTheme="minorEastAsia"/>
          <w:color w:val="auto"/>
          <w:sz w:val="30"/>
          <w:szCs w:val="30"/>
        </w:rPr>
        <w:t>人，退休干部职工2</w:t>
      </w:r>
      <w:r>
        <w:rPr>
          <w:rFonts w:hint="eastAsia" w:cs="仿宋_GB2312" w:asciiTheme="minorEastAsia" w:hAnsiTheme="minorEastAsia"/>
          <w:color w:val="auto"/>
          <w:sz w:val="30"/>
          <w:szCs w:val="30"/>
          <w:lang w:val="en-US" w:eastAsia="zh-CN"/>
        </w:rPr>
        <w:t>8</w:t>
      </w:r>
      <w:r>
        <w:rPr>
          <w:rFonts w:hint="eastAsia" w:cs="仿宋_GB2312" w:asciiTheme="minorEastAsia" w:hAnsiTheme="minorEastAsia"/>
          <w:color w:val="auto"/>
          <w:sz w:val="30"/>
          <w:szCs w:val="30"/>
        </w:rPr>
        <w:t>人，</w:t>
      </w:r>
      <w:r>
        <w:rPr>
          <w:rFonts w:hint="eastAsia" w:cs="仿宋_GB2312" w:asciiTheme="minorEastAsia" w:hAnsiTheme="minorEastAsia"/>
          <w:color w:val="auto"/>
          <w:sz w:val="30"/>
          <w:szCs w:val="30"/>
          <w:lang w:eastAsia="zh-CN"/>
        </w:rPr>
        <w:t>外聘</w:t>
      </w:r>
      <w:r>
        <w:rPr>
          <w:rFonts w:hint="eastAsia" w:cs="仿宋_GB2312" w:asciiTheme="minorEastAsia" w:hAnsiTheme="minorEastAsia"/>
          <w:color w:val="auto"/>
          <w:sz w:val="30"/>
          <w:szCs w:val="30"/>
        </w:rPr>
        <w:t>人员</w:t>
      </w:r>
      <w:r>
        <w:rPr>
          <w:rFonts w:hint="eastAsia" w:cs="仿宋_GB2312" w:asciiTheme="minorEastAsia" w:hAnsiTheme="minorEastAsia"/>
          <w:color w:val="auto"/>
          <w:sz w:val="30"/>
          <w:szCs w:val="30"/>
          <w:lang w:val="en-US" w:eastAsia="zh-CN"/>
        </w:rPr>
        <w:t>8</w:t>
      </w:r>
      <w:r>
        <w:rPr>
          <w:rFonts w:hint="eastAsia" w:cs="仿宋_GB2312" w:asciiTheme="minorEastAsia" w:hAnsiTheme="minorEastAsia"/>
          <w:color w:val="auto"/>
          <w:sz w:val="30"/>
          <w:szCs w:val="30"/>
        </w:rPr>
        <w:t>人，合计</w:t>
      </w:r>
      <w:r>
        <w:rPr>
          <w:rFonts w:hint="eastAsia" w:cs="仿宋_GB2312" w:asciiTheme="minorEastAsia" w:hAnsiTheme="minorEastAsia"/>
          <w:color w:val="auto"/>
          <w:sz w:val="30"/>
          <w:szCs w:val="30"/>
          <w:lang w:val="en-US" w:eastAsia="zh-CN"/>
        </w:rPr>
        <w:t>68</w:t>
      </w:r>
      <w:r>
        <w:rPr>
          <w:rFonts w:hint="eastAsia" w:cs="仿宋_GB2312" w:asciiTheme="minorEastAsia" w:hAnsiTheme="minorEastAsia"/>
          <w:color w:val="auto"/>
          <w:sz w:val="30"/>
          <w:szCs w:val="30"/>
        </w:rPr>
        <w:t>人。</w:t>
      </w:r>
    </w:p>
    <w:p>
      <w:pPr>
        <w:tabs>
          <w:tab w:val="left" w:pos="5954"/>
        </w:tabs>
        <w:spacing w:line="520" w:lineRule="exact"/>
        <w:ind w:firstLine="600" w:firstLineChars="200"/>
        <w:rPr>
          <w:rFonts w:hint="eastAsia" w:cs="仿宋_GB2312" w:asciiTheme="minorEastAsia" w:hAnsiTheme="minorEastAsia"/>
          <w:color w:val="auto"/>
          <w:sz w:val="30"/>
          <w:szCs w:val="30"/>
          <w:lang w:val="en-US" w:eastAsia="zh-CN"/>
        </w:rPr>
      </w:pPr>
      <w:r>
        <w:rPr>
          <w:rFonts w:hint="eastAsia" w:cs="仿宋_GB2312" w:asciiTheme="minorEastAsia" w:hAnsiTheme="minorEastAsia"/>
          <w:color w:val="auto"/>
          <w:sz w:val="30"/>
          <w:szCs w:val="30"/>
        </w:rPr>
        <w:t>主要职能、宗旨和业务范围：承担地方畜禽种质资源保护与利用研究；负责畜禽品质的引进改良工作；开展畜禽新品种、新技术</w:t>
      </w:r>
      <w:r>
        <w:rPr>
          <w:rFonts w:hint="eastAsia" w:cs="仿宋_GB2312" w:asciiTheme="minorEastAsia" w:hAnsiTheme="minorEastAsia"/>
          <w:color w:val="auto"/>
          <w:sz w:val="30"/>
          <w:szCs w:val="30"/>
          <w:lang w:val="en-US" w:eastAsia="zh-CN"/>
        </w:rPr>
        <w:t>的推广</w:t>
      </w:r>
      <w:r>
        <w:rPr>
          <w:rFonts w:hint="eastAsia" w:cs="仿宋_GB2312" w:asciiTheme="minorEastAsia" w:hAnsiTheme="minorEastAsia"/>
          <w:color w:val="auto"/>
          <w:sz w:val="30"/>
          <w:szCs w:val="30"/>
        </w:rPr>
        <w:t>；承担畜禽健康养殖方式推广与服务指导；开</w:t>
      </w:r>
      <w:r>
        <w:rPr>
          <w:rFonts w:hint="eastAsia" w:cs="仿宋_GB2312" w:asciiTheme="minorEastAsia" w:hAnsiTheme="minorEastAsia"/>
          <w:color w:val="auto"/>
          <w:sz w:val="30"/>
          <w:szCs w:val="30"/>
          <w:lang w:val="en-US" w:eastAsia="zh-CN"/>
        </w:rPr>
        <w:t>展</w:t>
      </w:r>
      <w:r>
        <w:rPr>
          <w:rFonts w:hint="eastAsia" w:cs="仿宋_GB2312" w:asciiTheme="minorEastAsia" w:hAnsiTheme="minorEastAsia"/>
          <w:color w:val="auto"/>
          <w:sz w:val="30"/>
          <w:szCs w:val="30"/>
        </w:rPr>
        <w:t>畜禽养殖粪污利用服务指导</w:t>
      </w:r>
      <w:r>
        <w:rPr>
          <w:rFonts w:hint="eastAsia" w:cs="仿宋_GB2312" w:asciiTheme="minorEastAsia" w:hAnsiTheme="minorEastAsia"/>
          <w:color w:val="auto"/>
          <w:sz w:val="30"/>
          <w:szCs w:val="30"/>
          <w:lang w:eastAsia="zh-CN"/>
        </w:rPr>
        <w:t>；</w:t>
      </w:r>
      <w:r>
        <w:rPr>
          <w:rFonts w:hint="eastAsia" w:cs="仿宋_GB2312" w:asciiTheme="minorEastAsia" w:hAnsiTheme="minorEastAsia"/>
          <w:color w:val="auto"/>
          <w:sz w:val="30"/>
          <w:szCs w:val="30"/>
        </w:rPr>
        <w:t>开展畜牧业产业经济运行分析和培训指导：完成市农业农村局交办的</w:t>
      </w:r>
      <w:r>
        <w:rPr>
          <w:rFonts w:hint="eastAsia" w:cs="仿宋_GB2312" w:asciiTheme="minorEastAsia" w:hAnsiTheme="minorEastAsia"/>
          <w:color w:val="auto"/>
          <w:sz w:val="30"/>
          <w:szCs w:val="30"/>
          <w:lang w:val="en-US" w:eastAsia="zh-CN"/>
        </w:rPr>
        <w:t>其他任务。</w:t>
      </w:r>
    </w:p>
    <w:p>
      <w:pPr>
        <w:tabs>
          <w:tab w:val="left" w:pos="5954"/>
        </w:tabs>
        <w:spacing w:line="520" w:lineRule="exact"/>
        <w:jc w:val="both"/>
        <w:rPr>
          <w:rFonts w:hint="default" w:cs="宋体" w:asciiTheme="minorEastAsia" w:hAnsiTheme="minorEastAsia" w:eastAsiaTheme="minorEastAsia"/>
          <w:b/>
          <w:color w:val="auto"/>
          <w:kern w:val="0"/>
          <w:sz w:val="30"/>
          <w:szCs w:val="30"/>
          <w:lang w:val="en-US" w:eastAsia="zh-CN"/>
        </w:rPr>
      </w:pPr>
      <w:r>
        <w:rPr>
          <w:rFonts w:hint="eastAsia" w:cs="宋体" w:asciiTheme="minorEastAsia" w:hAnsiTheme="minorEastAsia"/>
          <w:b/>
          <w:color w:val="auto"/>
          <w:kern w:val="0"/>
          <w:sz w:val="30"/>
          <w:szCs w:val="30"/>
          <w:lang w:eastAsia="zh-CN"/>
        </w:rPr>
        <w:t>（</w:t>
      </w:r>
      <w:r>
        <w:rPr>
          <w:rFonts w:hint="eastAsia" w:cs="宋体" w:asciiTheme="minorEastAsia" w:hAnsiTheme="minorEastAsia"/>
          <w:b/>
          <w:color w:val="auto"/>
          <w:kern w:val="0"/>
          <w:sz w:val="30"/>
          <w:szCs w:val="30"/>
          <w:lang w:val="en-US" w:eastAsia="zh-CN"/>
        </w:rPr>
        <w:t>二</w:t>
      </w:r>
      <w:r>
        <w:rPr>
          <w:rFonts w:hint="eastAsia" w:cs="宋体" w:asciiTheme="minorEastAsia" w:hAnsiTheme="minorEastAsia"/>
          <w:b/>
          <w:color w:val="auto"/>
          <w:kern w:val="0"/>
          <w:sz w:val="30"/>
          <w:szCs w:val="30"/>
          <w:lang w:eastAsia="zh-CN"/>
        </w:rPr>
        <w:t>）</w:t>
      </w:r>
      <w:r>
        <w:rPr>
          <w:rFonts w:hint="eastAsia" w:cs="宋体" w:asciiTheme="minorEastAsia" w:hAnsiTheme="minorEastAsia"/>
          <w:b/>
          <w:color w:val="auto"/>
          <w:kern w:val="0"/>
          <w:sz w:val="30"/>
          <w:szCs w:val="30"/>
          <w:lang w:val="en-US" w:eastAsia="zh-CN"/>
        </w:rPr>
        <w:t>单位收支情况</w:t>
      </w:r>
    </w:p>
    <w:p>
      <w:pPr>
        <w:widowControl/>
        <w:numPr>
          <w:ilvl w:val="0"/>
          <w:numId w:val="0"/>
        </w:numPr>
        <w:spacing w:line="520" w:lineRule="exact"/>
        <w:ind w:firstLine="600" w:firstLineChars="200"/>
        <w:jc w:val="left"/>
        <w:rPr>
          <w:rFonts w:hint="eastAsia" w:asciiTheme="minorEastAsia" w:hAnsiTheme="minorEastAsia"/>
          <w:color w:val="auto"/>
          <w:sz w:val="30"/>
          <w:szCs w:val="30"/>
          <w:lang w:val="en-US" w:eastAsia="zh-CN"/>
        </w:rPr>
      </w:pPr>
      <w:r>
        <w:rPr>
          <w:rFonts w:hint="eastAsia" w:asciiTheme="minorEastAsia" w:hAnsiTheme="minorEastAsia"/>
          <w:color w:val="auto"/>
          <w:sz w:val="30"/>
          <w:szCs w:val="30"/>
          <w:lang w:val="en-US" w:eastAsia="zh-CN"/>
        </w:rPr>
        <w:t>1、资产情况</w:t>
      </w:r>
    </w:p>
    <w:p>
      <w:pPr>
        <w:numPr>
          <w:ilvl w:val="0"/>
          <w:numId w:val="0"/>
        </w:numPr>
        <w:tabs>
          <w:tab w:val="left" w:pos="5954"/>
        </w:tabs>
        <w:spacing w:line="520" w:lineRule="exact"/>
        <w:ind w:firstLine="600" w:firstLineChars="200"/>
        <w:rPr>
          <w:rFonts w:hint="eastAsia" w:asciiTheme="minorEastAsia" w:hAnsiTheme="minorEastAsia"/>
          <w:color w:val="auto"/>
          <w:kern w:val="0"/>
          <w:sz w:val="30"/>
          <w:szCs w:val="30"/>
        </w:rPr>
      </w:pPr>
      <w:r>
        <w:rPr>
          <w:rFonts w:hint="eastAsia" w:asciiTheme="minorEastAsia" w:hAnsiTheme="minorEastAsia"/>
          <w:color w:val="auto"/>
          <w:sz w:val="30"/>
          <w:szCs w:val="30"/>
        </w:rPr>
        <w:t>本单位</w:t>
      </w:r>
      <w:r>
        <w:rPr>
          <w:rFonts w:hint="eastAsia" w:asciiTheme="minorEastAsia" w:hAnsiTheme="minorEastAsia"/>
          <w:color w:val="auto"/>
          <w:sz w:val="30"/>
          <w:szCs w:val="30"/>
          <w:lang w:val="en-US" w:eastAsia="zh-CN"/>
        </w:rPr>
        <w:t>2022</w:t>
      </w:r>
      <w:r>
        <w:rPr>
          <w:rFonts w:hint="eastAsia" w:asciiTheme="minorEastAsia" w:hAnsiTheme="minorEastAsia"/>
          <w:color w:val="auto"/>
          <w:sz w:val="30"/>
          <w:szCs w:val="30"/>
        </w:rPr>
        <w:t>年资产总额</w:t>
      </w:r>
      <w:r>
        <w:rPr>
          <w:rFonts w:hint="eastAsia" w:asciiTheme="minorEastAsia" w:hAnsiTheme="minorEastAsia"/>
          <w:color w:val="auto"/>
          <w:sz w:val="30"/>
          <w:szCs w:val="30"/>
          <w:lang w:val="en-US" w:eastAsia="zh-CN"/>
        </w:rPr>
        <w:t>1876.85</w:t>
      </w:r>
      <w:r>
        <w:rPr>
          <w:rFonts w:hint="eastAsia" w:asciiTheme="minorEastAsia" w:hAnsiTheme="minorEastAsia"/>
          <w:color w:val="auto"/>
          <w:sz w:val="30"/>
          <w:szCs w:val="30"/>
        </w:rPr>
        <w:t>万元，负债</w:t>
      </w:r>
      <w:r>
        <w:rPr>
          <w:rFonts w:hint="eastAsia" w:asciiTheme="minorEastAsia" w:hAnsiTheme="minorEastAsia"/>
          <w:color w:val="auto"/>
          <w:sz w:val="30"/>
          <w:szCs w:val="30"/>
          <w:lang w:val="en-US" w:eastAsia="zh-CN"/>
        </w:rPr>
        <w:t>91.64</w:t>
      </w:r>
      <w:r>
        <w:rPr>
          <w:rFonts w:hint="eastAsia" w:asciiTheme="minorEastAsia" w:hAnsiTheme="minorEastAsia"/>
          <w:color w:val="auto"/>
          <w:sz w:val="30"/>
          <w:szCs w:val="30"/>
        </w:rPr>
        <w:t>万元，净资产</w:t>
      </w:r>
      <w:r>
        <w:rPr>
          <w:rFonts w:hint="eastAsia" w:asciiTheme="minorEastAsia" w:hAnsiTheme="minorEastAsia"/>
          <w:color w:val="auto"/>
          <w:sz w:val="30"/>
          <w:szCs w:val="30"/>
          <w:lang w:val="en-US" w:eastAsia="zh-CN"/>
        </w:rPr>
        <w:t>1785.21</w:t>
      </w:r>
      <w:r>
        <w:rPr>
          <w:rFonts w:hint="eastAsia" w:asciiTheme="minorEastAsia" w:hAnsiTheme="minorEastAsia"/>
          <w:color w:val="auto"/>
          <w:sz w:val="30"/>
          <w:szCs w:val="30"/>
        </w:rPr>
        <w:t>万元。其中：固定资产</w:t>
      </w:r>
      <w:r>
        <w:rPr>
          <w:rFonts w:hint="eastAsia" w:asciiTheme="minorEastAsia" w:hAnsiTheme="minorEastAsia"/>
          <w:color w:val="auto"/>
          <w:sz w:val="30"/>
          <w:szCs w:val="30"/>
          <w:lang w:val="en-US" w:eastAsia="zh-CN"/>
        </w:rPr>
        <w:t>848.93</w:t>
      </w:r>
      <w:r>
        <w:rPr>
          <w:rFonts w:hint="eastAsia" w:asciiTheme="minorEastAsia" w:hAnsiTheme="minorEastAsia"/>
          <w:color w:val="auto"/>
          <w:sz w:val="30"/>
          <w:szCs w:val="30"/>
        </w:rPr>
        <w:t>万元</w:t>
      </w:r>
      <w:r>
        <w:rPr>
          <w:rFonts w:hint="eastAsia" w:asciiTheme="minorEastAsia" w:hAnsiTheme="minorEastAsia"/>
          <w:color w:val="auto"/>
          <w:kern w:val="0"/>
          <w:sz w:val="30"/>
          <w:szCs w:val="30"/>
        </w:rPr>
        <w:t>。</w:t>
      </w:r>
    </w:p>
    <w:p>
      <w:pPr>
        <w:pStyle w:val="11"/>
        <w:spacing w:line="520" w:lineRule="exact"/>
        <w:ind w:left="0" w:leftChars="0" w:firstLine="600" w:firstLineChars="200"/>
        <w:rPr>
          <w:rFonts w:hint="eastAsia" w:asciiTheme="minorEastAsia" w:hAnsiTheme="minorEastAsia" w:eastAsiaTheme="minorEastAsia" w:cstheme="minorBidi"/>
          <w:color w:val="auto"/>
          <w:kern w:val="2"/>
          <w:sz w:val="30"/>
          <w:szCs w:val="30"/>
          <w:lang w:val="en-US" w:eastAsia="zh-CN" w:bidi="ar-SA"/>
        </w:rPr>
      </w:pPr>
      <w:r>
        <w:rPr>
          <w:rFonts w:hint="eastAsia" w:asciiTheme="minorEastAsia" w:hAnsiTheme="minorEastAsia" w:eastAsiaTheme="minorEastAsia" w:cstheme="minorBidi"/>
          <w:color w:val="auto"/>
          <w:kern w:val="2"/>
          <w:sz w:val="30"/>
          <w:szCs w:val="30"/>
          <w:lang w:val="en-US" w:eastAsia="zh-CN" w:bidi="ar-SA"/>
        </w:rPr>
        <w:t>2、收入预算情况</w:t>
      </w:r>
    </w:p>
    <w:p>
      <w:pPr>
        <w:numPr>
          <w:ilvl w:val="0"/>
          <w:numId w:val="0"/>
        </w:numPr>
        <w:tabs>
          <w:tab w:val="left" w:pos="5954"/>
        </w:tabs>
        <w:spacing w:line="520" w:lineRule="exact"/>
        <w:ind w:firstLine="600" w:firstLineChars="200"/>
        <w:rPr>
          <w:rFonts w:hint="eastAsia" w:asciiTheme="minorEastAsia" w:hAnsiTheme="minorEastAsia" w:eastAsiaTheme="minorEastAsia" w:cstheme="minorBidi"/>
          <w:color w:val="auto"/>
          <w:kern w:val="2"/>
          <w:sz w:val="30"/>
          <w:szCs w:val="30"/>
          <w:lang w:val="en-US" w:eastAsia="zh-CN" w:bidi="ar-SA"/>
        </w:rPr>
      </w:pPr>
      <w:r>
        <w:rPr>
          <w:rFonts w:hint="eastAsia" w:asciiTheme="minorEastAsia" w:hAnsiTheme="minorEastAsia" w:eastAsiaTheme="minorEastAsia" w:cstheme="minorBidi"/>
          <w:color w:val="auto"/>
          <w:kern w:val="2"/>
          <w:sz w:val="30"/>
          <w:szCs w:val="30"/>
          <w:lang w:val="en-US" w:eastAsia="zh-CN" w:bidi="ar-SA"/>
        </w:rPr>
        <w:t>202</w:t>
      </w:r>
      <w:r>
        <w:rPr>
          <w:rFonts w:hint="eastAsia" w:asciiTheme="minorEastAsia" w:hAnsiTheme="minorEastAsia" w:cstheme="minorBidi"/>
          <w:color w:val="auto"/>
          <w:kern w:val="2"/>
          <w:sz w:val="30"/>
          <w:szCs w:val="30"/>
          <w:lang w:val="en-US" w:eastAsia="zh-CN" w:bidi="ar-SA"/>
        </w:rPr>
        <w:t>2</w:t>
      </w:r>
      <w:r>
        <w:rPr>
          <w:rFonts w:hint="eastAsia" w:asciiTheme="minorEastAsia" w:hAnsiTheme="minorEastAsia" w:eastAsiaTheme="minorEastAsia" w:cstheme="minorBidi"/>
          <w:color w:val="auto"/>
          <w:kern w:val="2"/>
          <w:sz w:val="30"/>
          <w:szCs w:val="30"/>
          <w:lang w:val="en-US" w:eastAsia="zh-CN" w:bidi="ar-SA"/>
        </w:rPr>
        <w:t>年收入</w:t>
      </w:r>
      <w:r>
        <w:rPr>
          <w:rFonts w:hint="eastAsia" w:asciiTheme="minorEastAsia" w:hAnsiTheme="minorEastAsia" w:cstheme="minorBidi"/>
          <w:color w:val="auto"/>
          <w:kern w:val="2"/>
          <w:sz w:val="30"/>
          <w:szCs w:val="30"/>
          <w:lang w:val="en-US" w:eastAsia="zh-CN" w:bidi="ar-SA"/>
        </w:rPr>
        <w:t>预算1231.96</w:t>
      </w:r>
      <w:r>
        <w:rPr>
          <w:rFonts w:hint="eastAsia" w:asciiTheme="minorEastAsia" w:hAnsiTheme="minorEastAsia" w:eastAsiaTheme="minorEastAsia" w:cstheme="minorBidi"/>
          <w:color w:val="auto"/>
          <w:kern w:val="2"/>
          <w:sz w:val="30"/>
          <w:szCs w:val="30"/>
          <w:lang w:val="en-US" w:eastAsia="zh-CN" w:bidi="ar-SA"/>
        </w:rPr>
        <w:t>万元。其中：财政拨款收入</w:t>
      </w:r>
      <w:r>
        <w:rPr>
          <w:rFonts w:hint="eastAsia" w:asciiTheme="minorEastAsia" w:hAnsiTheme="minorEastAsia" w:cstheme="minorBidi"/>
          <w:color w:val="auto"/>
          <w:kern w:val="2"/>
          <w:sz w:val="30"/>
          <w:szCs w:val="30"/>
          <w:lang w:val="en-US" w:eastAsia="zh-CN" w:bidi="ar-SA"/>
        </w:rPr>
        <w:t>1231.96</w:t>
      </w:r>
      <w:r>
        <w:rPr>
          <w:rFonts w:hint="eastAsia" w:asciiTheme="minorEastAsia" w:hAnsiTheme="minorEastAsia" w:eastAsiaTheme="minorEastAsia" w:cstheme="minorBidi"/>
          <w:color w:val="auto"/>
          <w:kern w:val="2"/>
          <w:sz w:val="30"/>
          <w:szCs w:val="30"/>
          <w:lang w:val="en-US" w:eastAsia="zh-CN" w:bidi="ar-SA"/>
        </w:rPr>
        <w:t>万元。（此数值口径为年初预算批复数）</w:t>
      </w:r>
    </w:p>
    <w:p>
      <w:pPr>
        <w:spacing w:line="520" w:lineRule="exact"/>
        <w:ind w:firstLine="600" w:firstLineChars="200"/>
        <w:rPr>
          <w:rFonts w:hint="eastAsia" w:cs="仿宋_GB2312" w:asciiTheme="minorEastAsia" w:hAnsiTheme="minorEastAsia"/>
          <w:color w:val="auto"/>
          <w:sz w:val="30"/>
          <w:szCs w:val="30"/>
        </w:rPr>
      </w:pPr>
      <w:r>
        <w:rPr>
          <w:rFonts w:hint="eastAsia" w:asciiTheme="minorEastAsia" w:hAnsiTheme="minorEastAsia"/>
          <w:color w:val="auto"/>
          <w:sz w:val="30"/>
          <w:szCs w:val="30"/>
          <w:lang w:val="en-US" w:eastAsia="zh-CN"/>
        </w:rPr>
        <w:t>3</w:t>
      </w:r>
      <w:r>
        <w:rPr>
          <w:rFonts w:hint="eastAsia" w:asciiTheme="minorEastAsia" w:hAnsiTheme="minorEastAsia"/>
          <w:color w:val="auto"/>
          <w:sz w:val="30"/>
          <w:szCs w:val="30"/>
        </w:rPr>
        <w:t>、支出预算情况</w:t>
      </w:r>
    </w:p>
    <w:p>
      <w:pPr>
        <w:numPr>
          <w:ilvl w:val="0"/>
          <w:numId w:val="0"/>
        </w:numPr>
        <w:tabs>
          <w:tab w:val="left" w:pos="5954"/>
        </w:tabs>
        <w:spacing w:line="520" w:lineRule="exact"/>
        <w:ind w:firstLine="600" w:firstLineChars="200"/>
        <w:rPr>
          <w:rFonts w:hint="eastAsia" w:asciiTheme="minorEastAsia" w:hAnsiTheme="minorEastAsia"/>
          <w:color w:val="auto"/>
          <w:sz w:val="30"/>
          <w:szCs w:val="30"/>
        </w:rPr>
      </w:pPr>
      <w:r>
        <w:rPr>
          <w:rFonts w:hint="eastAsia" w:asciiTheme="minorEastAsia" w:hAnsiTheme="minorEastAsia"/>
          <w:color w:val="auto"/>
          <w:sz w:val="30"/>
          <w:szCs w:val="30"/>
          <w:lang w:val="en-US" w:eastAsia="zh-CN"/>
        </w:rPr>
        <w:t>2022</w:t>
      </w:r>
      <w:r>
        <w:rPr>
          <w:rFonts w:hint="eastAsia" w:asciiTheme="minorEastAsia" w:hAnsiTheme="minorEastAsia"/>
          <w:color w:val="auto"/>
          <w:sz w:val="30"/>
          <w:szCs w:val="30"/>
        </w:rPr>
        <w:t>年支出</w:t>
      </w:r>
      <w:r>
        <w:rPr>
          <w:rFonts w:hint="eastAsia" w:asciiTheme="minorEastAsia" w:hAnsiTheme="minorEastAsia"/>
          <w:color w:val="auto"/>
          <w:sz w:val="30"/>
          <w:szCs w:val="30"/>
          <w:lang w:val="en-US" w:eastAsia="zh-CN"/>
        </w:rPr>
        <w:t>预算1231.96</w:t>
      </w:r>
      <w:r>
        <w:rPr>
          <w:rFonts w:hint="eastAsia" w:asciiTheme="minorEastAsia" w:hAnsiTheme="minorEastAsia"/>
          <w:color w:val="auto"/>
          <w:sz w:val="30"/>
          <w:szCs w:val="30"/>
        </w:rPr>
        <w:t>万元。其中：</w:t>
      </w:r>
      <w:r>
        <w:rPr>
          <w:rFonts w:hint="eastAsia" w:asciiTheme="minorEastAsia" w:hAnsiTheme="minorEastAsia"/>
          <w:color w:val="auto"/>
          <w:sz w:val="30"/>
          <w:szCs w:val="30"/>
          <w:lang w:val="en-US" w:eastAsia="zh-CN"/>
        </w:rPr>
        <w:t>基本支出1161.66</w:t>
      </w:r>
      <w:r>
        <w:rPr>
          <w:rFonts w:hint="eastAsia" w:asciiTheme="minorEastAsia" w:hAnsiTheme="minorEastAsia"/>
          <w:color w:val="auto"/>
          <w:sz w:val="30"/>
          <w:szCs w:val="30"/>
        </w:rPr>
        <w:t>万元，</w:t>
      </w:r>
      <w:r>
        <w:rPr>
          <w:rFonts w:hint="eastAsia" w:asciiTheme="minorEastAsia" w:hAnsiTheme="minorEastAsia"/>
          <w:color w:val="auto"/>
          <w:sz w:val="30"/>
          <w:szCs w:val="30"/>
          <w:lang w:val="en-US" w:eastAsia="zh-CN"/>
        </w:rPr>
        <w:t>项目支出70.30万元</w:t>
      </w:r>
      <w:r>
        <w:rPr>
          <w:rFonts w:hint="eastAsia" w:asciiTheme="minorEastAsia" w:hAnsiTheme="minorEastAsia"/>
          <w:color w:val="auto"/>
          <w:sz w:val="30"/>
          <w:szCs w:val="30"/>
        </w:rPr>
        <w:t>。</w:t>
      </w:r>
      <w:r>
        <w:rPr>
          <w:rFonts w:hint="eastAsia" w:asciiTheme="minorEastAsia" w:hAnsiTheme="minorEastAsia" w:eastAsiaTheme="minorEastAsia" w:cstheme="minorBidi"/>
          <w:color w:val="auto"/>
          <w:kern w:val="2"/>
          <w:sz w:val="30"/>
          <w:szCs w:val="30"/>
          <w:lang w:val="en-US" w:eastAsia="zh-CN" w:bidi="ar-SA"/>
        </w:rPr>
        <w:t>（此数值口径为年初预算批复数）</w:t>
      </w:r>
    </w:p>
    <w:p>
      <w:pPr>
        <w:numPr>
          <w:ilvl w:val="0"/>
          <w:numId w:val="1"/>
        </w:numPr>
        <w:spacing w:line="520" w:lineRule="exact"/>
        <w:rPr>
          <w:rFonts w:hint="eastAsia" w:cs="宋体" w:asciiTheme="minorEastAsia" w:hAnsiTheme="minorEastAsia"/>
          <w:b/>
          <w:bCs/>
          <w:color w:val="auto"/>
          <w:kern w:val="0"/>
          <w:sz w:val="30"/>
          <w:szCs w:val="30"/>
          <w:lang w:val="en-US" w:eastAsia="zh-CN"/>
        </w:rPr>
      </w:pPr>
      <w:r>
        <w:rPr>
          <w:rFonts w:hint="eastAsia" w:cs="宋体" w:asciiTheme="minorEastAsia" w:hAnsiTheme="minorEastAsia"/>
          <w:b/>
          <w:bCs/>
          <w:color w:val="auto"/>
          <w:kern w:val="0"/>
          <w:sz w:val="30"/>
          <w:szCs w:val="30"/>
          <w:lang w:val="en-US" w:eastAsia="zh-CN"/>
        </w:rPr>
        <w:t>单位</w:t>
      </w:r>
      <w:r>
        <w:rPr>
          <w:rFonts w:hint="eastAsia" w:cs="宋体" w:asciiTheme="minorEastAsia" w:hAnsiTheme="minorEastAsia"/>
          <w:b/>
          <w:bCs/>
          <w:color w:val="auto"/>
          <w:kern w:val="0"/>
          <w:sz w:val="30"/>
          <w:szCs w:val="30"/>
        </w:rPr>
        <w:t>绩效目标</w:t>
      </w:r>
    </w:p>
    <w:p>
      <w:pPr>
        <w:spacing w:line="520" w:lineRule="exact"/>
        <w:ind w:firstLine="301" w:firstLineChars="100"/>
        <w:rPr>
          <w:rFonts w:hint="eastAsia" w:cs="宋体" w:asciiTheme="minorEastAsia" w:hAnsiTheme="minorEastAsia"/>
          <w:b/>
          <w:bCs/>
          <w:color w:val="auto"/>
          <w:kern w:val="0"/>
          <w:sz w:val="30"/>
          <w:szCs w:val="30"/>
          <w:lang w:val="en-US" w:eastAsia="zh-CN"/>
        </w:rPr>
      </w:pPr>
      <w:r>
        <w:rPr>
          <w:rFonts w:hint="eastAsia" w:cs="宋体" w:asciiTheme="minorEastAsia" w:hAnsiTheme="minorEastAsia"/>
          <w:b/>
          <w:bCs/>
          <w:color w:val="auto"/>
          <w:kern w:val="0"/>
          <w:sz w:val="30"/>
          <w:szCs w:val="30"/>
          <w:lang w:val="en-US" w:eastAsia="zh-CN"/>
        </w:rPr>
        <w:t>中长期目标：</w:t>
      </w:r>
    </w:p>
    <w:p>
      <w:pPr>
        <w:spacing w:line="520" w:lineRule="exact"/>
        <w:ind w:firstLine="600" w:firstLineChars="200"/>
        <w:rPr>
          <w:rFonts w:hint="eastAsia" w:cs="宋体" w:asciiTheme="minorEastAsia" w:hAnsiTheme="minorEastAsia"/>
          <w:color w:val="auto"/>
          <w:kern w:val="0"/>
          <w:sz w:val="30"/>
          <w:szCs w:val="30"/>
          <w:lang w:val="en-US" w:eastAsia="zh-CN"/>
        </w:rPr>
      </w:pPr>
      <w:r>
        <w:rPr>
          <w:rFonts w:hint="eastAsia" w:cs="宋体" w:asciiTheme="minorEastAsia" w:hAnsiTheme="minorEastAsia"/>
          <w:color w:val="auto"/>
          <w:kern w:val="0"/>
          <w:sz w:val="30"/>
          <w:szCs w:val="30"/>
          <w:lang w:val="en-US" w:eastAsia="zh-CN"/>
        </w:rPr>
        <w:t>1、推进金陵白鸭选育工作，探索蛋鸭养殖新模式，持续推进非洲猪瘟防控工作，推进后续保种工作。</w:t>
      </w:r>
    </w:p>
    <w:p>
      <w:pPr>
        <w:spacing w:line="520" w:lineRule="exact"/>
        <w:ind w:firstLine="600" w:firstLineChars="200"/>
        <w:rPr>
          <w:rFonts w:hint="eastAsia" w:cs="宋体" w:asciiTheme="minorEastAsia" w:hAnsiTheme="minorEastAsia"/>
          <w:color w:val="auto"/>
          <w:kern w:val="0"/>
          <w:sz w:val="30"/>
          <w:szCs w:val="30"/>
          <w:lang w:val="en-US" w:eastAsia="zh-CN"/>
        </w:rPr>
      </w:pPr>
      <w:r>
        <w:rPr>
          <w:rFonts w:hint="eastAsia" w:cs="宋体" w:asciiTheme="minorEastAsia" w:hAnsiTheme="minorEastAsia"/>
          <w:color w:val="auto"/>
          <w:kern w:val="0"/>
          <w:sz w:val="30"/>
          <w:szCs w:val="30"/>
          <w:lang w:val="en-US" w:eastAsia="zh-CN"/>
        </w:rPr>
        <w:t>2、进行功能性饲料添加剂对水禽生产与健康的影响研究，为种群扩繁与示范推广提供技术支撑，建立种群基础。</w:t>
      </w:r>
    </w:p>
    <w:p>
      <w:pPr>
        <w:spacing w:line="520" w:lineRule="exact"/>
        <w:ind w:firstLine="600" w:firstLineChars="200"/>
        <w:rPr>
          <w:rFonts w:hint="eastAsia" w:cs="宋体" w:asciiTheme="minorEastAsia" w:hAnsiTheme="minorEastAsia"/>
          <w:color w:val="auto"/>
          <w:kern w:val="0"/>
          <w:sz w:val="30"/>
          <w:szCs w:val="30"/>
          <w:lang w:val="en-US" w:eastAsia="zh-CN"/>
        </w:rPr>
      </w:pPr>
      <w:r>
        <w:rPr>
          <w:rFonts w:hint="eastAsia" w:cs="宋体" w:asciiTheme="minorEastAsia" w:hAnsiTheme="minorEastAsia"/>
          <w:color w:val="auto"/>
          <w:kern w:val="0"/>
          <w:sz w:val="30"/>
          <w:szCs w:val="30"/>
          <w:lang w:val="en-US" w:eastAsia="zh-CN"/>
        </w:rPr>
        <w:t>3、加强省生猪产业体系示范基地建设，保障山猪保种基地正常运行与维护，制定完善生物安全防控措施、配留种计划，稳定山猪种群规模。</w:t>
      </w:r>
    </w:p>
    <w:p>
      <w:pPr>
        <w:spacing w:line="520" w:lineRule="exact"/>
        <w:ind w:firstLine="600" w:firstLineChars="200"/>
        <w:rPr>
          <w:rFonts w:hint="eastAsia" w:cs="宋体" w:asciiTheme="minorEastAsia" w:hAnsiTheme="minorEastAsia"/>
          <w:color w:val="auto"/>
          <w:kern w:val="0"/>
          <w:sz w:val="30"/>
          <w:szCs w:val="30"/>
          <w:lang w:val="en-US" w:eastAsia="zh-CN"/>
        </w:rPr>
      </w:pPr>
      <w:r>
        <w:rPr>
          <w:rFonts w:hint="eastAsia" w:cs="宋体" w:asciiTheme="minorEastAsia" w:hAnsiTheme="minorEastAsia"/>
          <w:color w:val="auto"/>
          <w:kern w:val="0"/>
          <w:sz w:val="30"/>
          <w:szCs w:val="30"/>
          <w:lang w:val="en-US" w:eastAsia="zh-CN"/>
        </w:rPr>
        <w:t>4、建设现代化的示范养殖科研基地，为本地区特色畜禽养殖产业的健康发展发挥带动作用。</w:t>
      </w:r>
    </w:p>
    <w:p>
      <w:pPr>
        <w:spacing w:line="520" w:lineRule="exact"/>
        <w:ind w:firstLine="600" w:firstLineChars="200"/>
        <w:rPr>
          <w:rFonts w:hint="eastAsia" w:cs="宋体" w:asciiTheme="minorEastAsia" w:hAnsiTheme="minorEastAsia"/>
          <w:color w:val="auto"/>
          <w:kern w:val="0"/>
          <w:sz w:val="30"/>
          <w:szCs w:val="30"/>
          <w:lang w:val="en-US" w:eastAsia="zh-CN"/>
        </w:rPr>
      </w:pPr>
      <w:r>
        <w:rPr>
          <w:rFonts w:hint="eastAsia" w:cs="宋体" w:asciiTheme="minorEastAsia" w:hAnsiTheme="minorEastAsia"/>
          <w:color w:val="auto"/>
          <w:kern w:val="0"/>
          <w:sz w:val="30"/>
          <w:szCs w:val="30"/>
          <w:lang w:val="en-US" w:eastAsia="zh-CN"/>
        </w:rPr>
        <w:t>5、开展新型畜禽养殖模式的研究与示范，保障科研基地的正常运行，提升科研基地的科研创新能力与示范效应。</w:t>
      </w:r>
    </w:p>
    <w:p>
      <w:pPr>
        <w:spacing w:line="520" w:lineRule="exact"/>
        <w:ind w:firstLine="301" w:firstLineChars="100"/>
        <w:rPr>
          <w:rFonts w:hint="eastAsia" w:cs="宋体" w:asciiTheme="minorEastAsia" w:hAnsiTheme="minorEastAsia"/>
          <w:color w:val="auto"/>
          <w:kern w:val="0"/>
          <w:sz w:val="30"/>
          <w:szCs w:val="30"/>
          <w:lang w:val="en-US" w:eastAsia="zh-CN"/>
        </w:rPr>
      </w:pPr>
      <w:r>
        <w:rPr>
          <w:rFonts w:hint="eastAsia" w:cs="宋体" w:asciiTheme="minorEastAsia" w:hAnsiTheme="minorEastAsia"/>
          <w:b/>
          <w:bCs/>
          <w:color w:val="auto"/>
          <w:kern w:val="0"/>
          <w:sz w:val="30"/>
          <w:szCs w:val="30"/>
          <w:lang w:val="en-US" w:eastAsia="zh-CN"/>
        </w:rPr>
        <w:t>年度目标：</w:t>
      </w:r>
    </w:p>
    <w:p>
      <w:pPr>
        <w:widowControl/>
        <w:spacing w:line="520" w:lineRule="exact"/>
        <w:ind w:firstLine="600" w:firstLineChars="200"/>
        <w:jc w:val="left"/>
        <w:rPr>
          <w:rFonts w:hint="eastAsia" w:cs="宋体" w:asciiTheme="minorEastAsia" w:hAnsiTheme="minorEastAsia"/>
          <w:color w:val="auto"/>
          <w:kern w:val="0"/>
          <w:sz w:val="30"/>
          <w:szCs w:val="30"/>
        </w:rPr>
      </w:pPr>
      <w:r>
        <w:rPr>
          <w:rFonts w:hint="eastAsia" w:cs="宋体" w:asciiTheme="minorEastAsia" w:hAnsiTheme="minorEastAsia"/>
          <w:color w:val="auto"/>
          <w:kern w:val="0"/>
          <w:sz w:val="30"/>
          <w:szCs w:val="30"/>
        </w:rPr>
        <w:t>1、开展金陵白鸭配套系一世代选育，测定世代生产性能，适时开展配套系继代繁育和选留选配，建立金陵白鸭配套系二世代选育家系2000套和扩繁饲养群1000套。</w:t>
      </w:r>
    </w:p>
    <w:p>
      <w:pPr>
        <w:widowControl/>
        <w:spacing w:line="520" w:lineRule="exact"/>
        <w:ind w:firstLine="600" w:firstLineChars="200"/>
        <w:jc w:val="left"/>
        <w:rPr>
          <w:rFonts w:hint="eastAsia" w:cs="宋体" w:asciiTheme="minorEastAsia" w:hAnsiTheme="minorEastAsia"/>
          <w:color w:val="auto"/>
          <w:kern w:val="0"/>
          <w:sz w:val="30"/>
          <w:szCs w:val="30"/>
        </w:rPr>
      </w:pPr>
      <w:r>
        <w:rPr>
          <w:rFonts w:hint="eastAsia" w:cs="宋体" w:asciiTheme="minorEastAsia" w:hAnsiTheme="minorEastAsia"/>
          <w:color w:val="auto"/>
          <w:kern w:val="0"/>
          <w:sz w:val="30"/>
          <w:szCs w:val="30"/>
        </w:rPr>
        <w:t>2、加强所省级水禽产业技术体系健康养殖创新团队和蛋鸡产业技术体系江宁示范基地团队建设，完成产业技术体系2021-2022年度目标任务，通过考核验收。</w:t>
      </w:r>
    </w:p>
    <w:p>
      <w:pPr>
        <w:widowControl/>
        <w:spacing w:line="520" w:lineRule="exact"/>
        <w:ind w:firstLine="600" w:firstLineChars="200"/>
        <w:jc w:val="left"/>
        <w:rPr>
          <w:rFonts w:hint="eastAsia" w:cs="宋体" w:asciiTheme="minorEastAsia" w:hAnsiTheme="minorEastAsia"/>
          <w:color w:val="auto"/>
          <w:kern w:val="0"/>
          <w:sz w:val="30"/>
          <w:szCs w:val="30"/>
        </w:rPr>
      </w:pPr>
      <w:r>
        <w:rPr>
          <w:rFonts w:hint="eastAsia" w:cs="宋体" w:asciiTheme="minorEastAsia" w:hAnsiTheme="minorEastAsia"/>
          <w:color w:val="auto"/>
          <w:kern w:val="0"/>
          <w:sz w:val="30"/>
          <w:szCs w:val="30"/>
        </w:rPr>
        <w:t>3、对接南京鸭产业链建设，开展产业调研与咨询服务，制定鸭产业地方标准2项，开展绍兴鸭新品系种蛋收集、孵化与推广，推广规模8000只以上。</w:t>
      </w:r>
    </w:p>
    <w:p>
      <w:pPr>
        <w:widowControl/>
        <w:spacing w:line="520" w:lineRule="exact"/>
        <w:ind w:firstLine="600" w:firstLineChars="200"/>
        <w:jc w:val="left"/>
        <w:rPr>
          <w:rFonts w:hint="eastAsia" w:cs="宋体" w:asciiTheme="minorEastAsia" w:hAnsiTheme="minorEastAsia"/>
          <w:color w:val="auto"/>
          <w:kern w:val="0"/>
          <w:sz w:val="30"/>
          <w:szCs w:val="30"/>
        </w:rPr>
      </w:pPr>
      <w:r>
        <w:rPr>
          <w:rFonts w:hint="eastAsia" w:cs="宋体" w:asciiTheme="minorEastAsia" w:hAnsiTheme="minorEastAsia"/>
          <w:color w:val="auto"/>
          <w:kern w:val="0"/>
          <w:sz w:val="30"/>
          <w:szCs w:val="30"/>
        </w:rPr>
        <w:t>4、开展山猪遗传资源调研，掌握全市山猪分布情况；开展种猪性能测定，强化山猪疫病抗体水平监测；扩增山猪种群，完善协作保种，优化种群结构，山猪种群规模达到130头以上。</w:t>
      </w:r>
    </w:p>
    <w:p>
      <w:pPr>
        <w:widowControl/>
        <w:spacing w:line="520" w:lineRule="exact"/>
        <w:ind w:firstLine="600" w:firstLineChars="200"/>
        <w:jc w:val="left"/>
        <w:rPr>
          <w:rFonts w:hint="eastAsia" w:cs="宋体" w:asciiTheme="minorEastAsia" w:hAnsiTheme="minorEastAsia"/>
          <w:color w:val="auto"/>
          <w:kern w:val="0"/>
          <w:sz w:val="30"/>
          <w:szCs w:val="30"/>
        </w:rPr>
      </w:pPr>
      <w:r>
        <w:rPr>
          <w:rFonts w:hint="eastAsia" w:cs="宋体" w:asciiTheme="minorEastAsia" w:hAnsiTheme="minorEastAsia"/>
          <w:color w:val="auto"/>
          <w:kern w:val="0"/>
          <w:sz w:val="30"/>
          <w:szCs w:val="30"/>
        </w:rPr>
        <w:t>5、加强所省级生猪产业体系示范基地建设，完成体系2022年度目标任务，对接生猪养殖示范点、示范户8个以上，开展种猪质量提升与高效利用、生物安全、地方猪资源保护及利用等技术示范应用与推广。参与或组织全所面上推广与业务培训，服务全市生猪产业发展。</w:t>
      </w:r>
    </w:p>
    <w:p>
      <w:pPr>
        <w:widowControl/>
        <w:spacing w:line="520" w:lineRule="exact"/>
        <w:ind w:firstLine="600" w:firstLineChars="200"/>
        <w:jc w:val="left"/>
        <w:rPr>
          <w:rFonts w:hint="eastAsia" w:cs="宋体" w:asciiTheme="minorEastAsia" w:hAnsiTheme="minorEastAsia" w:eastAsiaTheme="minorEastAsia"/>
          <w:b/>
          <w:color w:val="auto"/>
          <w:kern w:val="0"/>
          <w:sz w:val="30"/>
          <w:szCs w:val="30"/>
          <w:lang w:eastAsia="zh-CN"/>
        </w:rPr>
      </w:pPr>
      <w:r>
        <w:rPr>
          <w:rFonts w:hint="eastAsia" w:cs="宋体" w:asciiTheme="minorEastAsia" w:hAnsiTheme="minorEastAsia"/>
          <w:color w:val="auto"/>
          <w:kern w:val="0"/>
          <w:sz w:val="30"/>
          <w:szCs w:val="30"/>
        </w:rPr>
        <w:t>6、完成2022年度科研院所专项《畜禽舍内环境质量控制技术研究与应用》的实施内容。发表相关科研论文1篇，组织培训100人次。</w:t>
      </w:r>
      <w:r>
        <w:rPr>
          <w:rFonts w:hint="eastAsia" w:cs="宋体" w:asciiTheme="minorEastAsia" w:hAnsiTheme="minorEastAsia"/>
          <w:b/>
          <w:color w:val="auto"/>
          <w:kern w:val="0"/>
          <w:sz w:val="30"/>
          <w:szCs w:val="30"/>
          <w:lang w:val="en-US" w:eastAsia="zh-CN"/>
        </w:rPr>
        <w:t>二、</w:t>
      </w:r>
      <w:r>
        <w:rPr>
          <w:rFonts w:hint="eastAsia" w:cs="宋体" w:asciiTheme="minorEastAsia" w:hAnsiTheme="minorEastAsia"/>
          <w:b/>
          <w:color w:val="auto"/>
          <w:kern w:val="0"/>
          <w:sz w:val="30"/>
          <w:szCs w:val="30"/>
        </w:rPr>
        <w:t>评价</w:t>
      </w:r>
      <w:r>
        <w:rPr>
          <w:rFonts w:hint="eastAsia" w:cs="宋体" w:asciiTheme="minorEastAsia" w:hAnsiTheme="minorEastAsia"/>
          <w:b/>
          <w:color w:val="auto"/>
          <w:kern w:val="0"/>
          <w:sz w:val="30"/>
          <w:szCs w:val="30"/>
          <w:lang w:val="en-US" w:eastAsia="zh-CN"/>
        </w:rPr>
        <w:t>结论</w:t>
      </w:r>
    </w:p>
    <w:p>
      <w:pPr>
        <w:widowControl/>
        <w:spacing w:line="520" w:lineRule="exact"/>
        <w:jc w:val="left"/>
        <w:rPr>
          <w:rFonts w:cs="宋体" w:asciiTheme="minorEastAsia" w:hAnsiTheme="minorEastAsia"/>
          <w:b/>
          <w:color w:val="auto"/>
          <w:kern w:val="0"/>
          <w:sz w:val="30"/>
          <w:szCs w:val="30"/>
        </w:rPr>
      </w:pPr>
      <w:r>
        <w:rPr>
          <w:rFonts w:hint="eastAsia" w:cs="宋体" w:asciiTheme="minorEastAsia" w:hAnsiTheme="minorEastAsia"/>
          <w:b/>
          <w:color w:val="auto"/>
          <w:kern w:val="0"/>
          <w:sz w:val="30"/>
          <w:szCs w:val="30"/>
        </w:rPr>
        <w:t>（一）基本情况</w:t>
      </w:r>
    </w:p>
    <w:p>
      <w:pPr>
        <w:widowControl/>
        <w:spacing w:line="520" w:lineRule="exact"/>
        <w:ind w:firstLine="600" w:firstLineChars="200"/>
        <w:jc w:val="left"/>
        <w:rPr>
          <w:rFonts w:cs="宋体" w:asciiTheme="minorEastAsia" w:hAnsiTheme="minorEastAsia"/>
          <w:color w:val="auto"/>
          <w:kern w:val="0"/>
          <w:sz w:val="30"/>
          <w:szCs w:val="30"/>
        </w:rPr>
      </w:pPr>
      <w:r>
        <w:rPr>
          <w:rFonts w:hint="eastAsia" w:cs="宋体" w:asciiTheme="minorEastAsia" w:hAnsiTheme="minorEastAsia"/>
          <w:color w:val="auto"/>
          <w:kern w:val="0"/>
          <w:sz w:val="30"/>
          <w:szCs w:val="30"/>
        </w:rPr>
        <w:t>1、</w:t>
      </w:r>
      <w:r>
        <w:rPr>
          <w:rFonts w:hint="eastAsia" w:cs="宋体" w:asciiTheme="minorEastAsia" w:hAnsiTheme="minorEastAsia"/>
          <w:color w:val="auto"/>
          <w:kern w:val="0"/>
          <w:sz w:val="30"/>
          <w:szCs w:val="30"/>
          <w:lang w:val="en-US" w:eastAsia="zh-CN"/>
        </w:rPr>
        <w:t>本单位</w:t>
      </w:r>
      <w:r>
        <w:rPr>
          <w:rFonts w:hint="eastAsia" w:cs="宋体" w:asciiTheme="minorEastAsia" w:hAnsiTheme="minorEastAsia"/>
          <w:color w:val="auto"/>
          <w:kern w:val="0"/>
          <w:sz w:val="30"/>
          <w:szCs w:val="30"/>
        </w:rPr>
        <w:t>结合单位职能和主管部门年度工作目标和重点任务，合理设立年度单位整体绩效目标。对单位管理和使用的财政资金（包括部门预算基本支出和项目支出），由单位紧紧围绕整体绩效评价指标框架进行自评价，市级专项由主管部门统一组织验收并进行绩效评价等等，在此基础上并加以综合，形成部门整体绩效评价报告。</w:t>
      </w:r>
    </w:p>
    <w:p>
      <w:pPr>
        <w:widowControl/>
        <w:spacing w:line="520" w:lineRule="exact"/>
        <w:ind w:firstLine="600" w:firstLineChars="200"/>
        <w:jc w:val="left"/>
        <w:rPr>
          <w:rFonts w:hint="eastAsia" w:cs="宋体" w:asciiTheme="minorEastAsia" w:hAnsiTheme="minorEastAsia"/>
          <w:color w:val="auto"/>
          <w:kern w:val="0"/>
          <w:sz w:val="30"/>
          <w:szCs w:val="30"/>
        </w:rPr>
      </w:pPr>
      <w:r>
        <w:rPr>
          <w:rFonts w:cs="宋体" w:asciiTheme="minorEastAsia" w:hAnsiTheme="minorEastAsia"/>
          <w:color w:val="auto"/>
          <w:kern w:val="0"/>
          <w:sz w:val="30"/>
          <w:szCs w:val="30"/>
        </w:rPr>
        <w:t>2</w:t>
      </w:r>
      <w:r>
        <w:rPr>
          <w:rFonts w:hint="eastAsia" w:cs="宋体" w:asciiTheme="minorEastAsia" w:hAnsiTheme="minorEastAsia"/>
          <w:color w:val="auto"/>
          <w:kern w:val="0"/>
          <w:sz w:val="30"/>
          <w:szCs w:val="30"/>
        </w:rPr>
        <w:t>、研究建立整体绩效目标管理制度和评价程序，打好整体绩效评价的基础。因为整体绩效目标评价结果，不仅为政府决策以及财政部门和主管部门编制预算提供参考依据，也为本单位预算执行管理建立了基准，同时也是政府信息公开的内容之一。</w:t>
      </w:r>
    </w:p>
    <w:p>
      <w:pPr>
        <w:widowControl/>
        <w:spacing w:line="520" w:lineRule="exact"/>
        <w:jc w:val="left"/>
        <w:rPr>
          <w:rFonts w:cs="宋体" w:asciiTheme="minorEastAsia" w:hAnsiTheme="minorEastAsia"/>
          <w:b/>
          <w:color w:val="auto"/>
          <w:kern w:val="0"/>
          <w:sz w:val="30"/>
          <w:szCs w:val="30"/>
        </w:rPr>
      </w:pPr>
      <w:r>
        <w:rPr>
          <w:rFonts w:hint="eastAsia" w:cs="宋体" w:asciiTheme="minorEastAsia" w:hAnsiTheme="minorEastAsia"/>
          <w:b/>
          <w:color w:val="auto"/>
          <w:kern w:val="0"/>
          <w:sz w:val="30"/>
          <w:szCs w:val="30"/>
        </w:rPr>
        <w:t>（二）评价组织实施</w:t>
      </w:r>
    </w:p>
    <w:p>
      <w:pPr>
        <w:widowControl/>
        <w:spacing w:line="520" w:lineRule="exact"/>
        <w:ind w:firstLine="600" w:firstLineChars="200"/>
        <w:jc w:val="left"/>
        <w:rPr>
          <w:rFonts w:hint="eastAsia" w:cs="宋体" w:asciiTheme="minorEastAsia" w:hAnsiTheme="minorEastAsia"/>
          <w:color w:val="auto"/>
          <w:kern w:val="0"/>
          <w:sz w:val="30"/>
          <w:szCs w:val="30"/>
        </w:rPr>
      </w:pPr>
      <w:r>
        <w:rPr>
          <w:rFonts w:hint="eastAsia" w:cs="宋体" w:asciiTheme="minorEastAsia" w:hAnsiTheme="minorEastAsia"/>
          <w:color w:val="auto"/>
          <w:kern w:val="0"/>
          <w:sz w:val="30"/>
          <w:szCs w:val="30"/>
        </w:rPr>
        <w:t>采用单位自评、第三方出具专项审计报告</w:t>
      </w:r>
      <w:r>
        <w:rPr>
          <w:rFonts w:hint="eastAsia" w:asciiTheme="minorEastAsia" w:hAnsiTheme="minorEastAsia"/>
          <w:color w:val="auto"/>
          <w:sz w:val="30"/>
          <w:szCs w:val="30"/>
        </w:rPr>
        <w:t>等</w:t>
      </w:r>
      <w:r>
        <w:rPr>
          <w:rFonts w:hint="eastAsia" w:cs="宋体" w:asciiTheme="minorEastAsia" w:hAnsiTheme="minorEastAsia"/>
          <w:color w:val="auto"/>
          <w:kern w:val="0"/>
          <w:sz w:val="30"/>
          <w:szCs w:val="30"/>
        </w:rPr>
        <w:t>相结合的评价方法来组织实施部门整体绩效评价。</w:t>
      </w:r>
    </w:p>
    <w:p>
      <w:pPr>
        <w:widowControl/>
        <w:spacing w:line="520" w:lineRule="exact"/>
        <w:ind w:firstLine="600" w:firstLineChars="200"/>
        <w:jc w:val="left"/>
        <w:rPr>
          <w:rFonts w:cs="宋体" w:asciiTheme="minorEastAsia" w:hAnsiTheme="minorEastAsia"/>
          <w:color w:val="auto"/>
          <w:kern w:val="0"/>
          <w:sz w:val="30"/>
          <w:szCs w:val="30"/>
        </w:rPr>
      </w:pPr>
      <w:r>
        <w:rPr>
          <w:rFonts w:hint="eastAsia" w:cs="宋体" w:asciiTheme="minorEastAsia" w:hAnsiTheme="minorEastAsia"/>
          <w:color w:val="auto"/>
          <w:kern w:val="0"/>
          <w:sz w:val="30"/>
          <w:szCs w:val="30"/>
        </w:rPr>
        <w:t>1、</w:t>
      </w:r>
      <w:r>
        <w:rPr>
          <w:rFonts w:hint="eastAsia" w:asciiTheme="minorEastAsia" w:hAnsiTheme="minorEastAsia"/>
          <w:color w:val="auto"/>
          <w:sz w:val="30"/>
          <w:szCs w:val="30"/>
        </w:rPr>
        <w:t>学习整体绩效评价指标。</w:t>
      </w:r>
      <w:r>
        <w:rPr>
          <w:rFonts w:hint="eastAsia" w:cs="宋体" w:asciiTheme="minorEastAsia" w:hAnsiTheme="minorEastAsia"/>
          <w:color w:val="auto"/>
          <w:kern w:val="0"/>
          <w:sz w:val="30"/>
          <w:szCs w:val="30"/>
        </w:rPr>
        <w:t>本单位召集各部门开会，</w:t>
      </w:r>
      <w:r>
        <w:rPr>
          <w:rFonts w:hint="eastAsia" w:asciiTheme="minorEastAsia" w:hAnsiTheme="minorEastAsia"/>
          <w:color w:val="auto"/>
          <w:sz w:val="30"/>
          <w:szCs w:val="30"/>
        </w:rPr>
        <w:t>认真学习分析整体绩效评价指标框架。整体绩效评价</w:t>
      </w:r>
      <w:r>
        <w:rPr>
          <w:rFonts w:hint="eastAsia" w:cs="宋体" w:asciiTheme="minorEastAsia" w:hAnsiTheme="minorEastAsia"/>
          <w:color w:val="auto"/>
          <w:kern w:val="0"/>
          <w:sz w:val="30"/>
          <w:szCs w:val="30"/>
        </w:rPr>
        <w:t>单位决策、单位管理、单位履职、履职绩效、可持续发展能力、加减分项6个一级指标，一是单位决策，包括决策机制、中长期规划、年度工作计划、部门预算编制4个二级指标；二是单位管理，包括预算执行、收支管理、资产管理、政府采购管理、建设项目管理、内部控制管理、预算绩效管理7个二级指标；三是单位履职，通过数量完成率、质量达标率、完成及时率3个二级指标对重点工作完成情况考核部门履职情况；四是履职绩效，包括经济效益、社会效益、生态效益3个二级指标；五是可持续发展能力，包括或可选信息化建设情况、人力资源建设情况、单位创新情况等二级指标；六是加减分项，包括加分项和减分项两个二级指标。</w:t>
      </w:r>
    </w:p>
    <w:p>
      <w:pPr>
        <w:widowControl/>
        <w:spacing w:line="520" w:lineRule="exact"/>
        <w:ind w:firstLine="600" w:firstLineChars="200"/>
        <w:jc w:val="left"/>
        <w:rPr>
          <w:rFonts w:cs="宋体" w:asciiTheme="minorEastAsia" w:hAnsiTheme="minorEastAsia"/>
          <w:color w:val="auto"/>
          <w:kern w:val="0"/>
          <w:sz w:val="30"/>
          <w:szCs w:val="30"/>
        </w:rPr>
      </w:pPr>
      <w:r>
        <w:rPr>
          <w:rFonts w:hint="eastAsia" w:asciiTheme="minorEastAsia" w:hAnsiTheme="minorEastAsia"/>
          <w:color w:val="auto"/>
          <w:sz w:val="30"/>
          <w:szCs w:val="30"/>
        </w:rPr>
        <w:t>2、分解落实与综合。</w:t>
      </w:r>
      <w:r>
        <w:rPr>
          <w:rFonts w:hint="eastAsia" w:cs="宋体" w:asciiTheme="minorEastAsia" w:hAnsiTheme="minorEastAsia"/>
          <w:color w:val="auto"/>
          <w:kern w:val="0"/>
          <w:sz w:val="30"/>
          <w:szCs w:val="30"/>
        </w:rPr>
        <w:t>对照一级指标、二级指标，本所各部门认真回顾20</w:t>
      </w:r>
      <w:r>
        <w:rPr>
          <w:rFonts w:hint="eastAsia" w:cs="宋体" w:asciiTheme="minorEastAsia" w:hAnsiTheme="minorEastAsia"/>
          <w:color w:val="auto"/>
          <w:kern w:val="0"/>
          <w:sz w:val="30"/>
          <w:szCs w:val="30"/>
          <w:lang w:val="en-US" w:eastAsia="zh-CN"/>
        </w:rPr>
        <w:t>22</w:t>
      </w:r>
      <w:r>
        <w:rPr>
          <w:rFonts w:hint="eastAsia" w:cs="宋体" w:asciiTheme="minorEastAsia" w:hAnsiTheme="minorEastAsia"/>
          <w:color w:val="auto"/>
          <w:kern w:val="0"/>
          <w:sz w:val="30"/>
          <w:szCs w:val="30"/>
        </w:rPr>
        <w:t>年度工作，认真填写各自对应分值。所办公会对各部门进行综合审核，得出本单位的</w:t>
      </w:r>
      <w:r>
        <w:rPr>
          <w:rFonts w:hint="eastAsia" w:asciiTheme="minorEastAsia" w:hAnsiTheme="minorEastAsia"/>
          <w:color w:val="auto"/>
          <w:sz w:val="30"/>
          <w:szCs w:val="30"/>
        </w:rPr>
        <w:t>绩效评价分值。</w:t>
      </w:r>
    </w:p>
    <w:p>
      <w:pPr>
        <w:widowControl/>
        <w:spacing w:line="520" w:lineRule="exact"/>
        <w:ind w:firstLine="600" w:firstLineChars="200"/>
        <w:jc w:val="left"/>
        <w:rPr>
          <w:rFonts w:cs="宋体" w:asciiTheme="minorEastAsia" w:hAnsiTheme="minorEastAsia"/>
          <w:color w:val="auto"/>
          <w:kern w:val="0"/>
          <w:sz w:val="30"/>
          <w:szCs w:val="30"/>
        </w:rPr>
      </w:pPr>
      <w:r>
        <w:rPr>
          <w:rFonts w:hint="eastAsia" w:cs="宋体" w:asciiTheme="minorEastAsia" w:hAnsiTheme="minorEastAsia"/>
          <w:color w:val="auto"/>
          <w:kern w:val="0"/>
          <w:sz w:val="30"/>
          <w:szCs w:val="30"/>
        </w:rPr>
        <w:t>3、整体绩效评价</w:t>
      </w:r>
    </w:p>
    <w:p>
      <w:pPr>
        <w:widowControl/>
        <w:spacing w:line="520" w:lineRule="exact"/>
        <w:ind w:firstLine="600" w:firstLineChars="200"/>
        <w:jc w:val="left"/>
        <w:rPr>
          <w:rFonts w:hint="eastAsia" w:cs="宋体" w:asciiTheme="minorEastAsia" w:hAnsiTheme="minorEastAsia"/>
          <w:color w:val="auto"/>
          <w:kern w:val="0"/>
          <w:sz w:val="30"/>
          <w:szCs w:val="30"/>
        </w:rPr>
      </w:pPr>
      <w:r>
        <w:rPr>
          <w:rFonts w:hint="eastAsia" w:cs="宋体" w:asciiTheme="minorEastAsia" w:hAnsiTheme="minorEastAsia"/>
          <w:color w:val="auto"/>
          <w:kern w:val="0"/>
          <w:sz w:val="30"/>
          <w:szCs w:val="30"/>
        </w:rPr>
        <w:t>（1）20</w:t>
      </w:r>
      <w:r>
        <w:rPr>
          <w:rFonts w:hint="eastAsia" w:cs="宋体" w:asciiTheme="minorEastAsia" w:hAnsiTheme="minorEastAsia"/>
          <w:color w:val="auto"/>
          <w:kern w:val="0"/>
          <w:sz w:val="30"/>
          <w:szCs w:val="30"/>
          <w:lang w:val="en-US" w:eastAsia="zh-CN"/>
        </w:rPr>
        <w:t>22</w:t>
      </w:r>
      <w:r>
        <w:rPr>
          <w:rFonts w:hint="eastAsia" w:cs="宋体" w:asciiTheme="minorEastAsia" w:hAnsiTheme="minorEastAsia"/>
          <w:color w:val="auto"/>
          <w:kern w:val="0"/>
          <w:sz w:val="30"/>
          <w:szCs w:val="30"/>
        </w:rPr>
        <w:t>年收入调整预算数为</w:t>
      </w:r>
      <w:r>
        <w:rPr>
          <w:rFonts w:hint="eastAsia" w:cs="宋体" w:asciiTheme="minorEastAsia" w:hAnsiTheme="minorEastAsia"/>
          <w:color w:val="auto"/>
          <w:kern w:val="0"/>
          <w:sz w:val="30"/>
          <w:szCs w:val="30"/>
          <w:lang w:val="en-US" w:eastAsia="zh-CN"/>
        </w:rPr>
        <w:t>2277.19</w:t>
      </w:r>
      <w:r>
        <w:rPr>
          <w:rFonts w:cs="宋体" w:asciiTheme="minorEastAsia" w:hAnsiTheme="minorEastAsia"/>
          <w:color w:val="auto"/>
          <w:kern w:val="0"/>
          <w:sz w:val="30"/>
          <w:szCs w:val="30"/>
        </w:rPr>
        <w:t>万</w:t>
      </w:r>
      <w:r>
        <w:rPr>
          <w:rFonts w:hint="eastAsia" w:cs="宋体" w:asciiTheme="minorEastAsia" w:hAnsiTheme="minorEastAsia"/>
          <w:color w:val="auto"/>
          <w:kern w:val="0"/>
          <w:sz w:val="30"/>
          <w:szCs w:val="30"/>
        </w:rPr>
        <w:t>元，支出调整预算为</w:t>
      </w:r>
      <w:r>
        <w:rPr>
          <w:rFonts w:hint="eastAsia" w:cs="宋体" w:asciiTheme="minorEastAsia" w:hAnsiTheme="minorEastAsia"/>
          <w:color w:val="auto"/>
          <w:kern w:val="0"/>
          <w:sz w:val="30"/>
          <w:szCs w:val="30"/>
          <w:lang w:val="en-US" w:eastAsia="zh-CN"/>
        </w:rPr>
        <w:t>2070.60</w:t>
      </w:r>
      <w:r>
        <w:rPr>
          <w:rFonts w:cs="宋体" w:asciiTheme="minorEastAsia" w:hAnsiTheme="minorEastAsia"/>
          <w:color w:val="auto"/>
          <w:kern w:val="0"/>
          <w:sz w:val="30"/>
          <w:szCs w:val="30"/>
        </w:rPr>
        <w:t>万</w:t>
      </w:r>
      <w:r>
        <w:rPr>
          <w:rFonts w:hint="eastAsia" w:cs="宋体" w:asciiTheme="minorEastAsia" w:hAnsiTheme="minorEastAsia"/>
          <w:color w:val="auto"/>
          <w:kern w:val="0"/>
          <w:sz w:val="30"/>
          <w:szCs w:val="30"/>
        </w:rPr>
        <w:t>元</w:t>
      </w:r>
      <w:r>
        <w:rPr>
          <w:rFonts w:hint="eastAsia" w:cs="宋体" w:asciiTheme="minorEastAsia" w:hAnsiTheme="minorEastAsia"/>
          <w:color w:val="auto"/>
          <w:kern w:val="0"/>
          <w:sz w:val="30"/>
          <w:szCs w:val="30"/>
          <w:lang w:eastAsia="zh-CN"/>
        </w:rPr>
        <w:t>，</w:t>
      </w:r>
      <w:r>
        <w:rPr>
          <w:rFonts w:hint="eastAsia" w:cs="宋体" w:asciiTheme="minorEastAsia" w:hAnsiTheme="minorEastAsia"/>
          <w:color w:val="auto"/>
          <w:kern w:val="0"/>
          <w:sz w:val="30"/>
          <w:szCs w:val="30"/>
        </w:rPr>
        <w:t>其中：基本支出</w:t>
      </w:r>
      <w:r>
        <w:rPr>
          <w:rFonts w:hint="eastAsia" w:cs="宋体" w:asciiTheme="minorEastAsia" w:hAnsiTheme="minorEastAsia"/>
          <w:color w:val="auto"/>
          <w:kern w:val="0"/>
          <w:sz w:val="30"/>
          <w:szCs w:val="30"/>
          <w:lang w:val="en-US" w:eastAsia="zh-CN"/>
        </w:rPr>
        <w:t>1242.80</w:t>
      </w:r>
      <w:r>
        <w:rPr>
          <w:rFonts w:cs="宋体" w:asciiTheme="minorEastAsia" w:hAnsiTheme="minorEastAsia"/>
          <w:color w:val="auto"/>
          <w:kern w:val="0"/>
          <w:sz w:val="30"/>
          <w:szCs w:val="30"/>
        </w:rPr>
        <w:t>万</w:t>
      </w:r>
      <w:r>
        <w:rPr>
          <w:rFonts w:hint="eastAsia" w:cs="宋体" w:asciiTheme="minorEastAsia" w:hAnsiTheme="minorEastAsia"/>
          <w:color w:val="auto"/>
          <w:kern w:val="0"/>
          <w:sz w:val="30"/>
          <w:szCs w:val="30"/>
        </w:rPr>
        <w:t>元，项目支出</w:t>
      </w:r>
      <w:r>
        <w:rPr>
          <w:rFonts w:hint="eastAsia" w:cs="宋体" w:asciiTheme="minorEastAsia" w:hAnsiTheme="minorEastAsia"/>
          <w:color w:val="auto"/>
          <w:kern w:val="0"/>
          <w:sz w:val="30"/>
          <w:szCs w:val="30"/>
          <w:lang w:val="en-US" w:eastAsia="zh-CN"/>
        </w:rPr>
        <w:t>827.80</w:t>
      </w:r>
      <w:r>
        <w:rPr>
          <w:rFonts w:cs="宋体" w:asciiTheme="minorEastAsia" w:hAnsiTheme="minorEastAsia"/>
          <w:color w:val="auto"/>
          <w:kern w:val="0"/>
          <w:sz w:val="30"/>
          <w:szCs w:val="30"/>
        </w:rPr>
        <w:t>万元</w:t>
      </w:r>
      <w:r>
        <w:rPr>
          <w:rFonts w:hint="eastAsia" w:cs="宋体" w:asciiTheme="minorEastAsia" w:hAnsiTheme="minorEastAsia"/>
          <w:color w:val="auto"/>
          <w:kern w:val="0"/>
          <w:sz w:val="30"/>
          <w:szCs w:val="30"/>
        </w:rPr>
        <w:t>。20</w:t>
      </w:r>
      <w:r>
        <w:rPr>
          <w:rFonts w:hint="eastAsia" w:cs="宋体" w:asciiTheme="minorEastAsia" w:hAnsiTheme="minorEastAsia"/>
          <w:color w:val="auto"/>
          <w:kern w:val="0"/>
          <w:sz w:val="30"/>
          <w:szCs w:val="30"/>
          <w:lang w:val="en-US" w:eastAsia="zh-CN"/>
        </w:rPr>
        <w:t>22</w:t>
      </w:r>
      <w:r>
        <w:rPr>
          <w:rFonts w:hint="eastAsia" w:cs="宋体" w:asciiTheme="minorEastAsia" w:hAnsiTheme="minorEastAsia"/>
          <w:color w:val="auto"/>
          <w:kern w:val="0"/>
          <w:sz w:val="30"/>
          <w:szCs w:val="30"/>
        </w:rPr>
        <w:t>年部门绩效按照资金使用进度有序开展，并完成部门预算制定的目标。</w:t>
      </w:r>
    </w:p>
    <w:p>
      <w:pPr>
        <w:widowControl/>
        <w:spacing w:line="520" w:lineRule="exact"/>
        <w:ind w:firstLine="600" w:firstLineChars="200"/>
        <w:jc w:val="left"/>
        <w:rPr>
          <w:rFonts w:asciiTheme="minorEastAsia" w:hAnsiTheme="minorEastAsia"/>
          <w:color w:val="auto"/>
          <w:sz w:val="30"/>
          <w:szCs w:val="30"/>
        </w:rPr>
      </w:pPr>
      <w:r>
        <w:rPr>
          <w:rFonts w:hint="eastAsia" w:asciiTheme="minorEastAsia" w:hAnsiTheme="minorEastAsia"/>
          <w:color w:val="auto"/>
          <w:sz w:val="30"/>
          <w:szCs w:val="30"/>
        </w:rPr>
        <w:t>（2）专项审计：所有专项资金单独核算，按照项目实施方案的要求，如实反映承担的项目收支情况，项目实施期限完成后请第三方进行财务审计并组织验收。</w:t>
      </w:r>
    </w:p>
    <w:p>
      <w:pPr>
        <w:widowControl/>
        <w:spacing w:line="520" w:lineRule="exact"/>
        <w:ind w:firstLine="600" w:firstLineChars="200"/>
        <w:jc w:val="left"/>
        <w:rPr>
          <w:rFonts w:hint="eastAsia" w:cs="宋体" w:asciiTheme="minorEastAsia" w:hAnsiTheme="minorEastAsia"/>
          <w:color w:val="auto"/>
          <w:kern w:val="0"/>
          <w:sz w:val="30"/>
          <w:szCs w:val="30"/>
        </w:rPr>
      </w:pPr>
      <w:r>
        <w:rPr>
          <w:rFonts w:hint="eastAsia" w:cs="宋体" w:asciiTheme="minorEastAsia" w:hAnsiTheme="minorEastAsia"/>
          <w:color w:val="auto"/>
          <w:kern w:val="0"/>
          <w:sz w:val="30"/>
          <w:szCs w:val="30"/>
        </w:rPr>
        <w:t>财政预算资金为</w:t>
      </w:r>
      <w:r>
        <w:rPr>
          <w:rFonts w:hint="eastAsia" w:cs="宋体" w:asciiTheme="minorEastAsia" w:hAnsiTheme="minorEastAsia"/>
          <w:color w:val="auto"/>
          <w:kern w:val="0"/>
          <w:sz w:val="30"/>
          <w:szCs w:val="30"/>
          <w:lang w:val="en-US" w:eastAsia="zh-CN"/>
        </w:rPr>
        <w:t>畜禽所</w:t>
      </w:r>
      <w:r>
        <w:rPr>
          <w:rFonts w:hint="eastAsia" w:cs="宋体" w:asciiTheme="minorEastAsia" w:hAnsiTheme="minorEastAsia"/>
          <w:color w:val="auto"/>
          <w:kern w:val="0"/>
          <w:sz w:val="30"/>
          <w:szCs w:val="30"/>
        </w:rPr>
        <w:t>各项</w:t>
      </w:r>
      <w:r>
        <w:rPr>
          <w:rFonts w:hint="eastAsia" w:cs="宋体" w:asciiTheme="minorEastAsia" w:hAnsiTheme="minorEastAsia"/>
          <w:color w:val="auto"/>
          <w:kern w:val="0"/>
          <w:sz w:val="30"/>
          <w:szCs w:val="30"/>
          <w:lang w:val="en-US" w:eastAsia="zh-CN"/>
        </w:rPr>
        <w:t>畜禽产业</w:t>
      </w:r>
      <w:r>
        <w:rPr>
          <w:rFonts w:hint="eastAsia" w:cs="宋体" w:asciiTheme="minorEastAsia" w:hAnsiTheme="minorEastAsia"/>
          <w:color w:val="auto"/>
          <w:kern w:val="0"/>
          <w:sz w:val="30"/>
          <w:szCs w:val="30"/>
        </w:rPr>
        <w:t>工作</w:t>
      </w:r>
      <w:r>
        <w:rPr>
          <w:rFonts w:hint="eastAsia" w:cs="宋体" w:asciiTheme="minorEastAsia" w:hAnsiTheme="minorEastAsia"/>
          <w:color w:val="auto"/>
          <w:kern w:val="0"/>
          <w:sz w:val="30"/>
          <w:szCs w:val="30"/>
          <w:lang w:val="en-US" w:eastAsia="zh-CN"/>
        </w:rPr>
        <w:t>的</w:t>
      </w:r>
      <w:r>
        <w:rPr>
          <w:rFonts w:hint="eastAsia" w:cs="宋体" w:asciiTheme="minorEastAsia" w:hAnsiTheme="minorEastAsia"/>
          <w:color w:val="auto"/>
          <w:kern w:val="0"/>
          <w:sz w:val="30"/>
          <w:szCs w:val="30"/>
        </w:rPr>
        <w:t>顺利开展，</w:t>
      </w:r>
      <w:r>
        <w:rPr>
          <w:rFonts w:hint="eastAsia" w:cs="宋体" w:asciiTheme="minorEastAsia" w:hAnsiTheme="minorEastAsia"/>
          <w:color w:val="auto"/>
          <w:kern w:val="0"/>
          <w:sz w:val="30"/>
          <w:szCs w:val="30"/>
          <w:lang w:val="en-US" w:eastAsia="zh-CN"/>
        </w:rPr>
        <w:t>各类</w:t>
      </w:r>
      <w:r>
        <w:rPr>
          <w:rFonts w:hint="eastAsia" w:asciiTheme="minorEastAsia" w:hAnsiTheme="minorEastAsia"/>
          <w:color w:val="auto"/>
          <w:sz w:val="30"/>
          <w:szCs w:val="30"/>
        </w:rPr>
        <w:t>指标的实现</w:t>
      </w:r>
      <w:r>
        <w:rPr>
          <w:rFonts w:hint="eastAsia" w:cs="宋体" w:asciiTheme="minorEastAsia" w:hAnsiTheme="minorEastAsia"/>
          <w:color w:val="auto"/>
          <w:kern w:val="0"/>
          <w:sz w:val="30"/>
          <w:szCs w:val="30"/>
        </w:rPr>
        <w:t>提供了保障。</w:t>
      </w:r>
    </w:p>
    <w:p>
      <w:pPr>
        <w:widowControl/>
        <w:spacing w:line="520" w:lineRule="exact"/>
        <w:jc w:val="left"/>
        <w:rPr>
          <w:rFonts w:hint="eastAsia" w:cs="宋体" w:asciiTheme="minorEastAsia" w:hAnsiTheme="minorEastAsia"/>
          <w:b/>
          <w:color w:val="auto"/>
          <w:kern w:val="0"/>
          <w:sz w:val="30"/>
          <w:szCs w:val="30"/>
          <w:lang w:val="en-US" w:eastAsia="zh-CN"/>
        </w:rPr>
      </w:pPr>
      <w:r>
        <w:rPr>
          <w:rFonts w:hint="eastAsia" w:cs="宋体" w:asciiTheme="minorEastAsia" w:hAnsiTheme="minorEastAsia"/>
          <w:b/>
          <w:color w:val="auto"/>
          <w:kern w:val="0"/>
          <w:sz w:val="30"/>
          <w:szCs w:val="30"/>
          <w:lang w:val="en-US" w:eastAsia="zh-CN"/>
        </w:rPr>
        <w:t>（三）评价结论</w:t>
      </w:r>
    </w:p>
    <w:p>
      <w:pPr>
        <w:widowControl/>
        <w:spacing w:line="520" w:lineRule="exact"/>
        <w:ind w:firstLine="600" w:firstLineChars="200"/>
        <w:jc w:val="left"/>
        <w:rPr>
          <w:rFonts w:cs="Arial" w:asciiTheme="minorEastAsia" w:hAnsiTheme="minorEastAsia"/>
          <w:color w:val="auto"/>
          <w:kern w:val="0"/>
          <w:sz w:val="30"/>
          <w:szCs w:val="30"/>
        </w:rPr>
      </w:pPr>
      <w:r>
        <w:rPr>
          <w:rFonts w:hint="eastAsia" w:cs="宋体" w:asciiTheme="minorEastAsia" w:hAnsiTheme="minorEastAsia"/>
          <w:color w:val="auto"/>
          <w:kern w:val="0"/>
          <w:sz w:val="30"/>
          <w:szCs w:val="30"/>
        </w:rPr>
        <w:t>根据规划和年初工作计划、重点工作，紧紧围绕主管部门下达工作目标。通过加强预算收支管理，不断建立健全内部管理制度，梳理内部管理流程，部门整体绩效管理得到提升。</w:t>
      </w:r>
      <w:r>
        <w:rPr>
          <w:rFonts w:hint="eastAsia" w:cs="Arial" w:asciiTheme="minorEastAsia" w:hAnsiTheme="minorEastAsia"/>
          <w:color w:val="auto"/>
          <w:kern w:val="0"/>
          <w:sz w:val="30"/>
          <w:szCs w:val="30"/>
        </w:rPr>
        <w:t>具体体现在单位信息全面清晰、部门规划计划合理可行、部门预算资金相应匹配、部门绩效指标体系科学、部门目标细化量化，定量和不定量重点工作完成、完成质量良好，社会效益明显，有利于</w:t>
      </w:r>
      <w:r>
        <w:rPr>
          <w:rFonts w:hint="eastAsia" w:cs="Arial" w:asciiTheme="minorEastAsia" w:hAnsiTheme="minorEastAsia"/>
          <w:color w:val="auto"/>
          <w:kern w:val="0"/>
          <w:sz w:val="30"/>
          <w:szCs w:val="30"/>
          <w:lang w:eastAsia="zh-CN"/>
        </w:rPr>
        <w:t>畜禽</w:t>
      </w:r>
      <w:r>
        <w:rPr>
          <w:rFonts w:hint="eastAsia" w:cs="Arial" w:asciiTheme="minorEastAsia" w:hAnsiTheme="minorEastAsia"/>
          <w:color w:val="auto"/>
          <w:kern w:val="0"/>
          <w:sz w:val="30"/>
          <w:szCs w:val="30"/>
        </w:rPr>
        <w:t>工作持续发展。</w:t>
      </w:r>
      <w:r>
        <w:rPr>
          <w:rFonts w:hint="eastAsia" w:cs="Arial" w:asciiTheme="minorEastAsia" w:hAnsiTheme="minorEastAsia"/>
          <w:color w:val="auto"/>
          <w:kern w:val="0"/>
          <w:sz w:val="30"/>
          <w:szCs w:val="30"/>
          <w:lang w:val="en-US" w:eastAsia="zh-CN"/>
        </w:rPr>
        <w:t>因</w:t>
      </w:r>
      <w:r>
        <w:rPr>
          <w:rFonts w:hint="eastAsia" w:cs="Arial" w:asciiTheme="minorEastAsia" w:hAnsiTheme="minorEastAsia"/>
          <w:color w:val="auto"/>
          <w:kern w:val="0"/>
          <w:sz w:val="30"/>
          <w:szCs w:val="30"/>
        </w:rPr>
        <w:t>此我单位部门整体绩效评价结论为</w:t>
      </w:r>
      <w:r>
        <w:rPr>
          <w:rFonts w:hint="eastAsia" w:cs="Arial" w:asciiTheme="minorEastAsia" w:hAnsiTheme="minorEastAsia"/>
          <w:color w:val="auto"/>
          <w:kern w:val="0"/>
          <w:sz w:val="30"/>
          <w:szCs w:val="30"/>
          <w:lang w:eastAsia="zh-CN"/>
        </w:rPr>
        <w:t>：</w:t>
      </w:r>
      <w:r>
        <w:rPr>
          <w:rFonts w:hint="eastAsia" w:cs="Arial" w:asciiTheme="minorEastAsia" w:hAnsiTheme="minorEastAsia"/>
          <w:color w:val="auto"/>
          <w:kern w:val="0"/>
          <w:sz w:val="30"/>
          <w:szCs w:val="30"/>
        </w:rPr>
        <w:t>良好。</w:t>
      </w:r>
    </w:p>
    <w:p>
      <w:pPr>
        <w:widowControl/>
        <w:numPr>
          <w:ilvl w:val="0"/>
          <w:numId w:val="0"/>
        </w:numPr>
        <w:spacing w:line="520" w:lineRule="exact"/>
        <w:jc w:val="left"/>
        <w:rPr>
          <w:rFonts w:hint="eastAsia" w:cs="Arial" w:asciiTheme="minorEastAsia" w:hAnsiTheme="minorEastAsia"/>
          <w:b/>
          <w:bCs/>
          <w:color w:val="auto"/>
          <w:kern w:val="0"/>
          <w:sz w:val="30"/>
          <w:szCs w:val="30"/>
        </w:rPr>
      </w:pPr>
      <w:r>
        <w:rPr>
          <w:rFonts w:hint="eastAsia" w:cs="Arial" w:asciiTheme="minorEastAsia" w:hAnsiTheme="minorEastAsia"/>
          <w:b/>
          <w:bCs/>
          <w:color w:val="auto"/>
          <w:kern w:val="0"/>
          <w:sz w:val="30"/>
          <w:szCs w:val="30"/>
          <w:lang w:eastAsia="zh-CN"/>
        </w:rPr>
        <w:t>（</w:t>
      </w:r>
      <w:r>
        <w:rPr>
          <w:rFonts w:hint="eastAsia" w:cs="Arial" w:asciiTheme="minorEastAsia" w:hAnsiTheme="minorEastAsia"/>
          <w:b/>
          <w:bCs/>
          <w:color w:val="auto"/>
          <w:kern w:val="0"/>
          <w:sz w:val="30"/>
          <w:szCs w:val="30"/>
          <w:lang w:val="en-US" w:eastAsia="zh-CN"/>
        </w:rPr>
        <w:t>四</w:t>
      </w:r>
      <w:r>
        <w:rPr>
          <w:rFonts w:hint="eastAsia" w:cs="Arial" w:asciiTheme="minorEastAsia" w:hAnsiTheme="minorEastAsia"/>
          <w:b/>
          <w:bCs/>
          <w:color w:val="auto"/>
          <w:kern w:val="0"/>
          <w:sz w:val="30"/>
          <w:szCs w:val="30"/>
          <w:lang w:eastAsia="zh-CN"/>
        </w:rPr>
        <w:t>）</w:t>
      </w:r>
      <w:r>
        <w:rPr>
          <w:rFonts w:hint="eastAsia" w:cs="Arial" w:asciiTheme="minorEastAsia" w:hAnsiTheme="minorEastAsia"/>
          <w:b/>
          <w:bCs/>
          <w:color w:val="auto"/>
          <w:kern w:val="0"/>
          <w:sz w:val="30"/>
          <w:szCs w:val="30"/>
        </w:rPr>
        <w:t>评分分值</w:t>
      </w:r>
    </w:p>
    <w:p>
      <w:pPr>
        <w:widowControl/>
        <w:numPr>
          <w:ilvl w:val="0"/>
          <w:numId w:val="0"/>
        </w:numPr>
        <w:spacing w:line="520" w:lineRule="exact"/>
        <w:ind w:leftChars="200" w:firstLine="300" w:firstLineChars="100"/>
        <w:jc w:val="left"/>
        <w:rPr>
          <w:rFonts w:hint="eastAsia" w:asciiTheme="minorEastAsia" w:hAnsiTheme="minorEastAsia" w:eastAsiaTheme="minorEastAsia"/>
          <w:color w:val="auto"/>
          <w:sz w:val="30"/>
          <w:szCs w:val="30"/>
          <w:lang w:val="en-US" w:eastAsia="zh-CN"/>
        </w:rPr>
      </w:pPr>
      <w:r>
        <w:rPr>
          <w:rFonts w:hint="eastAsia" w:cs="Arial" w:asciiTheme="minorEastAsia" w:hAnsiTheme="minorEastAsia"/>
          <w:color w:val="auto"/>
          <w:kern w:val="0"/>
          <w:sz w:val="30"/>
          <w:szCs w:val="30"/>
        </w:rPr>
        <w:t>根据部门整体绩效评价指标框架，自评分为9</w:t>
      </w:r>
      <w:r>
        <w:rPr>
          <w:rFonts w:hint="eastAsia" w:cs="Arial" w:asciiTheme="minorEastAsia" w:hAnsiTheme="minorEastAsia"/>
          <w:color w:val="auto"/>
          <w:kern w:val="0"/>
          <w:sz w:val="30"/>
          <w:szCs w:val="30"/>
          <w:lang w:val="en-US" w:eastAsia="zh-CN"/>
        </w:rPr>
        <w:t>3</w:t>
      </w:r>
      <w:r>
        <w:rPr>
          <w:rFonts w:hint="eastAsia" w:cs="Arial" w:asciiTheme="minorEastAsia" w:hAnsiTheme="minorEastAsia"/>
          <w:color w:val="auto"/>
          <w:kern w:val="0"/>
          <w:sz w:val="30"/>
          <w:szCs w:val="30"/>
        </w:rPr>
        <w:t>分。</w:t>
      </w:r>
    </w:p>
    <w:p>
      <w:pPr>
        <w:widowControl/>
        <w:numPr>
          <w:ilvl w:val="0"/>
          <w:numId w:val="0"/>
        </w:numPr>
        <w:spacing w:line="520" w:lineRule="exact"/>
        <w:jc w:val="left"/>
        <w:rPr>
          <w:rFonts w:hint="default" w:cs="宋体" w:asciiTheme="minorEastAsia" w:hAnsiTheme="minorEastAsia"/>
          <w:b/>
          <w:color w:val="auto"/>
          <w:kern w:val="0"/>
          <w:sz w:val="30"/>
          <w:szCs w:val="30"/>
          <w:lang w:val="en-US"/>
        </w:rPr>
      </w:pPr>
      <w:r>
        <w:rPr>
          <w:rFonts w:hint="eastAsia" w:cs="宋体" w:asciiTheme="minorEastAsia" w:hAnsiTheme="minorEastAsia"/>
          <w:b/>
          <w:color w:val="auto"/>
          <w:kern w:val="0"/>
          <w:sz w:val="30"/>
          <w:szCs w:val="30"/>
          <w:lang w:val="en-US" w:eastAsia="zh-CN"/>
        </w:rPr>
        <w:t>三、部门履职成效</w:t>
      </w:r>
    </w:p>
    <w:p>
      <w:pPr>
        <w:widowControl/>
        <w:spacing w:line="520" w:lineRule="exact"/>
        <w:ind w:firstLine="600" w:firstLineChars="200"/>
        <w:jc w:val="left"/>
        <w:rPr>
          <w:rFonts w:hint="eastAsia" w:cs="宋体" w:asciiTheme="minorEastAsia" w:hAnsiTheme="minorEastAsia"/>
          <w:color w:val="auto"/>
          <w:kern w:val="0"/>
          <w:sz w:val="30"/>
          <w:szCs w:val="30"/>
        </w:rPr>
      </w:pPr>
      <w:r>
        <w:rPr>
          <w:rFonts w:hint="eastAsia" w:cs="宋体" w:asciiTheme="minorEastAsia" w:hAnsiTheme="minorEastAsia"/>
          <w:color w:val="auto"/>
          <w:kern w:val="0"/>
          <w:sz w:val="30"/>
          <w:szCs w:val="30"/>
        </w:rPr>
        <w:t>根据单位职能和主管部门下达的年度工作目标和重点任务，建立健全了单位内部各项管理制度，科学、合理设立年度单位整体绩效目标，并健全部门之间的工作协同机制。规范了履职行为，大大提升了履职效能，做到一岗双责，效能优先。</w:t>
      </w:r>
    </w:p>
    <w:p>
      <w:pPr>
        <w:widowControl/>
        <w:numPr>
          <w:ilvl w:val="0"/>
          <w:numId w:val="2"/>
        </w:numPr>
        <w:spacing w:line="520" w:lineRule="exact"/>
        <w:jc w:val="left"/>
        <w:rPr>
          <w:rFonts w:hint="eastAsia" w:cs="宋体" w:asciiTheme="minorEastAsia" w:hAnsiTheme="minorEastAsia"/>
          <w:b/>
          <w:color w:val="auto"/>
          <w:kern w:val="0"/>
          <w:sz w:val="30"/>
          <w:szCs w:val="30"/>
          <w:lang w:val="en-US" w:eastAsia="zh-CN"/>
        </w:rPr>
      </w:pPr>
      <w:r>
        <w:rPr>
          <w:rFonts w:hint="eastAsia" w:cs="宋体" w:asciiTheme="minorEastAsia" w:hAnsiTheme="minorEastAsia"/>
          <w:b/>
          <w:color w:val="auto"/>
          <w:kern w:val="0"/>
          <w:sz w:val="30"/>
          <w:szCs w:val="30"/>
          <w:lang w:val="en-US" w:eastAsia="zh-CN"/>
        </w:rPr>
        <w:t>部门履职</w:t>
      </w:r>
    </w:p>
    <w:p>
      <w:pPr>
        <w:widowControl/>
        <w:spacing w:line="520" w:lineRule="exact"/>
        <w:ind w:firstLine="602" w:firstLineChars="200"/>
        <w:jc w:val="left"/>
        <w:rPr>
          <w:rFonts w:hint="eastAsia" w:cs="宋体" w:asciiTheme="minorEastAsia" w:hAnsiTheme="minorEastAsia"/>
          <w:b/>
          <w:bCs/>
          <w:color w:val="auto"/>
          <w:kern w:val="0"/>
          <w:sz w:val="30"/>
          <w:szCs w:val="30"/>
        </w:rPr>
      </w:pPr>
      <w:r>
        <w:rPr>
          <w:rFonts w:hint="eastAsia" w:cs="宋体" w:asciiTheme="minorEastAsia" w:hAnsiTheme="minorEastAsia"/>
          <w:b/>
          <w:bCs/>
          <w:color w:val="auto"/>
          <w:kern w:val="0"/>
          <w:sz w:val="30"/>
          <w:szCs w:val="30"/>
          <w:lang w:val="en-US" w:eastAsia="zh-CN"/>
        </w:rPr>
        <w:t>1、</w:t>
      </w:r>
      <w:r>
        <w:rPr>
          <w:rFonts w:hint="eastAsia" w:cs="宋体" w:asciiTheme="minorEastAsia" w:hAnsiTheme="minorEastAsia"/>
          <w:b/>
          <w:bCs/>
          <w:color w:val="auto"/>
          <w:kern w:val="0"/>
          <w:sz w:val="30"/>
          <w:szCs w:val="30"/>
        </w:rPr>
        <w:t>金陵白鸭配套系选育</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rPr>
        <w:t>世代选育与性能测定</w:t>
      </w:r>
      <w:r>
        <w:rPr>
          <w:rFonts w:hint="eastAsia" w:cs="宋体" w:asciiTheme="minorEastAsia" w:hAnsiTheme="minorEastAsia"/>
          <w:b/>
          <w:bCs/>
          <w:color w:val="auto"/>
          <w:kern w:val="0"/>
          <w:sz w:val="30"/>
          <w:szCs w:val="30"/>
          <w:lang w:eastAsia="zh-CN"/>
        </w:rPr>
        <w:t>。</w:t>
      </w:r>
      <w:r>
        <w:rPr>
          <w:rFonts w:hint="eastAsia" w:cs="宋体" w:asciiTheme="minorEastAsia" w:hAnsiTheme="minorEastAsia"/>
          <w:color w:val="auto"/>
          <w:kern w:val="0"/>
          <w:sz w:val="30"/>
          <w:szCs w:val="30"/>
        </w:rPr>
        <w:t>在2021年度建立的金陵白鸭配套系世代选育群的基础上，集成应用种鸭立体笼养技术，按照选育要求，开展配套系世代选育与性能测定，落实个体产蛋数、蛋重、蛋形指数、死淘等选育记录工作，整理分析金陵白鸭配套系繁殖性能，统计种蛋受精率、孵化率等性能指标，归档金陵白鸭配套系育种数据。</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rPr>
        <w:t>继代繁育与选留选配</w:t>
      </w:r>
      <w:r>
        <w:rPr>
          <w:rFonts w:hint="eastAsia" w:cs="宋体" w:asciiTheme="minorEastAsia" w:hAnsiTheme="minorEastAsia"/>
          <w:b/>
          <w:bCs/>
          <w:color w:val="auto"/>
          <w:kern w:val="0"/>
          <w:sz w:val="30"/>
          <w:szCs w:val="30"/>
          <w:lang w:eastAsia="zh-CN"/>
        </w:rPr>
        <w:t>。</w:t>
      </w:r>
      <w:r>
        <w:rPr>
          <w:rFonts w:hint="eastAsia" w:cs="宋体" w:asciiTheme="minorEastAsia" w:hAnsiTheme="minorEastAsia"/>
          <w:color w:val="auto"/>
          <w:kern w:val="0"/>
          <w:sz w:val="30"/>
          <w:szCs w:val="30"/>
        </w:rPr>
        <w:t>根据金陵白鸭配套系选育进程，开展了4个批次金陵白鸭种蛋收集、入孵、头照、落盘、出雏、免疫等工作，累计继代繁育金陵白鸭15060只，饲养于南京溧水蛋鸭养殖基地。同时，根据金陵白鸭配套系选育方案，以“乌嘴、白羽、乌脚”典型外貌特征为基础选留依据，结合个体生长发育情况，开展了1日龄、42日龄、育成期、产蛋前期等饲养阶段的选留选配，建立了金陵白鸭配套系世代选育家系2075套，其中A系456套、B系1143套，C系476套。</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rPr>
        <w:t>组建扩繁饲养群</w:t>
      </w:r>
      <w:r>
        <w:rPr>
          <w:rFonts w:hint="eastAsia" w:cs="宋体" w:asciiTheme="minorEastAsia" w:hAnsiTheme="minorEastAsia"/>
          <w:b/>
          <w:bCs/>
          <w:color w:val="auto"/>
          <w:kern w:val="0"/>
          <w:sz w:val="30"/>
          <w:szCs w:val="30"/>
          <w:lang w:eastAsia="zh-CN"/>
        </w:rPr>
        <w:t>。</w:t>
      </w:r>
      <w:r>
        <w:rPr>
          <w:rFonts w:hint="eastAsia" w:cs="宋体" w:asciiTheme="minorEastAsia" w:hAnsiTheme="minorEastAsia"/>
          <w:color w:val="auto"/>
          <w:kern w:val="0"/>
          <w:sz w:val="30"/>
          <w:szCs w:val="30"/>
        </w:rPr>
        <w:t>在金陵白鸭4个批次继代繁育后备种群的基础上，以“乌嘴、白羽、乌脚”典型外貌特征为基础选留依据，结合个体生长发育情况，在1日龄、49日龄、产蛋前期开展了扩繁饲养群的选留选配，按照1:6公母配比选留体重大于平均值的个体，组建金陵白鸭扩繁饲养群1048套，为金陵白鸭的推广饲养提供种群基础。</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lang w:val="en-US" w:eastAsia="zh-CN"/>
        </w:rPr>
        <w:t>2、</w:t>
      </w:r>
      <w:r>
        <w:rPr>
          <w:rFonts w:hint="eastAsia" w:cs="宋体" w:asciiTheme="minorEastAsia" w:hAnsiTheme="minorEastAsia"/>
          <w:b/>
          <w:bCs/>
          <w:color w:val="auto"/>
          <w:kern w:val="0"/>
          <w:sz w:val="30"/>
          <w:szCs w:val="30"/>
        </w:rPr>
        <w:t>省产业技术体系建设</w:t>
      </w:r>
    </w:p>
    <w:p>
      <w:pPr>
        <w:widowControl/>
        <w:spacing w:line="520" w:lineRule="exact"/>
        <w:ind w:firstLine="602" w:firstLineChars="200"/>
        <w:jc w:val="left"/>
        <w:rPr>
          <w:rFonts w:hint="eastAsia" w:cs="宋体" w:asciiTheme="minorEastAsia" w:hAnsiTheme="minorEastAsia"/>
          <w:color w:val="auto"/>
          <w:kern w:val="0"/>
          <w:sz w:val="30"/>
          <w:szCs w:val="30"/>
          <w:lang w:eastAsia="zh-CN"/>
        </w:rPr>
      </w:pPr>
      <w:r>
        <w:rPr>
          <w:rFonts w:hint="eastAsia" w:cs="宋体" w:asciiTheme="minorEastAsia" w:hAnsiTheme="minorEastAsia"/>
          <w:b/>
          <w:bCs/>
          <w:color w:val="auto"/>
          <w:kern w:val="0"/>
          <w:sz w:val="30"/>
          <w:szCs w:val="30"/>
        </w:rPr>
        <w:t>水禽体系健康养殖创新团队建设</w:t>
      </w:r>
      <w:r>
        <w:rPr>
          <w:rFonts w:hint="eastAsia" w:cs="宋体" w:asciiTheme="minorEastAsia" w:hAnsiTheme="minorEastAsia"/>
          <w:b/>
          <w:bCs/>
          <w:color w:val="auto"/>
          <w:kern w:val="0"/>
          <w:sz w:val="30"/>
          <w:szCs w:val="30"/>
          <w:lang w:eastAsia="zh-CN"/>
        </w:rPr>
        <w:t>。</w:t>
      </w:r>
      <w:r>
        <w:rPr>
          <w:rFonts w:hint="eastAsia" w:cs="宋体" w:asciiTheme="minorEastAsia" w:hAnsiTheme="minorEastAsia"/>
          <w:color w:val="auto"/>
          <w:kern w:val="0"/>
          <w:sz w:val="30"/>
          <w:szCs w:val="30"/>
        </w:rPr>
        <w:t>在江苏现代农业（水禽）产业技术体系首席团队的带领下，建立了跨单位、跨部门、跨学科的技术创新团队，核心团队成员13人，以体系名义参加学术研讨交流会议8次，撰写提交工作日志60篇，提供简报素材4篇，开展产业技术需求调研16次，对接示范基地技术指导9次，赴现场解决产业技术问题和难题12次。制定技术创新方案1份，攻关技术研究3项，集成单项技术4项，提出重大技术推广计划2项，对接5个水禽养殖乡镇进行技术指导和服务工作，发布水禽生产与疫病防控相关知识的技术指导方案4次，及时解答农技耘上农民和农技推广人员提出的问题，重点解决水禽健康养殖技术与舍内环境质量控制等相关问题</w:t>
      </w:r>
      <w:r>
        <w:rPr>
          <w:rFonts w:hint="eastAsia" w:cs="宋体" w:asciiTheme="minorEastAsia" w:hAnsiTheme="minorEastAsia"/>
          <w:color w:val="auto"/>
          <w:kern w:val="0"/>
          <w:sz w:val="30"/>
          <w:szCs w:val="30"/>
          <w:lang w:eastAsia="zh-CN"/>
        </w:rPr>
        <w:t>。</w:t>
      </w:r>
    </w:p>
    <w:p>
      <w:pPr>
        <w:widowControl/>
        <w:spacing w:line="520" w:lineRule="exact"/>
        <w:ind w:firstLine="602" w:firstLineChars="200"/>
        <w:jc w:val="left"/>
        <w:rPr>
          <w:rFonts w:hint="eastAsia" w:cs="宋体" w:asciiTheme="minorEastAsia" w:hAnsiTheme="minorEastAsia"/>
          <w:color w:val="auto"/>
          <w:kern w:val="0"/>
          <w:sz w:val="30"/>
          <w:szCs w:val="30"/>
          <w:lang w:eastAsia="zh-CN"/>
        </w:rPr>
      </w:pPr>
      <w:r>
        <w:rPr>
          <w:rFonts w:hint="eastAsia" w:cs="宋体" w:asciiTheme="minorEastAsia" w:hAnsiTheme="minorEastAsia"/>
          <w:b/>
          <w:bCs/>
          <w:color w:val="auto"/>
          <w:kern w:val="0"/>
          <w:sz w:val="30"/>
          <w:szCs w:val="30"/>
        </w:rPr>
        <w:t>蛋鸡体系江宁示范基地团队建设</w:t>
      </w:r>
      <w:r>
        <w:rPr>
          <w:rFonts w:hint="eastAsia" w:cs="宋体" w:asciiTheme="minorEastAsia" w:hAnsiTheme="minorEastAsia"/>
          <w:b/>
          <w:bCs/>
          <w:color w:val="auto"/>
          <w:kern w:val="0"/>
          <w:sz w:val="30"/>
          <w:szCs w:val="30"/>
          <w:lang w:eastAsia="zh-CN"/>
        </w:rPr>
        <w:t>。</w:t>
      </w:r>
      <w:r>
        <w:rPr>
          <w:rFonts w:hint="eastAsia" w:cs="宋体" w:asciiTheme="minorEastAsia" w:hAnsiTheme="minorEastAsia"/>
          <w:color w:val="auto"/>
          <w:kern w:val="0"/>
          <w:sz w:val="30"/>
          <w:szCs w:val="30"/>
        </w:rPr>
        <w:t>在江苏现代农业（蛋鸡）产业技术体系首席团队的带领下，根据江宁示范基地2021-2022年度实施方案</w:t>
      </w:r>
      <w:bookmarkStart w:id="0" w:name="_Hlk120865728"/>
      <w:r>
        <w:rPr>
          <w:rFonts w:hint="eastAsia" w:cs="宋体" w:asciiTheme="minorEastAsia" w:hAnsiTheme="minorEastAsia"/>
          <w:color w:val="auto"/>
          <w:kern w:val="0"/>
          <w:sz w:val="30"/>
          <w:szCs w:val="30"/>
        </w:rPr>
        <w:t>（JATS[2021]018），规范工作制度，制定了团队技术创新方案2份，记录工作日志42篇，提供简报素材1次，在省级媒体宣传报道1次，开展调研和试验研究各2项，技术指导101天次，形成调研报告1篇，开展技术培训3次，培训人员387人次</w:t>
      </w:r>
      <w:r>
        <w:rPr>
          <w:rFonts w:hint="eastAsia" w:cs="宋体" w:asciiTheme="minorEastAsia" w:hAnsiTheme="minorEastAsia"/>
          <w:color w:val="auto"/>
          <w:kern w:val="0"/>
          <w:sz w:val="30"/>
          <w:szCs w:val="30"/>
          <w:lang w:eastAsia="zh-CN"/>
        </w:rPr>
        <w:t>。</w:t>
      </w:r>
    </w:p>
    <w:p>
      <w:pPr>
        <w:widowControl/>
        <w:spacing w:line="520" w:lineRule="exact"/>
        <w:ind w:firstLine="602" w:firstLineChars="200"/>
        <w:jc w:val="left"/>
        <w:rPr>
          <w:rFonts w:hint="eastAsia" w:cs="宋体" w:asciiTheme="minorEastAsia" w:hAnsiTheme="minorEastAsia"/>
          <w:color w:val="auto"/>
          <w:kern w:val="0"/>
          <w:sz w:val="30"/>
          <w:szCs w:val="30"/>
          <w:lang w:val="en-US"/>
        </w:rPr>
      </w:pPr>
      <w:r>
        <w:rPr>
          <w:rFonts w:hint="eastAsia" w:cs="宋体" w:asciiTheme="minorEastAsia" w:hAnsiTheme="minorEastAsia"/>
          <w:b/>
          <w:bCs/>
          <w:color w:val="auto"/>
          <w:kern w:val="0"/>
          <w:sz w:val="30"/>
          <w:szCs w:val="30"/>
        </w:rPr>
        <w:t>生猪产业体系</w:t>
      </w:r>
      <w:r>
        <w:rPr>
          <w:rFonts w:hint="eastAsia" w:cs="宋体" w:asciiTheme="minorEastAsia" w:hAnsiTheme="minorEastAsia"/>
          <w:b/>
          <w:bCs/>
          <w:color w:val="auto"/>
          <w:kern w:val="0"/>
          <w:sz w:val="30"/>
          <w:szCs w:val="30"/>
          <w:lang w:val="en-US" w:eastAsia="zh-CN"/>
        </w:rPr>
        <w:t>示范基地</w:t>
      </w:r>
      <w:r>
        <w:rPr>
          <w:rFonts w:hint="eastAsia" w:cs="宋体" w:asciiTheme="minorEastAsia" w:hAnsiTheme="minorEastAsia"/>
          <w:b/>
          <w:bCs/>
          <w:color w:val="auto"/>
          <w:kern w:val="0"/>
          <w:sz w:val="30"/>
          <w:szCs w:val="30"/>
        </w:rPr>
        <w:t>建设</w:t>
      </w:r>
      <w:r>
        <w:rPr>
          <w:rFonts w:hint="eastAsia" w:cs="宋体" w:asciiTheme="minorEastAsia" w:hAnsiTheme="minorEastAsia"/>
          <w:b/>
          <w:bCs/>
          <w:color w:val="auto"/>
          <w:kern w:val="0"/>
          <w:sz w:val="30"/>
          <w:szCs w:val="30"/>
          <w:lang w:eastAsia="zh-CN"/>
        </w:rPr>
        <w:t>。</w:t>
      </w:r>
      <w:r>
        <w:rPr>
          <w:rFonts w:hint="eastAsia" w:cs="宋体" w:asciiTheme="minorEastAsia" w:hAnsiTheme="minorEastAsia"/>
          <w:color w:val="auto"/>
          <w:kern w:val="0"/>
          <w:sz w:val="30"/>
          <w:szCs w:val="30"/>
        </w:rPr>
        <w:t>完成2021-2022年度省级生猪产业体系建设项目验收并通过</w:t>
      </w:r>
      <w:r>
        <w:rPr>
          <w:rFonts w:hint="eastAsia" w:cs="宋体" w:asciiTheme="minorEastAsia" w:hAnsiTheme="minorEastAsia"/>
          <w:color w:val="auto"/>
          <w:kern w:val="0"/>
          <w:sz w:val="30"/>
          <w:szCs w:val="30"/>
          <w:lang w:eastAsia="zh-CN"/>
        </w:rPr>
        <w:t>，</w:t>
      </w:r>
      <w:r>
        <w:rPr>
          <w:rFonts w:hint="eastAsia" w:cs="宋体" w:asciiTheme="minorEastAsia" w:hAnsiTheme="minorEastAsia"/>
          <w:color w:val="auto"/>
          <w:kern w:val="0"/>
          <w:sz w:val="30"/>
          <w:szCs w:val="30"/>
        </w:rPr>
        <w:t>形成种猪生产性能提升—高效繁育技术方案1份、消毒剂使用效果现场评价报告1份、山猪（杂交猪）脂肪沉积营养调控技术报告1份。开展</w:t>
      </w:r>
      <w:r>
        <w:rPr>
          <w:rFonts w:hint="eastAsia" w:cs="宋体" w:asciiTheme="minorEastAsia" w:hAnsiTheme="minorEastAsia"/>
          <w:color w:val="auto"/>
          <w:kern w:val="0"/>
          <w:sz w:val="30"/>
          <w:szCs w:val="30"/>
          <w:lang w:eastAsia="zh-CN"/>
        </w:rPr>
        <w:t>了</w:t>
      </w:r>
      <w:r>
        <w:rPr>
          <w:rFonts w:hint="eastAsia" w:cs="宋体" w:asciiTheme="minorEastAsia" w:hAnsiTheme="minorEastAsia"/>
          <w:color w:val="auto"/>
          <w:kern w:val="0"/>
          <w:sz w:val="30"/>
          <w:szCs w:val="30"/>
        </w:rPr>
        <w:t>甜菜碱盐酸盐</w:t>
      </w:r>
      <w:r>
        <w:rPr>
          <w:rFonts w:hint="eastAsia" w:cs="宋体" w:asciiTheme="minorEastAsia" w:hAnsiTheme="minorEastAsia"/>
          <w:color w:val="auto"/>
          <w:kern w:val="0"/>
          <w:sz w:val="30"/>
          <w:szCs w:val="30"/>
          <w:lang w:eastAsia="zh-CN"/>
        </w:rPr>
        <w:t>对</w:t>
      </w:r>
      <w:r>
        <w:rPr>
          <w:rFonts w:hint="eastAsia" w:cs="宋体" w:asciiTheme="minorEastAsia" w:hAnsiTheme="minorEastAsia"/>
          <w:color w:val="auto"/>
          <w:kern w:val="0"/>
          <w:sz w:val="30"/>
          <w:szCs w:val="30"/>
        </w:rPr>
        <w:t>山猪</w:t>
      </w:r>
      <w:r>
        <w:rPr>
          <w:rFonts w:hint="eastAsia" w:cs="宋体" w:asciiTheme="minorEastAsia" w:hAnsiTheme="minorEastAsia"/>
          <w:color w:val="auto"/>
          <w:kern w:val="0"/>
          <w:sz w:val="30"/>
          <w:szCs w:val="30"/>
          <w:lang w:eastAsia="zh-CN"/>
        </w:rPr>
        <w:t>育肥猪</w:t>
      </w:r>
      <w:r>
        <w:rPr>
          <w:rFonts w:hint="eastAsia" w:cs="宋体" w:asciiTheme="minorEastAsia" w:hAnsiTheme="minorEastAsia"/>
          <w:color w:val="auto"/>
          <w:kern w:val="0"/>
          <w:sz w:val="30"/>
          <w:szCs w:val="30"/>
        </w:rPr>
        <w:t>生长性能</w:t>
      </w:r>
      <w:r>
        <w:rPr>
          <w:rFonts w:hint="eastAsia" w:cs="宋体" w:asciiTheme="minorEastAsia" w:hAnsiTheme="minorEastAsia"/>
          <w:color w:val="auto"/>
          <w:kern w:val="0"/>
          <w:sz w:val="30"/>
          <w:szCs w:val="30"/>
          <w:lang w:eastAsia="zh-CN"/>
        </w:rPr>
        <w:t>、</w:t>
      </w:r>
      <w:r>
        <w:rPr>
          <w:rFonts w:hint="eastAsia" w:cs="宋体" w:asciiTheme="minorEastAsia" w:hAnsiTheme="minorEastAsia"/>
          <w:color w:val="auto"/>
          <w:kern w:val="0"/>
          <w:sz w:val="30"/>
          <w:szCs w:val="30"/>
        </w:rPr>
        <w:t>背膘厚</w:t>
      </w:r>
      <w:r>
        <w:rPr>
          <w:rFonts w:hint="eastAsia" w:cs="宋体" w:asciiTheme="minorEastAsia" w:hAnsiTheme="minorEastAsia"/>
          <w:color w:val="auto"/>
          <w:kern w:val="0"/>
          <w:sz w:val="30"/>
          <w:szCs w:val="30"/>
          <w:lang w:eastAsia="zh-CN"/>
        </w:rPr>
        <w:t>及</w:t>
      </w:r>
      <w:r>
        <w:rPr>
          <w:rFonts w:hint="eastAsia" w:cs="宋体" w:asciiTheme="minorEastAsia" w:hAnsiTheme="minorEastAsia"/>
          <w:color w:val="auto"/>
          <w:kern w:val="0"/>
          <w:sz w:val="30"/>
          <w:szCs w:val="30"/>
        </w:rPr>
        <w:t>脂肪沉积的</w:t>
      </w:r>
      <w:r>
        <w:rPr>
          <w:rFonts w:hint="eastAsia" w:cs="宋体" w:asciiTheme="minorEastAsia" w:hAnsiTheme="minorEastAsia"/>
          <w:color w:val="auto"/>
          <w:kern w:val="0"/>
          <w:sz w:val="30"/>
          <w:szCs w:val="30"/>
          <w:lang w:eastAsia="zh-CN"/>
        </w:rPr>
        <w:t>影响等试验</w:t>
      </w:r>
      <w:r>
        <w:rPr>
          <w:rFonts w:hint="eastAsia" w:cs="宋体" w:asciiTheme="minorEastAsia" w:hAnsiTheme="minorEastAsia"/>
          <w:color w:val="auto"/>
          <w:kern w:val="0"/>
          <w:sz w:val="30"/>
          <w:szCs w:val="30"/>
        </w:rPr>
        <w:t>，</w:t>
      </w:r>
      <w:r>
        <w:rPr>
          <w:rFonts w:hint="eastAsia" w:cs="宋体" w:asciiTheme="minorEastAsia" w:hAnsiTheme="minorEastAsia"/>
          <w:color w:val="auto"/>
          <w:kern w:val="0"/>
          <w:sz w:val="30"/>
          <w:szCs w:val="30"/>
          <w:lang w:eastAsia="zh-CN"/>
        </w:rPr>
        <w:t>得出</w:t>
      </w:r>
      <w:r>
        <w:rPr>
          <w:rFonts w:hint="eastAsia" w:cs="宋体" w:asciiTheme="minorEastAsia" w:hAnsiTheme="minorEastAsia"/>
          <w:color w:val="auto"/>
          <w:kern w:val="0"/>
          <w:sz w:val="30"/>
          <w:szCs w:val="30"/>
        </w:rPr>
        <w:t>在饲料中添加甜菜碱盐酸盐，</w:t>
      </w:r>
      <w:r>
        <w:rPr>
          <w:rFonts w:hint="eastAsia" w:cs="宋体" w:asciiTheme="minorEastAsia" w:hAnsiTheme="minorEastAsia"/>
          <w:color w:val="auto"/>
          <w:kern w:val="0"/>
          <w:sz w:val="30"/>
          <w:szCs w:val="30"/>
          <w:lang w:eastAsia="zh-CN"/>
        </w:rPr>
        <w:t>可以</w:t>
      </w:r>
      <w:r>
        <w:rPr>
          <w:rFonts w:hint="eastAsia" w:cs="宋体" w:asciiTheme="minorEastAsia" w:hAnsiTheme="minorEastAsia"/>
          <w:color w:val="auto"/>
          <w:kern w:val="0"/>
          <w:sz w:val="30"/>
          <w:szCs w:val="30"/>
        </w:rPr>
        <w:t>减少</w:t>
      </w:r>
      <w:r>
        <w:rPr>
          <w:rFonts w:hint="eastAsia" w:cs="宋体" w:asciiTheme="minorEastAsia" w:hAnsiTheme="minorEastAsia"/>
          <w:color w:val="auto"/>
          <w:kern w:val="0"/>
          <w:sz w:val="30"/>
          <w:szCs w:val="30"/>
          <w:lang w:eastAsia="zh-CN"/>
        </w:rPr>
        <w:t>山猪育肥猪</w:t>
      </w:r>
      <w:r>
        <w:rPr>
          <w:rFonts w:hint="eastAsia" w:cs="宋体" w:asciiTheme="minorEastAsia" w:hAnsiTheme="minorEastAsia"/>
          <w:color w:val="auto"/>
          <w:kern w:val="0"/>
          <w:sz w:val="30"/>
          <w:szCs w:val="30"/>
        </w:rPr>
        <w:t>脂肪代谢相关分子的表达，抑制</w:t>
      </w:r>
      <w:r>
        <w:rPr>
          <w:rFonts w:hint="eastAsia" w:cs="宋体" w:asciiTheme="minorEastAsia" w:hAnsiTheme="minorEastAsia"/>
          <w:color w:val="auto"/>
          <w:kern w:val="0"/>
          <w:sz w:val="30"/>
          <w:szCs w:val="30"/>
          <w:lang w:eastAsia="zh-CN"/>
        </w:rPr>
        <w:t>机体</w:t>
      </w:r>
      <w:r>
        <w:rPr>
          <w:rFonts w:hint="eastAsia" w:cs="宋体" w:asciiTheme="minorEastAsia" w:hAnsiTheme="minorEastAsia"/>
          <w:color w:val="auto"/>
          <w:kern w:val="0"/>
          <w:sz w:val="30"/>
          <w:szCs w:val="30"/>
        </w:rPr>
        <w:t>脂肪代谢，</w:t>
      </w:r>
      <w:r>
        <w:rPr>
          <w:rFonts w:hint="eastAsia" w:cs="宋体" w:asciiTheme="minorEastAsia" w:hAnsiTheme="minorEastAsia"/>
          <w:color w:val="auto"/>
          <w:kern w:val="0"/>
          <w:sz w:val="30"/>
          <w:szCs w:val="30"/>
          <w:lang w:eastAsia="zh-CN"/>
        </w:rPr>
        <w:t>从而调控脂肪沉积，</w:t>
      </w:r>
      <w:r>
        <w:rPr>
          <w:rFonts w:hint="eastAsia" w:cs="宋体" w:asciiTheme="minorEastAsia" w:hAnsiTheme="minorEastAsia"/>
          <w:color w:val="auto"/>
          <w:kern w:val="0"/>
          <w:sz w:val="30"/>
          <w:szCs w:val="30"/>
        </w:rPr>
        <w:t>降低背膘厚度，同时能够促进育肥猪生长，提高抗氧化能力，提升免疫力，改善胴体品质</w:t>
      </w:r>
      <w:r>
        <w:rPr>
          <w:rFonts w:hint="eastAsia" w:cs="宋体" w:asciiTheme="minorEastAsia" w:hAnsiTheme="minorEastAsia"/>
          <w:color w:val="auto"/>
          <w:kern w:val="0"/>
          <w:sz w:val="30"/>
          <w:szCs w:val="30"/>
          <w:lang w:eastAsia="zh-CN"/>
        </w:rPr>
        <w:t>等结果。</w:t>
      </w:r>
    </w:p>
    <w:p>
      <w:pPr>
        <w:widowControl/>
        <w:spacing w:line="520" w:lineRule="exact"/>
        <w:ind w:firstLine="602" w:firstLineChars="200"/>
        <w:jc w:val="left"/>
        <w:rPr>
          <w:rFonts w:hint="eastAsia" w:cs="宋体" w:asciiTheme="minorEastAsia" w:hAnsiTheme="minorEastAsia"/>
          <w:color w:val="auto"/>
          <w:kern w:val="0"/>
          <w:sz w:val="30"/>
          <w:szCs w:val="30"/>
          <w:lang w:val="en-US" w:eastAsia="zh-CN"/>
        </w:rPr>
      </w:pPr>
      <w:r>
        <w:rPr>
          <w:rFonts w:hint="eastAsia" w:cs="宋体" w:asciiTheme="minorEastAsia" w:hAnsiTheme="minorEastAsia"/>
          <w:b/>
          <w:bCs/>
          <w:color w:val="auto"/>
          <w:kern w:val="0"/>
          <w:sz w:val="30"/>
          <w:szCs w:val="30"/>
          <w:lang w:val="en-US" w:eastAsia="zh-CN"/>
        </w:rPr>
        <w:t>3、</w:t>
      </w:r>
      <w:r>
        <w:rPr>
          <w:rFonts w:hint="eastAsia" w:cs="宋体" w:asciiTheme="minorEastAsia" w:hAnsiTheme="minorEastAsia"/>
          <w:b/>
          <w:bCs/>
          <w:color w:val="auto"/>
          <w:kern w:val="0"/>
          <w:sz w:val="30"/>
          <w:szCs w:val="30"/>
        </w:rPr>
        <w:t>山猪保种</w:t>
      </w:r>
      <w:r>
        <w:rPr>
          <w:rFonts w:hint="eastAsia" w:cs="宋体" w:asciiTheme="minorEastAsia" w:hAnsiTheme="minorEastAsia"/>
          <w:b/>
          <w:bCs/>
          <w:color w:val="auto"/>
          <w:kern w:val="0"/>
          <w:sz w:val="30"/>
          <w:szCs w:val="30"/>
          <w:lang w:val="en-US" w:eastAsia="zh-CN"/>
        </w:rPr>
        <w:t>及生猪基地生物安全防控工作</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lang w:val="en-US" w:eastAsia="zh-CN"/>
        </w:rPr>
        <w:t>山猪的</w:t>
      </w:r>
      <w:r>
        <w:rPr>
          <w:rFonts w:hint="eastAsia" w:cs="宋体" w:asciiTheme="minorEastAsia" w:hAnsiTheme="minorEastAsia"/>
          <w:b/>
          <w:bCs/>
          <w:color w:val="auto"/>
          <w:kern w:val="0"/>
          <w:sz w:val="30"/>
          <w:szCs w:val="30"/>
        </w:rPr>
        <w:t>继代繁育</w:t>
      </w:r>
      <w:r>
        <w:rPr>
          <w:rFonts w:hint="eastAsia" w:cs="宋体" w:asciiTheme="minorEastAsia" w:hAnsiTheme="minorEastAsia"/>
          <w:b/>
          <w:bCs/>
          <w:color w:val="auto"/>
          <w:kern w:val="0"/>
          <w:sz w:val="30"/>
          <w:szCs w:val="30"/>
          <w:lang w:val="en-US" w:eastAsia="zh-CN"/>
        </w:rPr>
        <w:t>与扩繁备份</w:t>
      </w:r>
      <w:r>
        <w:rPr>
          <w:rFonts w:hint="eastAsia" w:cs="宋体" w:asciiTheme="minorEastAsia" w:hAnsiTheme="minorEastAsia"/>
          <w:b/>
          <w:bCs/>
          <w:color w:val="auto"/>
          <w:kern w:val="0"/>
          <w:sz w:val="30"/>
          <w:szCs w:val="30"/>
        </w:rPr>
        <w:t>。</w:t>
      </w:r>
      <w:r>
        <w:rPr>
          <w:rFonts w:hint="eastAsia" w:cs="宋体" w:asciiTheme="minorEastAsia" w:hAnsiTheme="minorEastAsia"/>
          <w:color w:val="auto"/>
          <w:kern w:val="0"/>
          <w:sz w:val="30"/>
          <w:szCs w:val="30"/>
        </w:rPr>
        <w:t>开展山猪保种方案修编、山猪遗传资源调研，形成山猪性能测定实施方案1份、山猪遗传资源报告1份。制定科学配留种计划，截止2022年12月，山猪种群规模达到166头，其中种母猪106头。筛选适宜场、户、点，开展山猪种群扩繁备份，签订山猪备份协议1份。截止2022年12月，山猪场外扩繁备份规模达到44头。⑶遗传材料保存。定期与保存责任单位对接，掌握保存情况，依据反馈信息及</w:t>
      </w:r>
      <w:r>
        <w:rPr>
          <w:rFonts w:hint="eastAsia" w:cs="宋体" w:asciiTheme="minorEastAsia" w:hAnsiTheme="minorEastAsia"/>
          <w:color w:val="auto"/>
          <w:kern w:val="0"/>
          <w:sz w:val="30"/>
          <w:szCs w:val="30"/>
          <w:lang w:val="en-US" w:eastAsia="zh-CN"/>
        </w:rPr>
        <w:t>专业技术</w:t>
      </w:r>
      <w:r>
        <w:rPr>
          <w:rFonts w:hint="eastAsia" w:cs="宋体" w:asciiTheme="minorEastAsia" w:hAnsiTheme="minorEastAsia"/>
          <w:color w:val="auto"/>
          <w:kern w:val="0"/>
          <w:sz w:val="30"/>
          <w:szCs w:val="30"/>
        </w:rPr>
        <w:t>指导，优化山猪饲养管理，提升质量。</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lang w:val="en-US" w:eastAsia="zh-CN"/>
        </w:rPr>
        <w:t>生猪基地</w:t>
      </w:r>
      <w:r>
        <w:rPr>
          <w:rFonts w:hint="eastAsia" w:cs="宋体" w:asciiTheme="minorEastAsia" w:hAnsiTheme="minorEastAsia"/>
          <w:b/>
          <w:bCs/>
          <w:color w:val="auto"/>
          <w:kern w:val="0"/>
          <w:sz w:val="30"/>
          <w:szCs w:val="30"/>
        </w:rPr>
        <w:t>生物安全防控</w:t>
      </w:r>
      <w:r>
        <w:rPr>
          <w:rFonts w:hint="eastAsia" w:cs="宋体" w:asciiTheme="minorEastAsia" w:hAnsiTheme="minorEastAsia"/>
          <w:b/>
          <w:bCs/>
          <w:color w:val="auto"/>
          <w:kern w:val="0"/>
          <w:sz w:val="30"/>
          <w:szCs w:val="30"/>
          <w:lang w:val="en-US" w:eastAsia="zh-CN"/>
        </w:rPr>
        <w:t>工作。</w:t>
      </w:r>
      <w:r>
        <w:rPr>
          <w:rFonts w:hint="eastAsia" w:cs="宋体" w:asciiTheme="minorEastAsia" w:hAnsiTheme="minorEastAsia"/>
          <w:color w:val="auto"/>
          <w:kern w:val="0"/>
          <w:sz w:val="30"/>
          <w:szCs w:val="30"/>
        </w:rPr>
        <w:t>消毒灭源。按照基地布局分区制定执行消毒方案，对应风险水平确定</w:t>
      </w:r>
      <w:r>
        <w:rPr>
          <w:rFonts w:hint="eastAsia" w:cs="宋体" w:asciiTheme="minorEastAsia" w:hAnsiTheme="minorEastAsia"/>
          <w:color w:val="auto"/>
          <w:kern w:val="0"/>
          <w:sz w:val="30"/>
          <w:szCs w:val="30"/>
          <w:lang w:eastAsia="zh-CN"/>
        </w:rPr>
        <w:t>、</w:t>
      </w:r>
      <w:r>
        <w:rPr>
          <w:rFonts w:hint="eastAsia" w:cs="宋体" w:asciiTheme="minorEastAsia" w:hAnsiTheme="minorEastAsia"/>
          <w:color w:val="auto"/>
          <w:kern w:val="0"/>
          <w:sz w:val="30"/>
          <w:szCs w:val="30"/>
        </w:rPr>
        <w:t>完善消毒剂种类、消毒频次、消毒时间等，把现有消毒相关设施设备用好。非洲猪瘟常态化自检。结合最新相关文件要求，完善形成“非洲猪瘟核酸检测操作指南”1份，按需对基地涉及的猪群与环境开展监测，排除高危疫病的可能。截止12月，已采集检测样本320余份。免疫接种。定期做好相关投入品的管控，完成全群年度免疫接种及补免工作。完善形成免疫抗体水平监测方案1份、山猪保种场免疫程序1份。</w:t>
      </w:r>
    </w:p>
    <w:p>
      <w:pPr>
        <w:widowControl/>
        <w:spacing w:line="520" w:lineRule="exact"/>
        <w:ind w:firstLine="602" w:firstLineChars="200"/>
        <w:jc w:val="left"/>
        <w:rPr>
          <w:rFonts w:hint="eastAsia" w:cs="宋体" w:asciiTheme="minorEastAsia" w:hAnsiTheme="minorEastAsia"/>
          <w:b/>
          <w:bCs/>
          <w:color w:val="auto"/>
          <w:kern w:val="0"/>
          <w:sz w:val="30"/>
          <w:szCs w:val="30"/>
          <w:lang w:val="en-US" w:eastAsia="zh-CN"/>
        </w:rPr>
      </w:pPr>
      <w:r>
        <w:rPr>
          <w:rFonts w:hint="eastAsia" w:cs="宋体" w:asciiTheme="minorEastAsia" w:hAnsiTheme="minorEastAsia"/>
          <w:b/>
          <w:bCs/>
          <w:color w:val="auto"/>
          <w:kern w:val="0"/>
          <w:sz w:val="30"/>
          <w:szCs w:val="30"/>
          <w:lang w:val="en-US" w:eastAsia="zh-CN"/>
        </w:rPr>
        <w:t>4、科研基地硬件维护与升级</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lang w:val="en-US" w:eastAsia="zh-CN"/>
        </w:rPr>
        <w:t>生猪研究室</w:t>
      </w:r>
      <w:r>
        <w:rPr>
          <w:rFonts w:hint="eastAsia" w:cs="宋体" w:asciiTheme="minorEastAsia" w:hAnsiTheme="minorEastAsia"/>
          <w:b/>
          <w:bCs/>
          <w:color w:val="auto"/>
          <w:kern w:val="0"/>
          <w:sz w:val="30"/>
          <w:szCs w:val="30"/>
        </w:rPr>
        <w:t>设施设备建设维护</w:t>
      </w:r>
      <w:r>
        <w:rPr>
          <w:rFonts w:hint="eastAsia" w:cs="宋体" w:asciiTheme="minorEastAsia" w:hAnsiTheme="minorEastAsia"/>
          <w:b/>
          <w:bCs/>
          <w:color w:val="auto"/>
          <w:kern w:val="0"/>
          <w:sz w:val="30"/>
          <w:szCs w:val="30"/>
          <w:lang w:eastAsia="zh-CN"/>
        </w:rPr>
        <w:t>。</w:t>
      </w:r>
      <w:r>
        <w:rPr>
          <w:rFonts w:hint="eastAsia" w:cs="宋体" w:asciiTheme="minorEastAsia" w:hAnsiTheme="minorEastAsia"/>
          <w:color w:val="auto"/>
          <w:kern w:val="0"/>
          <w:sz w:val="30"/>
          <w:szCs w:val="30"/>
        </w:rPr>
        <w:t>新建基地消毒淋浴房及生产区入口消毒通道，控制人员流动，降低病原带入风险。完成库房及实验室整改、洗消中心配套设施设备配置完善等。结合基地常规维护需要与所安全检查整改反馈，对涉及基建进行修缮（含部分零星工程）。相关生产及科研设施设备购置。根据生产、科研实际，按要求采购所需仪器设备、耗材等，并规范使用。环境整治维护。划分基地卫生包干区，依据既定细则实施考核，在部分区域开展青绿作物种植饲喂，补充饲料营养种类。</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lang w:val="en-US" w:eastAsia="zh-CN"/>
        </w:rPr>
        <w:t>淳化基地鸭舍设施建设</w:t>
      </w:r>
      <w:r>
        <w:rPr>
          <w:rFonts w:hint="eastAsia" w:cs="宋体" w:asciiTheme="minorEastAsia" w:hAnsiTheme="minorEastAsia"/>
          <w:b/>
          <w:bCs/>
          <w:color w:val="auto"/>
          <w:kern w:val="0"/>
          <w:sz w:val="30"/>
          <w:szCs w:val="30"/>
          <w:lang w:eastAsia="zh-CN"/>
        </w:rPr>
        <w:t>。</w:t>
      </w:r>
      <w:r>
        <w:rPr>
          <w:rFonts w:hint="eastAsia" w:cs="宋体" w:asciiTheme="minorEastAsia" w:hAnsiTheme="minorEastAsia"/>
          <w:color w:val="auto"/>
          <w:kern w:val="0"/>
          <w:sz w:val="30"/>
          <w:szCs w:val="30"/>
        </w:rPr>
        <w:t>开展金陵白鸭配套系继代繁育与选育群建立</w:t>
      </w:r>
      <w:r>
        <w:rPr>
          <w:rFonts w:hint="eastAsia" w:cs="宋体" w:asciiTheme="minorEastAsia" w:hAnsiTheme="minorEastAsia"/>
          <w:color w:val="auto"/>
          <w:kern w:val="0"/>
          <w:sz w:val="30"/>
          <w:szCs w:val="30"/>
          <w:lang w:val="en-US" w:eastAsia="zh-CN"/>
        </w:rPr>
        <w:t>的同时</w:t>
      </w:r>
      <w:r>
        <w:rPr>
          <w:rFonts w:hint="eastAsia" w:cs="宋体" w:asciiTheme="minorEastAsia" w:hAnsiTheme="minorEastAsia"/>
          <w:color w:val="auto"/>
          <w:kern w:val="0"/>
          <w:sz w:val="30"/>
          <w:szCs w:val="30"/>
        </w:rPr>
        <w:t>，对接了设施农用地的用地勘测、定界放样、土地复垦等工作，完成了配电房改造、水电线路排布、土地平整、外墙修补等工作。</w:t>
      </w:r>
    </w:p>
    <w:bookmarkEnd w:id="0"/>
    <w:p>
      <w:pPr>
        <w:widowControl/>
        <w:spacing w:line="520" w:lineRule="exact"/>
        <w:ind w:firstLine="602" w:firstLineChars="200"/>
        <w:jc w:val="left"/>
        <w:rPr>
          <w:rFonts w:hint="eastAsia" w:cs="宋体" w:asciiTheme="minorEastAsia" w:hAnsiTheme="minorEastAsia"/>
          <w:b/>
          <w:bCs/>
          <w:color w:val="auto"/>
          <w:kern w:val="0"/>
          <w:sz w:val="30"/>
          <w:szCs w:val="30"/>
        </w:rPr>
      </w:pPr>
      <w:r>
        <w:rPr>
          <w:rFonts w:hint="eastAsia" w:cs="宋体" w:asciiTheme="minorEastAsia" w:hAnsiTheme="minorEastAsia"/>
          <w:b/>
          <w:bCs/>
          <w:color w:val="auto"/>
          <w:kern w:val="0"/>
          <w:sz w:val="30"/>
          <w:szCs w:val="30"/>
          <w:lang w:val="en-US" w:eastAsia="zh-CN"/>
        </w:rPr>
        <w:t>5、</w:t>
      </w:r>
      <w:r>
        <w:rPr>
          <w:rFonts w:hint="eastAsia" w:cs="宋体" w:asciiTheme="minorEastAsia" w:hAnsiTheme="minorEastAsia"/>
          <w:b/>
          <w:bCs/>
          <w:color w:val="auto"/>
          <w:kern w:val="0"/>
          <w:sz w:val="30"/>
          <w:szCs w:val="30"/>
        </w:rPr>
        <w:t>产业对接与技术推广</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rPr>
        <w:t>对接南京鸭产业链建设</w:t>
      </w:r>
      <w:r>
        <w:rPr>
          <w:rFonts w:hint="eastAsia" w:cs="宋体" w:asciiTheme="minorEastAsia" w:hAnsiTheme="minorEastAsia"/>
          <w:b/>
          <w:bCs/>
          <w:color w:val="auto"/>
          <w:kern w:val="0"/>
          <w:sz w:val="30"/>
          <w:szCs w:val="30"/>
          <w:lang w:eastAsia="zh-CN"/>
        </w:rPr>
        <w:t>。</w:t>
      </w:r>
      <w:r>
        <w:rPr>
          <w:rFonts w:hint="eastAsia" w:cs="宋体" w:asciiTheme="minorEastAsia" w:hAnsiTheme="minorEastAsia"/>
          <w:color w:val="auto"/>
          <w:kern w:val="0"/>
          <w:sz w:val="30"/>
          <w:szCs w:val="30"/>
        </w:rPr>
        <w:t>根据南京鸭产业发展现状，积极开展南京鸭产业调研与咨询服务工作，每月向南京市农业农村局畜牧与畜禽屠宰管理处汇报南京鸭产业链相关工作推进情况，11月17日参加了“科金兴农服务日”活动暨南京鸭产业联盟成立大会，12月20日参加了南京鸭产业高质量发展研讨会。</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rPr>
        <w:t>推广绍兴鸭新品系</w:t>
      </w:r>
      <w:r>
        <w:rPr>
          <w:rFonts w:hint="eastAsia" w:cs="宋体" w:asciiTheme="minorEastAsia" w:hAnsiTheme="minorEastAsia"/>
          <w:color w:val="auto"/>
          <w:kern w:val="0"/>
          <w:sz w:val="30"/>
          <w:szCs w:val="30"/>
          <w:lang w:eastAsia="zh-CN"/>
        </w:rPr>
        <w:t>。</w:t>
      </w:r>
      <w:r>
        <w:rPr>
          <w:rFonts w:hint="eastAsia" w:cs="宋体" w:asciiTheme="minorEastAsia" w:hAnsiTheme="minorEastAsia"/>
          <w:color w:val="auto"/>
          <w:kern w:val="0"/>
          <w:sz w:val="30"/>
          <w:szCs w:val="30"/>
        </w:rPr>
        <w:t>根据南京市溧水区蛋鸭养殖场户需求，经种蛋收集与孵化，于3月9日出雏绍兴鸭青壳系雏鸭14847只，通过公母鉴别，雏鸭中分拣母雏鸭7400只作为商品蛋鸭饲养，分拣公雏鸭1200只作为肉用小公鸭饲养，经鸭病毒性肝炎免疫接种后，累计在南京溧水白生农副产品专业合作社推广饲养绍兴鸭青壳系8600只。</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lang w:val="en-US" w:eastAsia="zh-CN"/>
        </w:rPr>
        <w:t>6、</w:t>
      </w:r>
      <w:r>
        <w:rPr>
          <w:rFonts w:hint="eastAsia" w:cs="宋体" w:asciiTheme="minorEastAsia" w:hAnsiTheme="minorEastAsia"/>
          <w:b/>
          <w:bCs/>
          <w:color w:val="auto"/>
          <w:kern w:val="0"/>
          <w:sz w:val="30"/>
          <w:szCs w:val="30"/>
        </w:rPr>
        <w:t>对外交流及</w:t>
      </w:r>
      <w:r>
        <w:rPr>
          <w:rFonts w:hint="eastAsia" w:cs="宋体" w:asciiTheme="minorEastAsia" w:hAnsiTheme="minorEastAsia"/>
          <w:b/>
          <w:bCs/>
          <w:color w:val="auto"/>
          <w:kern w:val="0"/>
          <w:sz w:val="30"/>
          <w:szCs w:val="30"/>
          <w:lang w:val="en-US" w:eastAsia="zh-CN"/>
        </w:rPr>
        <w:t>技术指导</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lang w:val="en-US" w:eastAsia="zh-CN"/>
        </w:rPr>
        <w:t>肉鸡产业技术协作与指导</w:t>
      </w:r>
      <w:r>
        <w:rPr>
          <w:rFonts w:hint="eastAsia" w:cs="宋体" w:asciiTheme="minorEastAsia" w:hAnsiTheme="minorEastAsia"/>
          <w:color w:val="auto"/>
          <w:kern w:val="0"/>
          <w:sz w:val="30"/>
          <w:szCs w:val="30"/>
          <w:lang w:val="en-US" w:eastAsia="zh-CN"/>
        </w:rPr>
        <w:t>。以《2021年南京市产学研肉鸡自动化笼养示范基地项目》为抓手，在肉鸡养殖场户相对集中的六合区开展肉鸡自动化笼养模式的示范推广工作。围绕项目的实施，形成《层叠笼肉鸡数字化养殖技术》、《肉鸡层叠式笼养模式消毒规范》等教学视频及企业标准，向周边肉鸡养殖场户展示了全封闭层叠笼养模式条件下的环境自动控制系统、自动喂水、喂料系统、自动清粪系统及粪污快速处理技术，项目实施以来，举办相关培训观摩5次，培训基层养殖技术人员200余人次，为广大肉鸡养殖场户转型升级做参考。</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lang w:val="en-US" w:eastAsia="zh-CN"/>
        </w:rPr>
        <w:t>生猪产业对外交流与培训。</w:t>
      </w:r>
      <w:r>
        <w:rPr>
          <w:rFonts w:hint="eastAsia" w:cs="宋体" w:asciiTheme="minorEastAsia" w:hAnsiTheme="minorEastAsia"/>
          <w:color w:val="auto"/>
          <w:kern w:val="0"/>
          <w:sz w:val="30"/>
          <w:szCs w:val="30"/>
        </w:rPr>
        <w:t>对接生猪养殖示范点、示范户12个。组织或参与全所面上推广与业务培训人数达300余人。定期对接山猪扩繁备份场户，跟进生产信息。与业内专家、科研院所等保持良好关系，积极参与学术会议、培训，加强交流互动，争取更大合作。选派技术人员代表参加第五届全国农业行业职业技能大赛家畜繁殖员江苏选拔赛获得“优秀选手”称号。</w:t>
      </w:r>
      <w:bookmarkStart w:id="1" w:name="_GoBack"/>
      <w:bookmarkEnd w:id="1"/>
    </w:p>
    <w:p>
      <w:pPr>
        <w:widowControl/>
        <w:numPr>
          <w:ilvl w:val="0"/>
          <w:numId w:val="2"/>
        </w:numPr>
        <w:spacing w:line="520" w:lineRule="exact"/>
        <w:ind w:left="0" w:leftChars="0" w:firstLine="0" w:firstLineChars="0"/>
        <w:jc w:val="left"/>
        <w:rPr>
          <w:rFonts w:hint="eastAsia" w:cs="宋体" w:asciiTheme="minorEastAsia" w:hAnsiTheme="minorEastAsia"/>
          <w:b/>
          <w:bCs/>
          <w:color w:val="auto"/>
          <w:kern w:val="0"/>
          <w:sz w:val="30"/>
          <w:szCs w:val="30"/>
          <w:lang w:val="en-US" w:eastAsia="zh-CN"/>
        </w:rPr>
      </w:pPr>
      <w:r>
        <w:rPr>
          <w:rFonts w:hint="eastAsia" w:cs="宋体" w:asciiTheme="minorEastAsia" w:hAnsiTheme="minorEastAsia"/>
          <w:b/>
          <w:bCs/>
          <w:color w:val="auto"/>
          <w:kern w:val="0"/>
          <w:sz w:val="30"/>
          <w:szCs w:val="30"/>
          <w:lang w:val="en-US" w:eastAsia="zh-CN"/>
        </w:rPr>
        <w:t>履职绩效</w:t>
      </w:r>
    </w:p>
    <w:p>
      <w:pPr>
        <w:widowControl/>
        <w:numPr>
          <w:ilvl w:val="0"/>
          <w:numId w:val="0"/>
        </w:numPr>
        <w:spacing w:line="520" w:lineRule="exact"/>
        <w:ind w:firstLine="602" w:firstLineChars="200"/>
        <w:jc w:val="left"/>
        <w:rPr>
          <w:rFonts w:hint="eastAsia" w:cs="宋体" w:asciiTheme="minorEastAsia" w:hAnsiTheme="minorEastAsia"/>
          <w:color w:val="auto"/>
          <w:kern w:val="0"/>
          <w:sz w:val="30"/>
          <w:szCs w:val="30"/>
          <w:lang w:eastAsia="zh-CN"/>
        </w:rPr>
      </w:pPr>
      <w:r>
        <w:rPr>
          <w:rFonts w:hint="eastAsia" w:cs="宋体" w:asciiTheme="minorEastAsia" w:hAnsiTheme="minorEastAsia"/>
          <w:b/>
          <w:bCs/>
          <w:color w:val="auto"/>
          <w:kern w:val="0"/>
          <w:sz w:val="30"/>
          <w:szCs w:val="30"/>
          <w:lang w:val="en-US" w:eastAsia="zh-CN"/>
        </w:rPr>
        <w:t>禽业研究室</w:t>
      </w:r>
      <w:r>
        <w:rPr>
          <w:rFonts w:hint="eastAsia" w:cs="宋体" w:asciiTheme="minorEastAsia" w:hAnsiTheme="minorEastAsia"/>
          <w:color w:val="auto"/>
          <w:kern w:val="0"/>
          <w:sz w:val="30"/>
          <w:szCs w:val="30"/>
        </w:rPr>
        <w:t>根据南京鸭产业技术需求，结合科研方向与内容，制定“笼养蛋鸭养殖技术规程”和“种鸭人工授精技术规程”南京市地方标准2项，于10月20日在南京市市场监督管理局公开征求意见，相关技术内容形成“种鸭笼养人工授精关键技术”期刊论文1篇。以技术帮扶和鸭品种培育为素材，在南京新风、紫金山新闻、南京日报等媒体平台发布新闻宣传信息6篇。以技术创新研究与集成应用为基础，根据南京市农业农村局科技教育处“文件要求，进一步推进了“肉鸭发酵床网上养殖技术”和“规模禽场臭气减排关键技术”2项技术的集成推广</w:t>
      </w:r>
      <w:r>
        <w:rPr>
          <w:rFonts w:hint="eastAsia" w:cs="宋体" w:asciiTheme="minorEastAsia" w:hAnsiTheme="minorEastAsia"/>
          <w:color w:val="auto"/>
          <w:kern w:val="0"/>
          <w:sz w:val="30"/>
          <w:szCs w:val="30"/>
          <w:lang w:eastAsia="zh-CN"/>
        </w:rPr>
        <w:t>。</w:t>
      </w:r>
    </w:p>
    <w:p>
      <w:pPr>
        <w:widowControl/>
        <w:spacing w:line="520" w:lineRule="exact"/>
        <w:ind w:firstLine="602" w:firstLineChars="200"/>
        <w:jc w:val="left"/>
        <w:rPr>
          <w:rFonts w:hint="eastAsia" w:cs="宋体" w:asciiTheme="minorEastAsia" w:hAnsiTheme="minorEastAsia"/>
          <w:color w:val="auto"/>
          <w:kern w:val="0"/>
          <w:sz w:val="30"/>
          <w:szCs w:val="30"/>
        </w:rPr>
      </w:pPr>
      <w:r>
        <w:rPr>
          <w:rFonts w:hint="eastAsia" w:cs="宋体" w:asciiTheme="minorEastAsia" w:hAnsiTheme="minorEastAsia"/>
          <w:b/>
          <w:bCs/>
          <w:color w:val="auto"/>
          <w:kern w:val="0"/>
          <w:sz w:val="30"/>
          <w:szCs w:val="30"/>
          <w:lang w:val="en-US" w:eastAsia="zh-CN"/>
        </w:rPr>
        <w:t>生猪研究室</w:t>
      </w:r>
      <w:r>
        <w:rPr>
          <w:rFonts w:hint="eastAsia" w:cs="宋体" w:asciiTheme="minorEastAsia" w:hAnsiTheme="minorEastAsia"/>
          <w:color w:val="auto"/>
          <w:kern w:val="0"/>
          <w:sz w:val="30"/>
          <w:szCs w:val="30"/>
        </w:rPr>
        <w:t>授权实用新型专利2个</w:t>
      </w:r>
      <w:r>
        <w:rPr>
          <w:rFonts w:hint="eastAsia" w:cs="宋体" w:asciiTheme="minorEastAsia" w:hAnsiTheme="minorEastAsia"/>
          <w:color w:val="auto"/>
          <w:kern w:val="0"/>
          <w:sz w:val="30"/>
          <w:szCs w:val="30"/>
          <w:lang w:eastAsia="zh-CN"/>
        </w:rPr>
        <w:t>，</w:t>
      </w:r>
      <w:r>
        <w:rPr>
          <w:rFonts w:hint="eastAsia" w:cs="宋体" w:asciiTheme="minorEastAsia" w:hAnsiTheme="minorEastAsia"/>
          <w:color w:val="auto"/>
          <w:kern w:val="0"/>
          <w:sz w:val="30"/>
          <w:szCs w:val="30"/>
          <w:lang w:val="en-US" w:eastAsia="zh-CN"/>
        </w:rPr>
        <w:t>分别为</w:t>
      </w:r>
      <w:r>
        <w:rPr>
          <w:rFonts w:hint="eastAsia" w:cs="宋体" w:asciiTheme="minorEastAsia" w:hAnsiTheme="minorEastAsia"/>
          <w:color w:val="auto"/>
          <w:kern w:val="0"/>
          <w:sz w:val="30"/>
          <w:szCs w:val="30"/>
        </w:rPr>
        <w:t>一种便携式仔猪保温箱（ZL 2021 2 1075643.4）</w:t>
      </w:r>
      <w:r>
        <w:rPr>
          <w:rFonts w:hint="eastAsia" w:cs="宋体" w:asciiTheme="minorEastAsia" w:hAnsiTheme="minorEastAsia"/>
          <w:color w:val="auto"/>
          <w:kern w:val="0"/>
          <w:sz w:val="30"/>
          <w:szCs w:val="30"/>
          <w:lang w:val="en-US" w:eastAsia="zh-CN"/>
        </w:rPr>
        <w:t>和</w:t>
      </w:r>
      <w:r>
        <w:rPr>
          <w:rFonts w:hint="eastAsia" w:cs="宋体" w:asciiTheme="minorEastAsia" w:hAnsiTheme="minorEastAsia"/>
          <w:color w:val="auto"/>
          <w:kern w:val="0"/>
          <w:sz w:val="30"/>
          <w:szCs w:val="30"/>
        </w:rPr>
        <w:t>一种兽用采精架（ZL 2021 2 1075643.4）。微课“非洲猪瘟自检实验室病原检测技术”获得南京市高素质农民培育优秀教学资源二等奖。在《中国猪业》、《当代畜牧》、《养殖与饲料》等刊物发表科技论文5篇。在南京电视台、南京新风、农技耘等平台发布新闻宣传信息7篇。</w:t>
      </w:r>
    </w:p>
    <w:p>
      <w:pPr>
        <w:widowControl/>
        <w:spacing w:line="520" w:lineRule="exact"/>
        <w:ind w:firstLine="602" w:firstLineChars="200"/>
        <w:jc w:val="left"/>
        <w:rPr>
          <w:rFonts w:hint="default" w:cs="宋体" w:asciiTheme="minorEastAsia" w:hAnsiTheme="minorEastAsia"/>
          <w:color w:val="auto"/>
          <w:kern w:val="0"/>
          <w:sz w:val="30"/>
          <w:szCs w:val="30"/>
          <w:lang w:val="en-US" w:eastAsia="zh-CN"/>
        </w:rPr>
      </w:pPr>
      <w:r>
        <w:rPr>
          <w:rFonts w:hint="eastAsia" w:cs="宋体" w:asciiTheme="minorEastAsia" w:hAnsiTheme="minorEastAsia"/>
          <w:b/>
          <w:bCs/>
          <w:color w:val="auto"/>
          <w:kern w:val="0"/>
          <w:sz w:val="30"/>
          <w:szCs w:val="30"/>
          <w:lang w:val="en-US" w:eastAsia="zh-CN"/>
        </w:rPr>
        <w:t>环资室</w:t>
      </w:r>
      <w:r>
        <w:rPr>
          <w:rFonts w:hint="eastAsia" w:cs="宋体" w:asciiTheme="minorEastAsia" w:hAnsiTheme="minorEastAsia"/>
          <w:color w:val="auto"/>
          <w:kern w:val="0"/>
          <w:sz w:val="30"/>
          <w:szCs w:val="30"/>
          <w:lang w:val="en-US" w:eastAsia="zh-CN"/>
        </w:rPr>
        <w:t>以</w:t>
      </w:r>
      <w:r>
        <w:rPr>
          <w:rFonts w:hint="eastAsia" w:cs="宋体" w:asciiTheme="minorEastAsia" w:hAnsiTheme="minorEastAsia"/>
          <w:color w:val="auto"/>
          <w:kern w:val="0"/>
          <w:sz w:val="30"/>
          <w:szCs w:val="30"/>
        </w:rPr>
        <w:t>《畜禽舍内环境质量控制技术研究与应用》</w:t>
      </w:r>
      <w:r>
        <w:rPr>
          <w:rFonts w:hint="eastAsia" w:cs="宋体" w:asciiTheme="minorEastAsia" w:hAnsiTheme="minorEastAsia"/>
          <w:color w:val="auto"/>
          <w:kern w:val="0"/>
          <w:sz w:val="30"/>
          <w:szCs w:val="30"/>
          <w:lang w:val="en-US" w:eastAsia="zh-CN"/>
        </w:rPr>
        <w:t>项目、江苏省重点研发计划（现代农业）项目--《鸽优异基因的挖掘和优质蛋用鸽配套系的选育》、《江苏省农业（特色畜禽）技术体系示范基地》等项目为基础，积极开展蛋用鸽配套系的培育、鸽集约化高效养殖模式等工作，相关科研形成论文2篇、申报地方标准3项、软件著作权4项、国家专利6项，集成《鸽集约化高效养殖技术集成与推广》成果通过江苏省畜牧兽医学会专家鉴定，并在南京、宿迁、无锡、泰州等我省鸽主要养殖区域推广应用，成效显著。</w:t>
      </w:r>
    </w:p>
    <w:p>
      <w:pPr>
        <w:widowControl/>
        <w:spacing w:line="520" w:lineRule="exact"/>
        <w:jc w:val="left"/>
        <w:rPr>
          <w:rFonts w:cs="宋体" w:asciiTheme="minorEastAsia" w:hAnsiTheme="minorEastAsia"/>
          <w:b/>
          <w:color w:val="auto"/>
          <w:kern w:val="0"/>
          <w:sz w:val="30"/>
          <w:szCs w:val="30"/>
        </w:rPr>
      </w:pPr>
      <w:r>
        <w:rPr>
          <w:rFonts w:hint="eastAsia" w:cs="宋体" w:asciiTheme="minorEastAsia" w:hAnsiTheme="minorEastAsia"/>
          <w:b/>
          <w:color w:val="auto"/>
          <w:kern w:val="0"/>
          <w:sz w:val="30"/>
          <w:szCs w:val="30"/>
          <w:lang w:val="en-US" w:eastAsia="zh-CN"/>
        </w:rPr>
        <w:t>四</w:t>
      </w:r>
      <w:r>
        <w:rPr>
          <w:rFonts w:hint="eastAsia" w:cs="宋体" w:asciiTheme="minorEastAsia" w:hAnsiTheme="minorEastAsia"/>
          <w:b/>
          <w:color w:val="auto"/>
          <w:kern w:val="0"/>
          <w:sz w:val="30"/>
          <w:szCs w:val="30"/>
        </w:rPr>
        <w:t>、存在问题及原因分析</w:t>
      </w:r>
    </w:p>
    <w:p>
      <w:pPr>
        <w:widowControl/>
        <w:spacing w:line="520" w:lineRule="exact"/>
        <w:ind w:firstLine="600" w:firstLineChars="200"/>
        <w:jc w:val="left"/>
        <w:rPr>
          <w:rFonts w:hint="default" w:cs="宋体" w:asciiTheme="minorEastAsia" w:hAnsiTheme="minorEastAsia"/>
          <w:color w:val="auto"/>
          <w:kern w:val="0"/>
          <w:sz w:val="30"/>
          <w:szCs w:val="30"/>
          <w:lang w:val="en-US" w:eastAsia="zh-CN"/>
        </w:rPr>
      </w:pPr>
      <w:r>
        <w:rPr>
          <w:rFonts w:hint="eastAsia" w:cs="宋体" w:asciiTheme="minorEastAsia" w:hAnsiTheme="minorEastAsia"/>
          <w:color w:val="auto"/>
          <w:kern w:val="0"/>
          <w:sz w:val="30"/>
          <w:szCs w:val="30"/>
          <w:lang w:val="en-US" w:eastAsia="zh-CN"/>
        </w:rPr>
        <w:t>产出效益无法有效衡量。本单位日常所做的畜禽产业相关工作为长期性工作，产出效益无法简单通过几个数值或指标进行衡量，在绩效评价时对此指标的评价不够完整、全面。</w:t>
      </w:r>
    </w:p>
    <w:p>
      <w:pPr>
        <w:spacing w:line="520" w:lineRule="exact"/>
        <w:rPr>
          <w:rFonts w:cs="宋体" w:asciiTheme="minorEastAsia" w:hAnsiTheme="minorEastAsia"/>
          <w:b/>
          <w:color w:val="auto"/>
          <w:kern w:val="0"/>
          <w:sz w:val="30"/>
          <w:szCs w:val="30"/>
        </w:rPr>
      </w:pPr>
      <w:r>
        <w:rPr>
          <w:rFonts w:hint="eastAsia" w:cs="宋体" w:asciiTheme="minorEastAsia" w:hAnsiTheme="minorEastAsia"/>
          <w:b/>
          <w:color w:val="auto"/>
          <w:kern w:val="0"/>
          <w:sz w:val="30"/>
          <w:szCs w:val="30"/>
          <w:lang w:val="en-US" w:eastAsia="zh-CN"/>
        </w:rPr>
        <w:t>五</w:t>
      </w:r>
      <w:r>
        <w:rPr>
          <w:rFonts w:hint="eastAsia" w:cs="宋体" w:asciiTheme="minorEastAsia" w:hAnsiTheme="minorEastAsia"/>
          <w:b/>
          <w:color w:val="auto"/>
          <w:kern w:val="0"/>
          <w:sz w:val="30"/>
          <w:szCs w:val="30"/>
        </w:rPr>
        <w:t>、有关建议</w:t>
      </w:r>
    </w:p>
    <w:p>
      <w:pPr>
        <w:spacing w:line="520" w:lineRule="exact"/>
        <w:ind w:firstLine="600" w:firstLineChars="200"/>
        <w:rPr>
          <w:rFonts w:hint="eastAsia" w:cs="宋体" w:asciiTheme="minorEastAsia" w:hAnsiTheme="minorEastAsia"/>
          <w:color w:val="auto"/>
          <w:kern w:val="0"/>
          <w:sz w:val="30"/>
          <w:szCs w:val="30"/>
          <w:lang w:val="en-US" w:eastAsia="zh-CN"/>
        </w:rPr>
      </w:pPr>
      <w:r>
        <w:rPr>
          <w:rFonts w:hint="eastAsia" w:cs="宋体" w:asciiTheme="minorEastAsia" w:hAnsiTheme="minorEastAsia"/>
          <w:color w:val="auto"/>
          <w:kern w:val="0"/>
          <w:sz w:val="30"/>
          <w:szCs w:val="30"/>
          <w:lang w:val="en-US" w:eastAsia="zh-CN"/>
        </w:rPr>
        <w:t>延长考核周期、拓宽维度、对社会效益进行考核。针对本单位所做工作为长期性工作，短期内难以有立竿见影的效果这一情况，可适当延长考核周期、拓宽考核标准的维度。同时，社会效益涵盖面较广，在进行此指标的评价时，应结合专家意见、公众满意度及持续评价等因素进行综合考量，使评价更为精准、有效。</w:t>
      </w:r>
    </w:p>
    <w:p>
      <w:pPr>
        <w:spacing w:line="520" w:lineRule="exact"/>
        <w:rPr>
          <w:rFonts w:hint="eastAsia" w:cs="宋体" w:asciiTheme="minorEastAsia" w:hAnsiTheme="minorEastAsia"/>
          <w:b/>
          <w:color w:val="auto"/>
          <w:kern w:val="0"/>
          <w:sz w:val="30"/>
          <w:szCs w:val="30"/>
          <w:lang w:val="en-US" w:eastAsia="zh-CN"/>
        </w:rPr>
      </w:pPr>
      <w:r>
        <w:rPr>
          <w:rFonts w:hint="eastAsia" w:cs="宋体" w:asciiTheme="minorEastAsia" w:hAnsiTheme="minorEastAsia"/>
          <w:b/>
          <w:color w:val="auto"/>
          <w:kern w:val="0"/>
          <w:sz w:val="30"/>
          <w:szCs w:val="30"/>
          <w:lang w:val="en-US" w:eastAsia="zh-CN"/>
        </w:rPr>
        <w:t>六、评价工作开展情况及其他需说明的情况</w:t>
      </w:r>
    </w:p>
    <w:p>
      <w:pPr>
        <w:numPr>
          <w:ilvl w:val="0"/>
          <w:numId w:val="0"/>
        </w:numPr>
        <w:spacing w:line="520" w:lineRule="exact"/>
        <w:rPr>
          <w:rFonts w:hint="default" w:cs="宋体" w:asciiTheme="minorEastAsia" w:hAnsiTheme="minorEastAsia"/>
          <w:color w:val="auto"/>
          <w:kern w:val="0"/>
          <w:sz w:val="30"/>
          <w:szCs w:val="30"/>
          <w:lang w:val="en-US" w:eastAsia="zh-CN"/>
        </w:rPr>
      </w:pPr>
      <w:r>
        <w:rPr>
          <w:rFonts w:hint="eastAsia" w:cs="宋体" w:asciiTheme="minorEastAsia" w:hAnsiTheme="minorEastAsia"/>
          <w:color w:val="auto"/>
          <w:kern w:val="0"/>
          <w:sz w:val="30"/>
          <w:szCs w:val="30"/>
          <w:lang w:val="en-US" w:eastAsia="zh-CN"/>
        </w:rPr>
        <w:t xml:space="preserve">    无</w:t>
      </w:r>
    </w:p>
    <w:p>
      <w:pPr>
        <w:spacing w:line="520" w:lineRule="exact"/>
        <w:ind w:firstLine="600" w:firstLineChars="200"/>
        <w:rPr>
          <w:rFonts w:hint="eastAsia" w:cs="宋体" w:asciiTheme="minorEastAsia" w:hAnsiTheme="minorEastAsia"/>
          <w:color w:val="auto"/>
          <w:kern w:val="0"/>
          <w:sz w:val="30"/>
          <w:szCs w:val="30"/>
          <w:lang w:val="en-US" w:eastAsia="zh-CN"/>
        </w:rPr>
      </w:pPr>
    </w:p>
    <w:p>
      <w:pPr>
        <w:spacing w:line="520" w:lineRule="exact"/>
        <w:ind w:firstLine="4800" w:firstLineChars="1600"/>
        <w:rPr>
          <w:rFonts w:hint="eastAsia" w:cs="宋体" w:asciiTheme="minorEastAsia" w:hAnsiTheme="minorEastAsia"/>
          <w:color w:val="auto"/>
          <w:kern w:val="0"/>
          <w:sz w:val="30"/>
          <w:szCs w:val="30"/>
          <w:lang w:val="en-US" w:eastAsia="zh-CN"/>
        </w:rPr>
      </w:pPr>
      <w:r>
        <w:rPr>
          <w:rFonts w:hint="eastAsia" w:cs="宋体" w:asciiTheme="minorEastAsia" w:hAnsiTheme="minorEastAsia"/>
          <w:color w:val="auto"/>
          <w:kern w:val="0"/>
          <w:sz w:val="30"/>
          <w:szCs w:val="30"/>
          <w:lang w:val="en-US" w:eastAsia="zh-CN"/>
        </w:rPr>
        <w:t>南京市畜牧家禽科学研究所</w:t>
      </w:r>
    </w:p>
    <w:p>
      <w:pPr>
        <w:spacing w:line="520" w:lineRule="exact"/>
        <w:ind w:firstLine="5400" w:firstLineChars="1800"/>
        <w:rPr>
          <w:rFonts w:hint="eastAsia" w:cs="宋体" w:asciiTheme="minorEastAsia" w:hAnsiTheme="minorEastAsia"/>
          <w:color w:val="auto"/>
          <w:kern w:val="0"/>
          <w:sz w:val="30"/>
          <w:szCs w:val="30"/>
          <w:lang w:val="en-US" w:eastAsia="zh-CN"/>
        </w:rPr>
      </w:pPr>
      <w:r>
        <w:rPr>
          <w:rFonts w:hint="eastAsia" w:cs="宋体" w:asciiTheme="minorEastAsia" w:hAnsiTheme="minorEastAsia"/>
          <w:color w:val="auto"/>
          <w:kern w:val="0"/>
          <w:sz w:val="30"/>
          <w:szCs w:val="30"/>
          <w:lang w:val="en-US" w:eastAsia="zh-CN"/>
        </w:rPr>
        <w:t>2023年6月28日</w:t>
      </w:r>
    </w:p>
    <w:p>
      <w:pPr>
        <w:spacing w:line="520" w:lineRule="exact"/>
        <w:ind w:firstLine="5400" w:firstLineChars="1800"/>
        <w:rPr>
          <w:rFonts w:hint="eastAsia" w:cs="宋体" w:asciiTheme="minorEastAsia" w:hAnsiTheme="minorEastAsia"/>
          <w:color w:val="auto"/>
          <w:kern w:val="0"/>
          <w:sz w:val="30"/>
          <w:szCs w:val="30"/>
          <w:lang w:val="en-US" w:eastAsia="zh-CN"/>
        </w:rPr>
      </w:pPr>
    </w:p>
    <w:p>
      <w:pPr>
        <w:spacing w:line="520" w:lineRule="exact"/>
        <w:ind w:firstLine="480" w:firstLineChars="200"/>
        <w:jc w:val="both"/>
        <w:rPr>
          <w:rFonts w:hint="eastAsia" w:cs="宋体" w:asciiTheme="minorEastAsia" w:hAnsiTheme="minorEastAsia"/>
          <w:color w:val="auto"/>
          <w:kern w:val="0"/>
          <w:sz w:val="30"/>
          <w:szCs w:val="30"/>
          <w:lang w:val="en-US" w:eastAsia="zh-CN"/>
        </w:rPr>
      </w:pPr>
      <w:r>
        <w:rPr>
          <w:rFonts w:ascii="宋体" w:hAnsi="宋体" w:eastAsia="宋体" w:cs="宋体"/>
          <w:sz w:val="24"/>
          <w:szCs w:val="24"/>
        </w:rPr>
        <w:t>附件：1.指标体系得分情况</w:t>
      </w:r>
    </w:p>
    <w:p>
      <w:pPr>
        <w:spacing w:line="520" w:lineRule="exact"/>
        <w:ind w:firstLine="5400" w:firstLineChars="1800"/>
        <w:rPr>
          <w:rFonts w:hint="eastAsia" w:cs="宋体" w:asciiTheme="minorEastAsia" w:hAnsiTheme="minorEastAsia"/>
          <w:color w:val="auto"/>
          <w:kern w:val="0"/>
          <w:sz w:val="30"/>
          <w:szCs w:val="30"/>
          <w:lang w:val="en-US" w:eastAsia="zh-CN"/>
        </w:rPr>
        <w:sectPr>
          <w:footerReference r:id="rId3" w:type="default"/>
          <w:pgSz w:w="11906" w:h="16838"/>
          <w:pgMar w:top="1440" w:right="1474" w:bottom="1440" w:left="1474" w:header="851" w:footer="992" w:gutter="0"/>
          <w:cols w:space="425" w:num="1"/>
          <w:docGrid w:type="lines" w:linePitch="312" w:charSpace="0"/>
        </w:sectPr>
      </w:pPr>
    </w:p>
    <w:p>
      <w:pPr>
        <w:rPr>
          <w:rFonts w:hint="eastAsia" w:ascii="Times New Roman" w:hAnsi="Times New Roman" w:eastAsia="仿宋"/>
          <w:b/>
          <w:sz w:val="32"/>
          <w:szCs w:val="32"/>
        </w:rPr>
      </w:pPr>
    </w:p>
    <w:p>
      <w:pPr>
        <w:ind w:firstLine="228" w:firstLineChars="71"/>
        <w:rPr>
          <w:rFonts w:ascii="Times New Roman" w:hAnsi="Times New Roman" w:eastAsia="仿宋"/>
          <w:b/>
          <w:sz w:val="32"/>
          <w:szCs w:val="32"/>
        </w:rPr>
      </w:pPr>
      <w:r>
        <w:rPr>
          <w:rFonts w:hint="eastAsia" w:ascii="Times New Roman" w:hAnsi="Times New Roman" w:eastAsia="仿宋"/>
          <w:b/>
          <w:sz w:val="32"/>
          <w:szCs w:val="32"/>
        </w:rPr>
        <w:t>附件1：南京市</w:t>
      </w:r>
      <w:r>
        <w:rPr>
          <w:rFonts w:hint="eastAsia" w:ascii="Times New Roman" w:hAnsi="Times New Roman" w:eastAsia="仿宋"/>
          <w:b/>
          <w:sz w:val="32"/>
          <w:szCs w:val="32"/>
          <w:lang w:val="en-US" w:eastAsia="zh-CN"/>
        </w:rPr>
        <w:t>畜牧家禽科学研究所</w:t>
      </w:r>
      <w:r>
        <w:rPr>
          <w:rFonts w:hint="eastAsia" w:ascii="Times New Roman" w:hAnsi="Times New Roman" w:eastAsia="仿宋"/>
          <w:b/>
          <w:sz w:val="32"/>
          <w:szCs w:val="32"/>
        </w:rPr>
        <w:t xml:space="preserve">部门整体预算绩效评价评分表                     </w:t>
      </w:r>
    </w:p>
    <w:tbl>
      <w:tblPr>
        <w:tblStyle w:val="7"/>
        <w:tblW w:w="14142" w:type="dxa"/>
        <w:tblInd w:w="0" w:type="dxa"/>
        <w:tblLayout w:type="fixed"/>
        <w:tblCellMar>
          <w:top w:w="0" w:type="dxa"/>
          <w:left w:w="108" w:type="dxa"/>
          <w:bottom w:w="0" w:type="dxa"/>
          <w:right w:w="108" w:type="dxa"/>
        </w:tblCellMar>
      </w:tblPr>
      <w:tblGrid>
        <w:gridCol w:w="1242"/>
        <w:gridCol w:w="1560"/>
        <w:gridCol w:w="2109"/>
        <w:gridCol w:w="3345"/>
        <w:gridCol w:w="4326"/>
        <w:gridCol w:w="1560"/>
      </w:tblGrid>
      <w:tr>
        <w:tblPrEx>
          <w:tblCellMar>
            <w:top w:w="0" w:type="dxa"/>
            <w:left w:w="108" w:type="dxa"/>
            <w:bottom w:w="0" w:type="dxa"/>
            <w:right w:w="108" w:type="dxa"/>
          </w:tblCellMar>
        </w:tblPrEx>
        <w:trPr>
          <w:trHeight w:val="457" w:hRule="atLeast"/>
          <w:tblHead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一级指标</w:t>
            </w:r>
          </w:p>
        </w:tc>
        <w:tc>
          <w:tcPr>
            <w:tcW w:w="15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二级指标</w:t>
            </w:r>
          </w:p>
        </w:tc>
        <w:tc>
          <w:tcPr>
            <w:tcW w:w="210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三级指标（参考）</w:t>
            </w:r>
          </w:p>
        </w:tc>
        <w:tc>
          <w:tcPr>
            <w:tcW w:w="334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指标说明</w:t>
            </w:r>
          </w:p>
        </w:tc>
        <w:tc>
          <w:tcPr>
            <w:tcW w:w="4326" w:type="dxa"/>
            <w:tcBorders>
              <w:top w:val="single" w:color="auto" w:sz="8" w:space="0"/>
              <w:left w:val="nil"/>
              <w:bottom w:val="single" w:color="auto" w:sz="8" w:space="0"/>
              <w:right w:val="single" w:color="auto" w:sz="4" w:space="0"/>
            </w:tcBorders>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评价要点</w:t>
            </w:r>
          </w:p>
        </w:tc>
        <w:tc>
          <w:tcPr>
            <w:tcW w:w="156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ascii="仿宋" w:hAnsi="仿宋" w:eastAsia="仿宋" w:cs="宋体"/>
                <w:b/>
                <w:bCs/>
                <w:color w:val="000000"/>
                <w:kern w:val="0"/>
                <w:sz w:val="24"/>
                <w:szCs w:val="24"/>
              </w:rPr>
              <w:t>自</w:t>
            </w:r>
            <w:r>
              <w:rPr>
                <w:rFonts w:hint="eastAsia" w:ascii="仿宋" w:hAnsi="仿宋" w:eastAsia="仿宋" w:cs="宋体"/>
                <w:b/>
                <w:bCs/>
                <w:color w:val="000000"/>
                <w:kern w:val="0"/>
                <w:sz w:val="24"/>
                <w:szCs w:val="24"/>
              </w:rPr>
              <w:t>评得分</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A单位决策（15分）</w:t>
            </w: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A1决策机制</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A11决策制度的规范性</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　</w:t>
            </w:r>
            <w:r>
              <w:rPr>
                <w:rFonts w:hint="eastAsia" w:ascii="仿宋" w:hAnsi="仿宋" w:eastAsia="仿宋" w:cs="宋体"/>
                <w:color w:val="000000"/>
                <w:kern w:val="0"/>
                <w:sz w:val="24"/>
                <w:szCs w:val="24"/>
              </w:rPr>
              <w:t>“规范”衡量流程执行</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决策制度有相关的流程图</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A12决策流程的科学性</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“科学”衡量流程的设计</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流程设计科学合理</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A13决策执行监督制衡机制</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监督制衡机制的设置与运行</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监督制衡机制设置有效且正常运行</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tabs>
                <w:tab w:val="left" w:pos="495"/>
                <w:tab w:val="center" w:pos="842"/>
              </w:tabs>
              <w:jc w:val="center"/>
              <w:rPr>
                <w:rFonts w:ascii="仿宋" w:hAnsi="仿宋" w:eastAsia="仿宋" w:cs="宋体"/>
                <w:color w:val="000000"/>
                <w:kern w:val="0"/>
                <w:sz w:val="22"/>
              </w:rPr>
            </w:pPr>
            <w:r>
              <w:rPr>
                <w:rFonts w:ascii="仿宋" w:hAnsi="仿宋" w:eastAsia="仿宋" w:cs="宋体"/>
                <w:color w:val="000000"/>
                <w:kern w:val="0"/>
                <w:sz w:val="22"/>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A2中长期规划</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A21中长期规划明确性</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符合国家法律法规、国民经济和社会发展规划要求</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具体明确可执行</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A22中长期规划与部门职能的匹配性</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与单位职能、发展规划和工作计划密切相关</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部门职能相匹配</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A3年度工作计划</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A31年度工作计划明确性</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年度工作计划明确可行</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评价年度工作计划是否明确可执行</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A32年度工作计划与部门职能的匹配性</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与部门职能密切相关</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评价其与部门职能相匹配</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A4部门预算编制</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A41预算编制科学规范</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预算编制指“内部预算编制”，“科学”衡量制度设计，“规范”衡量流程执行</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检查相关的预算制度文件</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A42预算编制与重点工作任务的匹配性</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预算编制指“内部预算编制”</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工作任务分解表</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B单位管理（20分）</w:t>
            </w: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B1预算执行</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B11部门预算执行率</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与市财政局预算处考核口径一致</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2"/>
              </w:rPr>
            </w:pPr>
            <w:r>
              <w:rPr>
                <w:rFonts w:hint="eastAsia" w:ascii="仿宋" w:hAnsi="仿宋" w:eastAsia="仿宋" w:cs="宋体"/>
                <w:color w:val="000000"/>
                <w:kern w:val="0"/>
                <w:sz w:val="24"/>
                <w:szCs w:val="24"/>
              </w:rPr>
              <w:t>与市财政局预算处考核口径一致</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ascii="仿宋" w:hAnsi="仿宋" w:eastAsia="仿宋" w:cs="宋体"/>
                <w:color w:val="000000"/>
                <w:kern w:val="0"/>
                <w:sz w:val="22"/>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B12专项资金执行率</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与市财政局预算处考核口径一致</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2"/>
              </w:rPr>
            </w:pPr>
            <w:r>
              <w:rPr>
                <w:rFonts w:hint="eastAsia" w:ascii="仿宋" w:hAnsi="仿宋" w:eastAsia="仿宋" w:cs="宋体"/>
                <w:color w:val="000000"/>
                <w:kern w:val="0"/>
                <w:sz w:val="24"/>
                <w:szCs w:val="24"/>
              </w:rPr>
              <w:t>与市财政局预算处考核口径一致</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B13“三公”经费控制率</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“三公”经费使用超支扣分，若不超支则不扣分</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三公经费使用情况</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B14预决算信息公开情况 </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预决算是否在“双平台”进行公开，内容和时限是否符合要求</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积极配合主管部门完成预决算信息公开工作</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ascii="仿宋" w:hAnsi="仿宋" w:eastAsia="仿宋" w:cs="宋体"/>
                <w:color w:val="000000"/>
                <w:kern w:val="0"/>
                <w:sz w:val="22"/>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B2收支管理</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B21收支管理制度健全性</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制度建立健全</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B22收支管理是否按制度执行</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制度执行并运行有效</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B3资产管理</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B31资产管理制度健全性</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制度建立健全</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制度是否建立健全</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B32资产管理是否按制度执行</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制度执行并运行有效</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制度是否执行并运行有效</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B4政府采购管理</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B41政府采购管理制度健全性</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制度建立健全</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制度是否建立健全</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B42政府采购管理是否按制度执行</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制度执行并运行有效</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制度是否执行并运行有效</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B5建设项目管理（适用）</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B51建设项目管理制度健全性</w:t>
            </w:r>
          </w:p>
        </w:tc>
        <w:tc>
          <w:tcPr>
            <w:tcW w:w="334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此项指标根据各个单位具体职能选择是否适用</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如不适用得满分</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B52建设项目管理是否按制度执行</w:t>
            </w:r>
          </w:p>
        </w:tc>
        <w:tc>
          <w:tcPr>
            <w:tcW w:w="334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326" w:type="dxa"/>
            <w:tcBorders>
              <w:top w:val="single" w:color="auto" w:sz="4" w:space="0"/>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如不适用得满分</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B6内部控制管理</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B61内部控制建设情况</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内部控制领导小组、工作小组的成立、内控制度设计、手册编制等</w:t>
            </w:r>
          </w:p>
        </w:tc>
        <w:tc>
          <w:tcPr>
            <w:tcW w:w="4326"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是否成立内控领导小组、工作小组，是否有内部控制制度落实在手册等文本上</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B62内部控制执行情况</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内部控制执行并一贯执行</w:t>
            </w:r>
          </w:p>
        </w:tc>
        <w:tc>
          <w:tcPr>
            <w:tcW w:w="4326"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通过重新执行程序评价内控是否有效</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B63内部控制监督评价</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内部控制监督设计评价和运行评价</w:t>
            </w:r>
          </w:p>
        </w:tc>
        <w:tc>
          <w:tcPr>
            <w:tcW w:w="4326"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是否有单位内部内控评价报告</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B7预算绩效管理</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B71组织管理情况</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主要包含制度建设、职能配置、分行业的指标体系</w:t>
            </w:r>
          </w:p>
        </w:tc>
        <w:tc>
          <w:tcPr>
            <w:tcW w:w="4326"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是否有</w:t>
            </w:r>
            <w:r>
              <w:rPr>
                <w:rFonts w:ascii="仿宋" w:hAnsi="仿宋" w:eastAsia="仿宋" w:cs="宋体"/>
                <w:color w:val="000000"/>
                <w:kern w:val="0"/>
                <w:sz w:val="24"/>
                <w:szCs w:val="24"/>
              </w:rPr>
              <w:t>制度</w:t>
            </w:r>
            <w:r>
              <w:rPr>
                <w:rFonts w:hint="eastAsia" w:ascii="仿宋" w:hAnsi="仿宋" w:eastAsia="仿宋" w:cs="宋体"/>
                <w:color w:val="000000"/>
                <w:kern w:val="0"/>
                <w:sz w:val="24"/>
                <w:szCs w:val="24"/>
              </w:rPr>
              <w:t>建设，与职能配置情况，指标体系构成</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B72工作开展情况</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包含事前评估、目标管理、跟踪评价、自评价和整改落实</w:t>
            </w:r>
          </w:p>
        </w:tc>
        <w:tc>
          <w:tcPr>
            <w:tcW w:w="4326"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考察政策（项目）是否有5个报告</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B73绩效信息公开</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绩效信息是否按照规定的内容和时限在“双平台”进行公开</w:t>
            </w:r>
          </w:p>
        </w:tc>
        <w:tc>
          <w:tcPr>
            <w:tcW w:w="4326"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积极配合主管部门完成相关数据的提供</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1162" w:hRule="atLeast"/>
        </w:trPr>
        <w:tc>
          <w:tcPr>
            <w:tcW w:w="1242"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C单位履职(可选方式1：重点工作完成情况)（30分）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C1重点工作数量完成率</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与年初计划相比较</w:t>
            </w:r>
          </w:p>
        </w:tc>
        <w:tc>
          <w:tcPr>
            <w:tcW w:w="4326"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检查数量完成情况</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w:t>
            </w:r>
          </w:p>
        </w:tc>
      </w:tr>
      <w:tr>
        <w:tblPrEx>
          <w:tblCellMar>
            <w:top w:w="0" w:type="dxa"/>
            <w:left w:w="108" w:type="dxa"/>
            <w:bottom w:w="0" w:type="dxa"/>
            <w:right w:w="108" w:type="dxa"/>
          </w:tblCellMar>
        </w:tblPrEx>
        <w:trPr>
          <w:trHeight w:val="98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C2重点工作质量达标率</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与年初自定的绩效目标相比较</w:t>
            </w:r>
          </w:p>
        </w:tc>
        <w:tc>
          <w:tcPr>
            <w:tcW w:w="4326"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检查质量完成情况</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w:t>
            </w:r>
          </w:p>
        </w:tc>
      </w:tr>
      <w:tr>
        <w:tblPrEx>
          <w:tblCellMar>
            <w:top w:w="0" w:type="dxa"/>
            <w:left w:w="108" w:type="dxa"/>
            <w:bottom w:w="0" w:type="dxa"/>
            <w:right w:w="108" w:type="dxa"/>
          </w:tblCellMar>
        </w:tblPrEx>
        <w:trPr>
          <w:trHeight w:val="1779"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C3重点工作完成及时率</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参照财政部门及主管部门规定的要求</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检查比如资金的使用，审计报告、验收报告等完成情况</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D履职绩效（30分）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D1经济效益</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经济活动中取得的收益性成果</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计算经济性成果</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0</w:t>
            </w:r>
          </w:p>
        </w:tc>
      </w:tr>
      <w:tr>
        <w:tblPrEx>
          <w:tblCellMar>
            <w:top w:w="0" w:type="dxa"/>
            <w:left w:w="108" w:type="dxa"/>
            <w:bottom w:w="0" w:type="dxa"/>
            <w:right w:w="108" w:type="dxa"/>
          </w:tblCellMar>
        </w:tblPrEx>
        <w:trPr>
          <w:trHeight w:val="600" w:hRule="atLeast"/>
        </w:trPr>
        <w:tc>
          <w:tcPr>
            <w:tcW w:w="1242" w:type="dxa"/>
            <w:vMerge w:val="continue"/>
            <w:tcBorders>
              <w:left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D2社会效益</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经济效益之外的对社会有益的效果 </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评价社会性有益效果 </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w:t>
            </w:r>
          </w:p>
        </w:tc>
      </w:tr>
      <w:tr>
        <w:tblPrEx>
          <w:tblCellMar>
            <w:top w:w="0" w:type="dxa"/>
            <w:left w:w="108" w:type="dxa"/>
            <w:bottom w:w="0" w:type="dxa"/>
            <w:right w:w="108" w:type="dxa"/>
          </w:tblCellMar>
        </w:tblPrEx>
        <w:trPr>
          <w:trHeight w:val="600" w:hRule="atLeast"/>
        </w:trPr>
        <w:tc>
          <w:tcPr>
            <w:tcW w:w="1242" w:type="dxa"/>
            <w:vMerge w:val="continue"/>
            <w:tcBorders>
              <w:left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D3生态效益</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生态平衡和生态系统的良性高效循环</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评价生态平衡及系统循环情况</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8</w:t>
            </w:r>
          </w:p>
        </w:tc>
      </w:tr>
      <w:tr>
        <w:tblPrEx>
          <w:tblCellMar>
            <w:top w:w="0" w:type="dxa"/>
            <w:left w:w="108" w:type="dxa"/>
            <w:bottom w:w="0" w:type="dxa"/>
            <w:right w:w="108" w:type="dxa"/>
          </w:tblCellMar>
        </w:tblPrEx>
        <w:trPr>
          <w:trHeight w:val="915" w:hRule="atLeast"/>
        </w:trPr>
        <w:tc>
          <w:tcPr>
            <w:tcW w:w="1242" w:type="dxa"/>
            <w:vMerge w:val="continue"/>
            <w:tcBorders>
              <w:left w:val="single" w:color="auto" w:sz="8" w:space="0"/>
              <w:bottom w:val="single" w:color="auto" w:sz="4"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D4满意度</w:t>
            </w:r>
          </w:p>
        </w:tc>
        <w:tc>
          <w:tcPr>
            <w:tcW w:w="2109"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3345"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包含服务对象（可选）、管理对象（可选）、间接受益对象（可选）等</w:t>
            </w:r>
          </w:p>
        </w:tc>
        <w:tc>
          <w:tcPr>
            <w:tcW w:w="432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涉及检查服务对象、管理对象、间接受益对象评价表；未涉及可得满分</w:t>
            </w:r>
          </w:p>
        </w:tc>
        <w:tc>
          <w:tcPr>
            <w:tcW w:w="1560"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9</w:t>
            </w:r>
          </w:p>
        </w:tc>
      </w:tr>
      <w:tr>
        <w:tblPrEx>
          <w:tblCellMar>
            <w:top w:w="0" w:type="dxa"/>
            <w:left w:w="108" w:type="dxa"/>
            <w:bottom w:w="0" w:type="dxa"/>
            <w:right w:w="108" w:type="dxa"/>
          </w:tblCellMar>
        </w:tblPrEx>
        <w:trPr>
          <w:trHeight w:val="600" w:hRule="atLeast"/>
        </w:trPr>
        <w:tc>
          <w:tcPr>
            <w:tcW w:w="1242"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E可持续发展能力（5分）</w:t>
            </w:r>
          </w:p>
        </w:tc>
        <w:tc>
          <w:tcPr>
            <w:tcW w:w="15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E1信息化建设情况（可选）</w:t>
            </w:r>
          </w:p>
        </w:tc>
        <w:tc>
          <w:tcPr>
            <w:tcW w:w="2109"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不设三级指标</w:t>
            </w:r>
          </w:p>
        </w:tc>
        <w:tc>
          <w:tcPr>
            <w:tcW w:w="3345"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办公流程、业务开展是否能通过单位的信息系统实现</w:t>
            </w:r>
          </w:p>
        </w:tc>
        <w:tc>
          <w:tcPr>
            <w:tcW w:w="4326" w:type="dxa"/>
            <w:tcBorders>
              <w:top w:val="single" w:color="auto" w:sz="8" w:space="0"/>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检查或进行穿行测试</w:t>
            </w:r>
          </w:p>
        </w:tc>
        <w:tc>
          <w:tcPr>
            <w:tcW w:w="156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E2人力资源建设情况（可选）</w:t>
            </w:r>
          </w:p>
        </w:tc>
        <w:tc>
          <w:tcPr>
            <w:tcW w:w="2109" w:type="dxa"/>
            <w:tcBorders>
              <w:top w:val="nil"/>
              <w:left w:val="nil"/>
              <w:bottom w:val="single" w:color="auto" w:sz="8" w:space="0"/>
              <w:right w:val="single" w:color="auto" w:sz="8"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r>
              <w:rPr>
                <w:rFonts w:hint="eastAsia" w:ascii="仿宋" w:hAnsi="仿宋" w:eastAsia="仿宋" w:cs="宋体"/>
                <w:color w:val="000000"/>
                <w:kern w:val="0"/>
                <w:sz w:val="24"/>
                <w:szCs w:val="24"/>
              </w:rPr>
              <w:t>不设三级指标</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包含人才培养计划、人才选拔运用、激励措施等</w:t>
            </w:r>
          </w:p>
        </w:tc>
        <w:tc>
          <w:tcPr>
            <w:tcW w:w="4326"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适用检查是否有人才培养计划、人才选拔运用及激励措施方面形成的文件；不适用可得满分</w:t>
            </w:r>
          </w:p>
        </w:tc>
        <w:tc>
          <w:tcPr>
            <w:tcW w:w="1560" w:type="dxa"/>
            <w:tcBorders>
              <w:top w:val="nil"/>
              <w:left w:val="single" w:color="auto" w:sz="4" w:space="0"/>
              <w:bottom w:val="single" w:color="auto" w:sz="8" w:space="0"/>
              <w:right w:val="single" w:color="auto" w:sz="8"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r>
      <w:tr>
        <w:tblPrEx>
          <w:tblCellMar>
            <w:top w:w="0" w:type="dxa"/>
            <w:left w:w="108" w:type="dxa"/>
            <w:bottom w:w="0" w:type="dxa"/>
            <w:right w:w="108" w:type="dxa"/>
          </w:tblCellMar>
        </w:tblPrEx>
        <w:trPr>
          <w:trHeight w:val="600" w:hRule="atLeast"/>
        </w:trPr>
        <w:tc>
          <w:tcPr>
            <w:tcW w:w="12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E3部门创新情况（可选）</w:t>
            </w:r>
          </w:p>
        </w:tc>
        <w:tc>
          <w:tcPr>
            <w:tcW w:w="2109" w:type="dxa"/>
            <w:tcBorders>
              <w:top w:val="nil"/>
              <w:left w:val="nil"/>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r>
              <w:rPr>
                <w:rFonts w:hint="eastAsia" w:ascii="仿宋" w:hAnsi="仿宋" w:eastAsia="仿宋" w:cs="宋体"/>
                <w:color w:val="000000"/>
                <w:kern w:val="0"/>
                <w:sz w:val="24"/>
                <w:szCs w:val="24"/>
              </w:rPr>
              <w:t>不设三级指标</w:t>
            </w:r>
          </w:p>
        </w:tc>
        <w:tc>
          <w:tcPr>
            <w:tcW w:w="3345" w:type="dxa"/>
            <w:tcBorders>
              <w:top w:val="nil"/>
              <w:left w:val="nil"/>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包含制度创新、方法创新等</w:t>
            </w:r>
          </w:p>
        </w:tc>
        <w:tc>
          <w:tcPr>
            <w:tcW w:w="4326"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部门（单位）需提供创新案例被官方媒体报道的佐证材料</w:t>
            </w:r>
          </w:p>
        </w:tc>
        <w:tc>
          <w:tcPr>
            <w:tcW w:w="1560" w:type="dxa"/>
            <w:tcBorders>
              <w:top w:val="nil"/>
              <w:left w:val="single" w:color="auto" w:sz="4"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r>
      <w:tr>
        <w:tblPrEx>
          <w:tblCellMar>
            <w:top w:w="0" w:type="dxa"/>
            <w:left w:w="108" w:type="dxa"/>
            <w:bottom w:w="0" w:type="dxa"/>
            <w:right w:w="108" w:type="dxa"/>
          </w:tblCellMar>
        </w:tblPrEx>
        <w:trPr>
          <w:trHeight w:val="923" w:hRule="atLeast"/>
        </w:trPr>
        <w:tc>
          <w:tcPr>
            <w:tcW w:w="1242"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F加减分项（≤5分）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F1加分项</w:t>
            </w:r>
          </w:p>
        </w:tc>
        <w:tc>
          <w:tcPr>
            <w:tcW w:w="2109"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不设三级指标</w:t>
            </w:r>
          </w:p>
        </w:tc>
        <w:tc>
          <w:tcPr>
            <w:tcW w:w="3345"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部门（单位）受到国务院、省级、市级嘉奖</w:t>
            </w:r>
          </w:p>
        </w:tc>
        <w:tc>
          <w:tcPr>
            <w:tcW w:w="4326"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受到国务院嘉奖加3分，受到省级嘉奖加2分，得到市级考核一等奖加1分，得到市级考核二等奖加0.5分；同一项工作不累计加分</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0</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nil"/>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nil"/>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F2减分项</w:t>
            </w:r>
          </w:p>
        </w:tc>
        <w:tc>
          <w:tcPr>
            <w:tcW w:w="2109" w:type="dxa"/>
            <w:tcBorders>
              <w:top w:val="nil"/>
              <w:left w:val="nil"/>
              <w:bottom w:val="nil"/>
              <w:right w:val="single" w:color="auto" w:sz="8"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r>
              <w:rPr>
                <w:rFonts w:hint="eastAsia" w:ascii="仿宋" w:hAnsi="仿宋" w:eastAsia="仿宋" w:cs="宋体"/>
                <w:color w:val="000000"/>
                <w:kern w:val="0"/>
                <w:sz w:val="24"/>
                <w:szCs w:val="24"/>
              </w:rPr>
              <w:t>不设三级指标</w:t>
            </w:r>
          </w:p>
        </w:tc>
        <w:tc>
          <w:tcPr>
            <w:tcW w:w="3345" w:type="dxa"/>
            <w:tcBorders>
              <w:top w:val="nil"/>
              <w:left w:val="nil"/>
              <w:bottom w:val="nil"/>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部门（单位）或工作人员违法违纪</w:t>
            </w:r>
          </w:p>
        </w:tc>
        <w:tc>
          <w:tcPr>
            <w:tcW w:w="4326" w:type="dxa"/>
            <w:tcBorders>
              <w:top w:val="nil"/>
              <w:left w:val="nil"/>
              <w:bottom w:val="nil"/>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酌情扣分</w:t>
            </w:r>
          </w:p>
        </w:tc>
        <w:tc>
          <w:tcPr>
            <w:tcW w:w="1560" w:type="dxa"/>
            <w:tcBorders>
              <w:top w:val="nil"/>
              <w:left w:val="single" w:color="auto" w:sz="4" w:space="0"/>
              <w:bottom w:val="nil"/>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0</w:t>
            </w:r>
          </w:p>
        </w:tc>
      </w:tr>
      <w:tr>
        <w:tblPrEx>
          <w:tblCellMar>
            <w:top w:w="0" w:type="dxa"/>
            <w:left w:w="108" w:type="dxa"/>
            <w:bottom w:w="0" w:type="dxa"/>
            <w:right w:w="108" w:type="dxa"/>
          </w:tblCellMar>
        </w:tblPrEx>
        <w:trPr>
          <w:trHeight w:val="203" w:hRule="atLeast"/>
        </w:trPr>
        <w:tc>
          <w:tcPr>
            <w:tcW w:w="1242" w:type="dxa"/>
            <w:tcBorders>
              <w:top w:val="nil"/>
              <w:left w:val="single" w:color="auto" w:sz="8" w:space="0"/>
              <w:bottom w:val="single" w:color="auto" w:sz="4"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p>
        </w:tc>
        <w:tc>
          <w:tcPr>
            <w:tcW w:w="2109" w:type="dxa"/>
            <w:tcBorders>
              <w:top w:val="nil"/>
              <w:left w:val="nil"/>
              <w:bottom w:val="single" w:color="auto" w:sz="4" w:space="0"/>
              <w:right w:val="single" w:color="auto" w:sz="8" w:space="0"/>
            </w:tcBorders>
            <w:shd w:val="clear" w:color="auto" w:fill="auto"/>
            <w:noWrap/>
            <w:vAlign w:val="center"/>
          </w:tcPr>
          <w:p>
            <w:pPr>
              <w:widowControl/>
              <w:jc w:val="left"/>
              <w:rPr>
                <w:rFonts w:ascii="等线" w:hAnsi="等线" w:eastAsia="等线" w:cs="宋体"/>
                <w:color w:val="000000"/>
                <w:kern w:val="0"/>
                <w:sz w:val="22"/>
              </w:rPr>
            </w:pPr>
          </w:p>
        </w:tc>
        <w:tc>
          <w:tcPr>
            <w:tcW w:w="3345"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p>
        </w:tc>
        <w:tc>
          <w:tcPr>
            <w:tcW w:w="432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423" w:hRule="atLeast"/>
        </w:trPr>
        <w:tc>
          <w:tcPr>
            <w:tcW w:w="1242" w:type="dxa"/>
            <w:tcBorders>
              <w:top w:val="single" w:color="auto" w:sz="4"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p>
        </w:tc>
        <w:tc>
          <w:tcPr>
            <w:tcW w:w="2109" w:type="dxa"/>
            <w:tcBorders>
              <w:top w:val="single" w:color="auto" w:sz="4" w:space="0"/>
              <w:left w:val="nil"/>
              <w:bottom w:val="single" w:color="auto" w:sz="8" w:space="0"/>
              <w:right w:val="single" w:color="auto" w:sz="8" w:space="0"/>
            </w:tcBorders>
            <w:shd w:val="clear" w:color="auto" w:fill="auto"/>
            <w:noWrap/>
            <w:vAlign w:val="center"/>
          </w:tcPr>
          <w:p>
            <w:pPr>
              <w:widowControl/>
              <w:jc w:val="left"/>
              <w:rPr>
                <w:rFonts w:ascii="等线" w:hAnsi="等线" w:eastAsia="等线" w:cs="宋体"/>
                <w:color w:val="000000"/>
                <w:kern w:val="0"/>
                <w:sz w:val="22"/>
              </w:rPr>
            </w:pPr>
          </w:p>
        </w:tc>
        <w:tc>
          <w:tcPr>
            <w:tcW w:w="3345"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p>
        </w:tc>
        <w:tc>
          <w:tcPr>
            <w:tcW w:w="4326" w:type="dxa"/>
            <w:tcBorders>
              <w:top w:val="single" w:color="auto" w:sz="4" w:space="0"/>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p>
        </w:tc>
        <w:tc>
          <w:tcPr>
            <w:tcW w:w="1560" w:type="dxa"/>
            <w:tcBorders>
              <w:top w:val="single" w:color="auto" w:sz="4" w:space="0"/>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9</w:t>
            </w:r>
            <w:r>
              <w:rPr>
                <w:rFonts w:hint="eastAsia" w:ascii="仿宋" w:hAnsi="仿宋" w:eastAsia="仿宋" w:cs="宋体"/>
                <w:b/>
                <w:color w:val="000000"/>
                <w:kern w:val="0"/>
                <w:sz w:val="24"/>
                <w:szCs w:val="24"/>
                <w:lang w:val="en-US" w:eastAsia="zh-CN"/>
              </w:rPr>
              <w:t>3</w:t>
            </w:r>
            <w:r>
              <w:rPr>
                <w:rFonts w:hint="eastAsia" w:ascii="仿宋" w:hAnsi="仿宋" w:eastAsia="仿宋" w:cs="宋体"/>
                <w:b/>
                <w:color w:val="000000"/>
                <w:kern w:val="0"/>
                <w:sz w:val="24"/>
                <w:szCs w:val="24"/>
              </w:rPr>
              <w:t>分</w:t>
            </w:r>
          </w:p>
        </w:tc>
      </w:tr>
    </w:tbl>
    <w:p/>
    <w:p>
      <w:pPr>
        <w:spacing w:line="520" w:lineRule="exact"/>
        <w:ind w:firstLine="1050" w:firstLineChars="350"/>
        <w:rPr>
          <w:rFonts w:cs="宋体" w:asciiTheme="minorEastAsia" w:hAnsiTheme="minorEastAsia"/>
          <w:color w:val="auto"/>
          <w:kern w:val="0"/>
          <w:sz w:val="30"/>
          <w:szCs w:val="30"/>
        </w:rPr>
      </w:pPr>
    </w:p>
    <w:sectPr>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FZXBSK--GBK1-0">
    <w:altName w:val="Times New Roman"/>
    <w:panose1 w:val="00000000000000000000"/>
    <w:charset w:val="00"/>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308"/>
      <w:docPartObj>
        <w:docPartGallery w:val="autotext"/>
      </w:docPartObj>
    </w:sdtPr>
    <w:sdtContent>
      <w:p>
        <w:pPr>
          <w:pStyle w:val="4"/>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56253"/>
    <w:multiLevelType w:val="singleLevel"/>
    <w:tmpl w:val="65F56253"/>
    <w:lvl w:ilvl="0" w:tentative="0">
      <w:start w:val="3"/>
      <w:numFmt w:val="chineseCounting"/>
      <w:suff w:val="nothing"/>
      <w:lvlText w:val="（%1）"/>
      <w:lvlJc w:val="left"/>
      <w:rPr>
        <w:rFonts w:hint="eastAsia"/>
      </w:rPr>
    </w:lvl>
  </w:abstractNum>
  <w:abstractNum w:abstractNumId="1">
    <w:nsid w:val="7D99F851"/>
    <w:multiLevelType w:val="singleLevel"/>
    <w:tmpl w:val="7D99F85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ODU5MTkzNmJhNjlhN2U4MzEzZjE0NmVkNGNiNTQifQ=="/>
  </w:docVars>
  <w:rsids>
    <w:rsidRoot w:val="001A3475"/>
    <w:rsid w:val="00045084"/>
    <w:rsid w:val="000575DC"/>
    <w:rsid w:val="0007318B"/>
    <w:rsid w:val="000874FF"/>
    <w:rsid w:val="000A03C1"/>
    <w:rsid w:val="000D0CC4"/>
    <w:rsid w:val="000D70B9"/>
    <w:rsid w:val="000D7878"/>
    <w:rsid w:val="001065B6"/>
    <w:rsid w:val="001303D1"/>
    <w:rsid w:val="00133121"/>
    <w:rsid w:val="00136A23"/>
    <w:rsid w:val="001420EF"/>
    <w:rsid w:val="00146568"/>
    <w:rsid w:val="00147C9F"/>
    <w:rsid w:val="001552CC"/>
    <w:rsid w:val="00155DB4"/>
    <w:rsid w:val="001A2B1C"/>
    <w:rsid w:val="001A3475"/>
    <w:rsid w:val="001A4CBD"/>
    <w:rsid w:val="001D17ED"/>
    <w:rsid w:val="001D519F"/>
    <w:rsid w:val="001D6738"/>
    <w:rsid w:val="001E6FE8"/>
    <w:rsid w:val="001E7688"/>
    <w:rsid w:val="001E7901"/>
    <w:rsid w:val="0020162A"/>
    <w:rsid w:val="00204ABB"/>
    <w:rsid w:val="00204B33"/>
    <w:rsid w:val="00214749"/>
    <w:rsid w:val="002365EA"/>
    <w:rsid w:val="0026555C"/>
    <w:rsid w:val="00271B20"/>
    <w:rsid w:val="00274E1B"/>
    <w:rsid w:val="0028698E"/>
    <w:rsid w:val="002A13A2"/>
    <w:rsid w:val="002B720B"/>
    <w:rsid w:val="002C1A4C"/>
    <w:rsid w:val="002D3457"/>
    <w:rsid w:val="002E7A2C"/>
    <w:rsid w:val="00320245"/>
    <w:rsid w:val="0032351A"/>
    <w:rsid w:val="00337EA9"/>
    <w:rsid w:val="00357152"/>
    <w:rsid w:val="00357456"/>
    <w:rsid w:val="003667C8"/>
    <w:rsid w:val="00375C32"/>
    <w:rsid w:val="003B5D0C"/>
    <w:rsid w:val="003B68E0"/>
    <w:rsid w:val="003C4EFC"/>
    <w:rsid w:val="003D3BF9"/>
    <w:rsid w:val="003D68AF"/>
    <w:rsid w:val="004040D6"/>
    <w:rsid w:val="00411AC8"/>
    <w:rsid w:val="00432A68"/>
    <w:rsid w:val="004353FB"/>
    <w:rsid w:val="0044288E"/>
    <w:rsid w:val="004430A5"/>
    <w:rsid w:val="0046119F"/>
    <w:rsid w:val="00461F1C"/>
    <w:rsid w:val="00463911"/>
    <w:rsid w:val="0046703B"/>
    <w:rsid w:val="00482A53"/>
    <w:rsid w:val="004D20CD"/>
    <w:rsid w:val="004E35F3"/>
    <w:rsid w:val="004E56E4"/>
    <w:rsid w:val="00514D76"/>
    <w:rsid w:val="0053413E"/>
    <w:rsid w:val="0054098A"/>
    <w:rsid w:val="005546EE"/>
    <w:rsid w:val="0055560A"/>
    <w:rsid w:val="00564CFD"/>
    <w:rsid w:val="00567C0A"/>
    <w:rsid w:val="005A4AFB"/>
    <w:rsid w:val="005F096F"/>
    <w:rsid w:val="006027AE"/>
    <w:rsid w:val="00607098"/>
    <w:rsid w:val="00610719"/>
    <w:rsid w:val="00610F18"/>
    <w:rsid w:val="00627661"/>
    <w:rsid w:val="0067013F"/>
    <w:rsid w:val="00672D13"/>
    <w:rsid w:val="006802E1"/>
    <w:rsid w:val="00684CEF"/>
    <w:rsid w:val="006971F2"/>
    <w:rsid w:val="00697659"/>
    <w:rsid w:val="006B07D2"/>
    <w:rsid w:val="006B5DFA"/>
    <w:rsid w:val="006B76DB"/>
    <w:rsid w:val="00702B5C"/>
    <w:rsid w:val="007079B8"/>
    <w:rsid w:val="007329EF"/>
    <w:rsid w:val="00741A74"/>
    <w:rsid w:val="007A055A"/>
    <w:rsid w:val="007C2D77"/>
    <w:rsid w:val="007C33D5"/>
    <w:rsid w:val="007C44BE"/>
    <w:rsid w:val="007E54EE"/>
    <w:rsid w:val="007F0398"/>
    <w:rsid w:val="007F3DC6"/>
    <w:rsid w:val="0084661E"/>
    <w:rsid w:val="00860FD8"/>
    <w:rsid w:val="008613CB"/>
    <w:rsid w:val="00862F9B"/>
    <w:rsid w:val="0087094D"/>
    <w:rsid w:val="0089496E"/>
    <w:rsid w:val="008951A5"/>
    <w:rsid w:val="008C0461"/>
    <w:rsid w:val="008C7A3B"/>
    <w:rsid w:val="008D1C0A"/>
    <w:rsid w:val="008F0CCB"/>
    <w:rsid w:val="00905E15"/>
    <w:rsid w:val="00942958"/>
    <w:rsid w:val="0096035E"/>
    <w:rsid w:val="00987C78"/>
    <w:rsid w:val="009C0B1E"/>
    <w:rsid w:val="009C0D2F"/>
    <w:rsid w:val="009C1655"/>
    <w:rsid w:val="009E2B01"/>
    <w:rsid w:val="00A05FB2"/>
    <w:rsid w:val="00A1357F"/>
    <w:rsid w:val="00A1793E"/>
    <w:rsid w:val="00A21C8F"/>
    <w:rsid w:val="00A4626C"/>
    <w:rsid w:val="00A537E1"/>
    <w:rsid w:val="00A8439A"/>
    <w:rsid w:val="00AD3648"/>
    <w:rsid w:val="00B23A40"/>
    <w:rsid w:val="00B27D21"/>
    <w:rsid w:val="00B33718"/>
    <w:rsid w:val="00B63180"/>
    <w:rsid w:val="00B751B5"/>
    <w:rsid w:val="00B75C37"/>
    <w:rsid w:val="00BA4BF3"/>
    <w:rsid w:val="00BD5775"/>
    <w:rsid w:val="00C41F14"/>
    <w:rsid w:val="00C53D2D"/>
    <w:rsid w:val="00C57380"/>
    <w:rsid w:val="00C60B1A"/>
    <w:rsid w:val="00C66C83"/>
    <w:rsid w:val="00C66F8B"/>
    <w:rsid w:val="00CB5F8F"/>
    <w:rsid w:val="00CF0BF0"/>
    <w:rsid w:val="00D10F26"/>
    <w:rsid w:val="00D1668E"/>
    <w:rsid w:val="00D50BCB"/>
    <w:rsid w:val="00D55A74"/>
    <w:rsid w:val="00D90AAC"/>
    <w:rsid w:val="00D90B76"/>
    <w:rsid w:val="00D9375F"/>
    <w:rsid w:val="00DA1F8A"/>
    <w:rsid w:val="00DD376B"/>
    <w:rsid w:val="00DE7FBF"/>
    <w:rsid w:val="00E10CA2"/>
    <w:rsid w:val="00E14AF0"/>
    <w:rsid w:val="00E27772"/>
    <w:rsid w:val="00E35E3A"/>
    <w:rsid w:val="00E45F4E"/>
    <w:rsid w:val="00E61194"/>
    <w:rsid w:val="00E613D0"/>
    <w:rsid w:val="00E66C6F"/>
    <w:rsid w:val="00E67F66"/>
    <w:rsid w:val="00E74DE2"/>
    <w:rsid w:val="00EE732A"/>
    <w:rsid w:val="00EF00C0"/>
    <w:rsid w:val="00F24E4C"/>
    <w:rsid w:val="00F42AED"/>
    <w:rsid w:val="00F81893"/>
    <w:rsid w:val="00FB4C20"/>
    <w:rsid w:val="00FD0B86"/>
    <w:rsid w:val="00FD2FF6"/>
    <w:rsid w:val="00FD41C8"/>
    <w:rsid w:val="00FD65E8"/>
    <w:rsid w:val="02460569"/>
    <w:rsid w:val="06622973"/>
    <w:rsid w:val="079528D4"/>
    <w:rsid w:val="08790FB3"/>
    <w:rsid w:val="08FE4618"/>
    <w:rsid w:val="0A23066B"/>
    <w:rsid w:val="0AA7304A"/>
    <w:rsid w:val="0AAC68B2"/>
    <w:rsid w:val="0C0B7609"/>
    <w:rsid w:val="0D244E26"/>
    <w:rsid w:val="0EB07911"/>
    <w:rsid w:val="10041669"/>
    <w:rsid w:val="103A7C06"/>
    <w:rsid w:val="11270A41"/>
    <w:rsid w:val="11B03CC9"/>
    <w:rsid w:val="11EF37D9"/>
    <w:rsid w:val="13583F38"/>
    <w:rsid w:val="141A488D"/>
    <w:rsid w:val="157012DE"/>
    <w:rsid w:val="162C15CD"/>
    <w:rsid w:val="16A9094A"/>
    <w:rsid w:val="18ED07C2"/>
    <w:rsid w:val="19522EDC"/>
    <w:rsid w:val="198E737A"/>
    <w:rsid w:val="19EE7900"/>
    <w:rsid w:val="1AE957D5"/>
    <w:rsid w:val="1BF21BCF"/>
    <w:rsid w:val="1C115037"/>
    <w:rsid w:val="1F841EC3"/>
    <w:rsid w:val="22E864DB"/>
    <w:rsid w:val="2454267F"/>
    <w:rsid w:val="253D03DB"/>
    <w:rsid w:val="257611A0"/>
    <w:rsid w:val="2579777C"/>
    <w:rsid w:val="25E371D4"/>
    <w:rsid w:val="26040B77"/>
    <w:rsid w:val="26812549"/>
    <w:rsid w:val="29082509"/>
    <w:rsid w:val="29AC12A2"/>
    <w:rsid w:val="2A0E3A67"/>
    <w:rsid w:val="2AFF02C9"/>
    <w:rsid w:val="2C1C51EE"/>
    <w:rsid w:val="2D510EC7"/>
    <w:rsid w:val="2F155F25"/>
    <w:rsid w:val="30185CCC"/>
    <w:rsid w:val="30744D0E"/>
    <w:rsid w:val="32EA67F8"/>
    <w:rsid w:val="32F522F5"/>
    <w:rsid w:val="3334212D"/>
    <w:rsid w:val="35A34947"/>
    <w:rsid w:val="36560B04"/>
    <w:rsid w:val="3718414B"/>
    <w:rsid w:val="392755EE"/>
    <w:rsid w:val="394E08B5"/>
    <w:rsid w:val="3A4D4562"/>
    <w:rsid w:val="3C58189D"/>
    <w:rsid w:val="3FFF5ED7"/>
    <w:rsid w:val="40DA181D"/>
    <w:rsid w:val="414508EB"/>
    <w:rsid w:val="43D23DD1"/>
    <w:rsid w:val="44BF56A4"/>
    <w:rsid w:val="47CA612D"/>
    <w:rsid w:val="483C23AE"/>
    <w:rsid w:val="4B8F171E"/>
    <w:rsid w:val="4EC018D3"/>
    <w:rsid w:val="4F5B081F"/>
    <w:rsid w:val="529E42FF"/>
    <w:rsid w:val="52E140C0"/>
    <w:rsid w:val="53CF5436"/>
    <w:rsid w:val="551268DF"/>
    <w:rsid w:val="552017EB"/>
    <w:rsid w:val="570E75D8"/>
    <w:rsid w:val="57CD4D3F"/>
    <w:rsid w:val="57D53000"/>
    <w:rsid w:val="58965F8A"/>
    <w:rsid w:val="5A4B27EE"/>
    <w:rsid w:val="5A686445"/>
    <w:rsid w:val="5AA61FA3"/>
    <w:rsid w:val="5C4312AC"/>
    <w:rsid w:val="5CDA16A4"/>
    <w:rsid w:val="5D250797"/>
    <w:rsid w:val="5E394EDC"/>
    <w:rsid w:val="61251748"/>
    <w:rsid w:val="627F1260"/>
    <w:rsid w:val="636B77FC"/>
    <w:rsid w:val="6413613B"/>
    <w:rsid w:val="64426807"/>
    <w:rsid w:val="661E0185"/>
    <w:rsid w:val="66B26F8C"/>
    <w:rsid w:val="68CF48C8"/>
    <w:rsid w:val="68D20407"/>
    <w:rsid w:val="68F24564"/>
    <w:rsid w:val="69CB6D85"/>
    <w:rsid w:val="6F8A25E6"/>
    <w:rsid w:val="6FA4487E"/>
    <w:rsid w:val="749337A5"/>
    <w:rsid w:val="76A8447F"/>
    <w:rsid w:val="77174FE7"/>
    <w:rsid w:val="795A6B7F"/>
    <w:rsid w:val="797D319C"/>
    <w:rsid w:val="7A4502A5"/>
    <w:rsid w:val="7A6C585F"/>
    <w:rsid w:val="7ABC4A73"/>
    <w:rsid w:val="7B1623D5"/>
    <w:rsid w:val="7D071363"/>
    <w:rsid w:val="7DC937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99"/>
    <w:pPr>
      <w:ind w:firstLine="420" w:firstLineChars="200"/>
    </w:pPr>
    <w:rPr>
      <w:rFonts w:ascii="Calibri" w:hAnsi="Calibri" w:eastAsia="宋体" w:cs="Times New Roman"/>
    </w:rPr>
  </w:style>
  <w:style w:type="character" w:customStyle="1" w:styleId="12">
    <w:name w:val="日期 Char"/>
    <w:basedOn w:val="8"/>
    <w:link w:val="3"/>
    <w:semiHidden/>
    <w:qFormat/>
    <w:uiPriority w:val="99"/>
  </w:style>
  <w:style w:type="paragraph" w:customStyle="1" w:styleId="13">
    <w:name w:val="Body text|1"/>
    <w:basedOn w:val="1"/>
    <w:qFormat/>
    <w:uiPriority w:val="0"/>
    <w:pPr>
      <w:widowControl w:val="0"/>
      <w:shd w:val="clear" w:color="auto" w:fill="auto"/>
      <w:spacing w:after="500" w:line="312" w:lineRule="auto"/>
      <w:ind w:firstLine="400"/>
    </w:pPr>
    <w:rPr>
      <w:rFonts w:ascii="宋体" w:hAnsi="宋体" w:eastAsia="宋体" w:cs="宋体"/>
      <w:sz w:val="16"/>
      <w:szCs w:val="1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3129A-DCCF-4A61-9341-A0C92B45B46D}">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15</Pages>
  <Words>7903</Words>
  <Characters>8259</Characters>
  <Lines>28</Lines>
  <Paragraphs>8</Paragraphs>
  <TotalTime>6</TotalTime>
  <ScaleCrop>false</ScaleCrop>
  <LinksUpToDate>false</LinksUpToDate>
  <CharactersWithSpaces>8319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2020-08-13T05:08:00Z</dcterms:created>
  <dc:creator>lys</dc:creator>
  <cp:lastModifiedBy>Ivy</cp:lastModifiedBy>
  <cp:lastPrinted>2023-06-28T02:58:00Z</cp:lastPrinted>
  <dcterms:modified xsi:type="dcterms:W3CDTF">2023-06-28T07:19:32Z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C16C693BD02A4754BB89E2D719D5EF6F</vt:lpwstr>
  </property>
</Properties>
</file>