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eastAsia="方正小标宋简体"/>
          <w:color w:val="000000"/>
          <w:kern w:val="0"/>
          <w:sz w:val="36"/>
          <w:szCs w:val="36"/>
        </w:rPr>
      </w:pPr>
      <w:r>
        <w:rPr>
          <w:rFonts w:eastAsia="方正小标宋简体"/>
          <w:sz w:val="36"/>
          <w:szCs w:val="36"/>
        </w:rPr>
        <w:t>2022年度</w:t>
      </w:r>
      <w:r>
        <w:rPr>
          <w:rFonts w:hint="eastAsia" w:eastAsia="方正小标宋简体"/>
          <w:sz w:val="36"/>
          <w:szCs w:val="36"/>
          <w:lang w:val="en-US" w:eastAsia="zh-CN"/>
        </w:rPr>
        <w:t>南京市农村合作经济经营管理站</w:t>
      </w:r>
      <w:r>
        <w:rPr>
          <w:rFonts w:eastAsia="方正小标宋简体"/>
          <w:sz w:val="36"/>
          <w:szCs w:val="36"/>
        </w:rPr>
        <w:t>部门整体绩效自评价报告</w:t>
      </w:r>
    </w:p>
    <w:p>
      <w:pPr>
        <w:widowControl/>
        <w:spacing w:line="520" w:lineRule="exact"/>
        <w:ind w:firstLine="640" w:firstLineChars="200"/>
        <w:jc w:val="left"/>
        <w:rPr>
          <w:rFonts w:eastAsia="黑体"/>
          <w:color w:val="000000"/>
          <w:kern w:val="0"/>
          <w:sz w:val="32"/>
          <w:szCs w:val="32"/>
        </w:rPr>
      </w:pPr>
      <w:r>
        <w:rPr>
          <w:rFonts w:eastAsia="黑体"/>
          <w:color w:val="000000"/>
          <w:kern w:val="0"/>
          <w:sz w:val="32"/>
          <w:szCs w:val="32"/>
        </w:rPr>
        <w:t>一、单位概况</w:t>
      </w:r>
    </w:p>
    <w:p>
      <w:pPr>
        <w:spacing w:line="520" w:lineRule="exact"/>
        <w:ind w:firstLine="640" w:firstLineChars="200"/>
        <w:rPr>
          <w:rFonts w:eastAsia="仿宋"/>
          <w:sz w:val="32"/>
          <w:szCs w:val="32"/>
        </w:rPr>
      </w:pPr>
      <w:r>
        <w:rPr>
          <w:rFonts w:eastAsia="仿宋"/>
          <w:color w:val="000000"/>
          <w:kern w:val="0"/>
          <w:sz w:val="32"/>
          <w:szCs w:val="32"/>
        </w:rPr>
        <w:t>（一）单位</w:t>
      </w:r>
      <w:r>
        <w:rPr>
          <w:rFonts w:eastAsia="仿宋"/>
          <w:sz w:val="32"/>
          <w:szCs w:val="32"/>
        </w:rPr>
        <w:t>基本情况</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1、主要职能：</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南京市农村合作经济经营管理站，成立于1984年，隶属于南京市农业农村局，直属事业单位，实行全额预算管理，执行《政府会计制度》并独立核算。主要职责：贯彻国家和省有关农村集体财务和资产管理方针、政策，指导全市农村集体财务、资产、合同的管理，组织村级财务内部审计和监督检查工作；负责农经系统人员培训工作；推进村级会计核算、财务公开和民主理财工作；配合纪检监察部门做好农村基层党风廉政建设工作；完成市农业农村局交办的其他任务。</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2、内设机构及人员情况：</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i w:val="0"/>
          <w:iCs w:val="0"/>
          <w:color w:val="000000"/>
          <w:kern w:val="0"/>
          <w:sz w:val="32"/>
          <w:szCs w:val="32"/>
          <w:u w:val="none"/>
        </w:rPr>
        <w:t>本单位</w:t>
      </w:r>
      <w:r>
        <w:rPr>
          <w:rFonts w:hint="eastAsia" w:ascii="仿宋" w:hAnsi="仿宋" w:eastAsia="仿宋" w:cs="宋体"/>
          <w:i w:val="0"/>
          <w:iCs w:val="0"/>
          <w:color w:val="000000"/>
          <w:kern w:val="0"/>
          <w:sz w:val="32"/>
          <w:szCs w:val="32"/>
          <w:u w:val="none"/>
          <w:lang w:val="en-US" w:eastAsia="zh-CN"/>
        </w:rPr>
        <w:t>内设资产财务科、监督审计科以及办公室三个科室</w:t>
      </w:r>
      <w:r>
        <w:rPr>
          <w:rFonts w:hint="eastAsia" w:ascii="仿宋" w:hAnsi="仿宋" w:eastAsia="仿宋" w:cs="宋体"/>
          <w:i w:val="0"/>
          <w:iCs w:val="0"/>
          <w:color w:val="000000"/>
          <w:kern w:val="0"/>
          <w:sz w:val="32"/>
          <w:szCs w:val="32"/>
          <w:u w:val="none"/>
        </w:rPr>
        <w:t>。</w:t>
      </w:r>
      <w:r>
        <w:rPr>
          <w:rFonts w:hint="eastAsia" w:ascii="仿宋" w:hAnsi="仿宋" w:eastAsia="仿宋" w:cs="宋体"/>
          <w:color w:val="000000"/>
          <w:kern w:val="0"/>
          <w:sz w:val="32"/>
          <w:szCs w:val="32"/>
        </w:rPr>
        <w:t>根据市编办《关于清理规范南京市委农村工作委员会所属事业单位的通知》（宁编办字〔2013〕118号）规定，我站为正处级全额拨款事业单位，核定编制15名，领导职数一正二副。截至202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年底，我单位有工作人员14人,退休人员</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人。</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3、资产情况：</w:t>
      </w:r>
    </w:p>
    <w:p>
      <w:pPr>
        <w:widowControl/>
        <w:spacing w:line="520" w:lineRule="exact"/>
        <w:ind w:firstLine="640" w:firstLineChars="200"/>
        <w:jc w:val="left"/>
        <w:rPr>
          <w:rFonts w:ascii="仿宋" w:hAnsi="仿宋" w:eastAsia="仿宋" w:cs="宋体"/>
          <w:b/>
          <w:color w:val="000000"/>
          <w:kern w:val="0"/>
          <w:sz w:val="32"/>
          <w:szCs w:val="32"/>
        </w:rPr>
      </w:pPr>
      <w:r>
        <w:rPr>
          <w:rFonts w:hint="eastAsia" w:ascii="仿宋" w:hAnsi="仿宋" w:eastAsia="仿宋" w:cs="宋体"/>
          <w:color w:val="000000"/>
          <w:kern w:val="0"/>
          <w:sz w:val="32"/>
          <w:szCs w:val="32"/>
        </w:rPr>
        <w:t>截止202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年12月31日，本单位资产总计</w:t>
      </w:r>
      <w:r>
        <w:rPr>
          <w:rFonts w:hint="eastAsia" w:ascii="仿宋" w:hAnsi="仿宋" w:eastAsia="仿宋" w:cs="宋体"/>
          <w:color w:val="000000"/>
          <w:kern w:val="0"/>
          <w:sz w:val="32"/>
          <w:szCs w:val="32"/>
          <w:lang w:val="en-US" w:eastAsia="zh-CN"/>
        </w:rPr>
        <w:t>404840.46</w:t>
      </w:r>
      <w:r>
        <w:rPr>
          <w:rFonts w:hint="eastAsia" w:ascii="仿宋" w:hAnsi="仿宋" w:eastAsia="仿宋" w:cs="宋体"/>
          <w:color w:val="000000"/>
          <w:kern w:val="0"/>
          <w:sz w:val="32"/>
          <w:szCs w:val="32"/>
        </w:rPr>
        <w:t>元。其中，流动资产</w:t>
      </w:r>
      <w:r>
        <w:rPr>
          <w:rFonts w:hint="eastAsia" w:ascii="仿宋" w:hAnsi="仿宋" w:eastAsia="仿宋" w:cs="宋体"/>
          <w:color w:val="000000"/>
          <w:kern w:val="0"/>
          <w:sz w:val="32"/>
          <w:szCs w:val="32"/>
          <w:lang w:val="en-US" w:eastAsia="zh-CN"/>
        </w:rPr>
        <w:t>230793.37</w:t>
      </w:r>
      <w:r>
        <w:rPr>
          <w:rFonts w:hint="eastAsia" w:ascii="仿宋" w:hAnsi="仿宋" w:eastAsia="仿宋" w:cs="宋体"/>
          <w:color w:val="000000"/>
          <w:kern w:val="0"/>
          <w:sz w:val="32"/>
          <w:szCs w:val="32"/>
        </w:rPr>
        <w:t>元,占资产总额</w:t>
      </w:r>
      <w:r>
        <w:rPr>
          <w:rFonts w:hint="eastAsia" w:ascii="仿宋" w:hAnsi="仿宋" w:eastAsia="仿宋" w:cs="宋体"/>
          <w:color w:val="000000"/>
          <w:kern w:val="0"/>
          <w:sz w:val="32"/>
          <w:szCs w:val="32"/>
          <w:lang w:val="en-US" w:eastAsia="zh-CN"/>
        </w:rPr>
        <w:t>57.01</w:t>
      </w:r>
      <w:r>
        <w:rPr>
          <w:rFonts w:hint="eastAsia" w:ascii="仿宋" w:hAnsi="仿宋" w:eastAsia="仿宋" w:cs="宋体"/>
          <w:color w:val="000000"/>
          <w:kern w:val="0"/>
          <w:sz w:val="32"/>
          <w:szCs w:val="32"/>
        </w:rPr>
        <w:t>%；固定资产</w:t>
      </w:r>
      <w:r>
        <w:rPr>
          <w:rFonts w:hint="eastAsia" w:ascii="仿宋" w:hAnsi="仿宋" w:eastAsia="仿宋" w:cs="宋体"/>
          <w:color w:val="000000"/>
          <w:kern w:val="0"/>
          <w:sz w:val="32"/>
          <w:szCs w:val="32"/>
          <w:lang w:val="en-US" w:eastAsia="zh-CN"/>
        </w:rPr>
        <w:t>174047.09</w:t>
      </w:r>
      <w:r>
        <w:rPr>
          <w:rFonts w:hint="eastAsia" w:ascii="仿宋" w:hAnsi="仿宋" w:eastAsia="仿宋" w:cs="宋体"/>
          <w:color w:val="000000"/>
          <w:kern w:val="0"/>
          <w:sz w:val="32"/>
          <w:szCs w:val="32"/>
        </w:rPr>
        <w:t>元,占资产总额</w:t>
      </w:r>
      <w:r>
        <w:rPr>
          <w:rFonts w:hint="eastAsia" w:ascii="仿宋" w:hAnsi="仿宋" w:eastAsia="仿宋" w:cs="宋体"/>
          <w:color w:val="000000"/>
          <w:kern w:val="0"/>
          <w:sz w:val="32"/>
          <w:szCs w:val="32"/>
          <w:lang w:val="en-US" w:eastAsia="zh-CN"/>
        </w:rPr>
        <w:t>42.99</w:t>
      </w:r>
      <w:r>
        <w:rPr>
          <w:rFonts w:hint="eastAsia" w:ascii="仿宋" w:hAnsi="仿宋" w:eastAsia="仿宋" w:cs="宋体"/>
          <w:color w:val="000000"/>
          <w:kern w:val="0"/>
          <w:sz w:val="32"/>
          <w:szCs w:val="32"/>
        </w:rPr>
        <w:t>%，有车辆编制数1辆，实有公车1辆。</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4、重点工作任务：</w:t>
      </w:r>
    </w:p>
    <w:p>
      <w:pPr>
        <w:widowControl/>
        <w:spacing w:line="520" w:lineRule="exact"/>
        <w:ind w:firstLine="640" w:firstLineChars="200"/>
        <w:jc w:val="left"/>
        <w:rPr>
          <w:rFonts w:eastAsia="仿宋"/>
          <w:color w:val="000000"/>
          <w:kern w:val="0"/>
          <w:sz w:val="32"/>
          <w:szCs w:val="32"/>
        </w:rPr>
      </w:pPr>
      <w:r>
        <w:rPr>
          <w:rFonts w:hint="eastAsia" w:ascii="仿宋" w:hAnsi="仿宋" w:eastAsia="仿宋" w:cs="宋体"/>
          <w:color w:val="000000"/>
          <w:kern w:val="0"/>
          <w:sz w:val="32"/>
          <w:szCs w:val="32"/>
        </w:rPr>
        <w:t>一是资产财务工作:主要承担全市资金资产资源管理、农村集体资产监管平台、村社分账、村级财务核算改革、农村会计培训、资产财务年报、集体经营性收入考核、《省内部结算凭证》管理等。二是监督审计工作：主要承担E阳光信息公开平台建设、村级财务内部审计、民主理财以及财务公开等。三是单位内部综合事务：主要是对接局组织人事处，做好站人事、劳资工作；对接市财政局、局计财处，做好站计划财务工作；对接局办公室等其他综合处室，做好站内部管理等综合性工作；做好站老干部服务以及来信来访工作。</w:t>
      </w:r>
    </w:p>
    <w:p>
      <w:pPr>
        <w:widowControl/>
        <w:spacing w:line="520" w:lineRule="exact"/>
        <w:ind w:firstLine="640" w:firstLineChars="200"/>
        <w:jc w:val="left"/>
        <w:rPr>
          <w:rFonts w:eastAsia="仿宋"/>
          <w:kern w:val="0"/>
          <w:sz w:val="24"/>
        </w:rPr>
      </w:pPr>
      <w:r>
        <w:rPr>
          <w:rFonts w:eastAsia="仿宋"/>
          <w:color w:val="000000"/>
          <w:kern w:val="0"/>
          <w:sz w:val="32"/>
          <w:szCs w:val="32"/>
        </w:rPr>
        <w:t>（二）单位收支情况</w:t>
      </w:r>
    </w:p>
    <w:p>
      <w:pPr>
        <w:widowControl/>
        <w:spacing w:line="520" w:lineRule="exact"/>
        <w:ind w:firstLine="640" w:firstLineChars="2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1、收入支出预算安排情况。</w:t>
      </w:r>
    </w:p>
    <w:p>
      <w:pPr>
        <w:widowControl/>
        <w:spacing w:line="52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2022年初预算收入5335800元,2021年年初预算收入5228427.2元，比上年增加107372.8元,增加2.05%。年度执行中因为新进一名在职在编人员以及人员工资调整，所以预算调整为8099042元。</w:t>
      </w:r>
    </w:p>
    <w:p>
      <w:pPr>
        <w:widowControl/>
        <w:spacing w:line="52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2022年年初预算支出5335800元，2021年年初预算支出5228427.2元，比上年增加了107372.8元，增加2.05%。年度执行中因为新进一名在职在编人员以及人员工资调整，所以预算调整为8099042元。</w:t>
      </w:r>
    </w:p>
    <w:p>
      <w:pPr>
        <w:widowControl/>
        <w:spacing w:line="520" w:lineRule="exact"/>
        <w:ind w:firstLine="640" w:firstLineChars="200"/>
        <w:jc w:val="left"/>
        <w:rPr>
          <w:rFonts w:ascii="仿宋" w:hAnsi="仿宋" w:eastAsia="仿宋" w:cs="宋体"/>
          <w:bCs/>
          <w:color w:val="000000"/>
          <w:kern w:val="0"/>
          <w:sz w:val="32"/>
          <w:szCs w:val="32"/>
        </w:rPr>
      </w:pPr>
      <w:r>
        <w:rPr>
          <w:rFonts w:ascii="仿宋" w:hAnsi="仿宋" w:eastAsia="仿宋" w:cs="宋体"/>
          <w:bCs/>
          <w:color w:val="000000"/>
          <w:kern w:val="0"/>
          <w:sz w:val="32"/>
          <w:szCs w:val="32"/>
        </w:rPr>
        <w:t>2、收入支出预算执行情况。</w:t>
      </w:r>
    </w:p>
    <w:p>
      <w:pPr>
        <w:spacing w:line="52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2022年决算收入7091425.72元， 2021年决算收入6869165.96元，比上年增加222259.76元，增加了3.24%。</w:t>
      </w:r>
    </w:p>
    <w:p>
      <w:pPr>
        <w:spacing w:line="52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2022年决算支出7111994.37元,2021年决算支出7174778.86元,比上年支出减少62784.49元,减少0.88%,主要为项目支出减少。</w:t>
      </w:r>
    </w:p>
    <w:p>
      <w:pPr>
        <w:spacing w:line="520" w:lineRule="exact"/>
        <w:ind w:firstLine="640" w:firstLineChars="200"/>
        <w:rPr>
          <w:rFonts w:eastAsia="仿宋"/>
          <w:color w:val="000000"/>
          <w:kern w:val="0"/>
          <w:sz w:val="32"/>
          <w:szCs w:val="32"/>
        </w:rPr>
      </w:pPr>
      <w:r>
        <w:rPr>
          <w:rFonts w:eastAsia="仿宋"/>
          <w:color w:val="000000"/>
          <w:kern w:val="0"/>
          <w:sz w:val="32"/>
          <w:szCs w:val="32"/>
        </w:rPr>
        <w:t>（三）单位绩效目标</w:t>
      </w:r>
    </w:p>
    <w:p>
      <w:pPr>
        <w:spacing w:line="520" w:lineRule="exact"/>
        <w:ind w:firstLine="640" w:firstLineChars="200"/>
        <w:rPr>
          <w:rFonts w:hint="eastAsia" w:ascii="仿宋" w:hAnsi="仿宋" w:eastAsia="仿宋" w:cs="宋体"/>
          <w:i w:val="0"/>
          <w:iCs w:val="0"/>
          <w:color w:val="000000"/>
          <w:kern w:val="0"/>
          <w:sz w:val="32"/>
          <w:szCs w:val="32"/>
          <w:u w:val="none"/>
        </w:rPr>
      </w:pPr>
      <w:r>
        <w:rPr>
          <w:rFonts w:hint="eastAsia" w:ascii="仿宋" w:hAnsi="仿宋" w:eastAsia="仿宋" w:cs="宋体"/>
          <w:i w:val="0"/>
          <w:iCs w:val="0"/>
          <w:color w:val="000000"/>
          <w:kern w:val="0"/>
          <w:sz w:val="32"/>
          <w:szCs w:val="32"/>
          <w:u w:val="none"/>
        </w:rPr>
        <w:t>我单位部门中长期目标为：2020年-2025年达到全市农村集体财务、资产、合同规范化管理，做好全市村账审计和监督检查；加强农经系统人员的教育培训；推进村账镇代理、财务公开和民主理财。</w:t>
      </w:r>
    </w:p>
    <w:p>
      <w:pPr>
        <w:widowControl/>
        <w:spacing w:line="520" w:lineRule="exact"/>
        <w:ind w:firstLine="640" w:firstLineChars="200"/>
        <w:jc w:val="left"/>
        <w:rPr>
          <w:rFonts w:ascii="仿宋" w:hAnsi="仿宋" w:eastAsia="仿宋" w:cs="宋体"/>
          <w:i w:val="0"/>
          <w:iCs w:val="0"/>
          <w:color w:val="000000"/>
          <w:kern w:val="0"/>
          <w:sz w:val="32"/>
          <w:szCs w:val="32"/>
          <w:u w:val="none"/>
        </w:rPr>
      </w:pPr>
      <w:r>
        <w:rPr>
          <w:rFonts w:hint="eastAsia" w:ascii="仿宋" w:hAnsi="仿宋" w:eastAsia="仿宋" w:cs="宋体"/>
          <w:i w:val="0"/>
          <w:iCs w:val="0"/>
          <w:color w:val="000000"/>
          <w:kern w:val="0"/>
          <w:sz w:val="32"/>
          <w:szCs w:val="32"/>
          <w:u w:val="none"/>
        </w:rPr>
        <w:t>我单位202</w:t>
      </w:r>
      <w:r>
        <w:rPr>
          <w:rFonts w:hint="eastAsia" w:ascii="仿宋" w:hAnsi="仿宋" w:eastAsia="仿宋" w:cs="宋体"/>
          <w:i w:val="0"/>
          <w:iCs w:val="0"/>
          <w:color w:val="000000"/>
          <w:kern w:val="0"/>
          <w:sz w:val="32"/>
          <w:szCs w:val="32"/>
          <w:u w:val="none"/>
          <w:lang w:val="en-US" w:eastAsia="zh-CN"/>
        </w:rPr>
        <w:t>2</w:t>
      </w:r>
      <w:r>
        <w:rPr>
          <w:rFonts w:hint="eastAsia" w:ascii="仿宋" w:hAnsi="仿宋" w:eastAsia="仿宋" w:cs="宋体"/>
          <w:i w:val="0"/>
          <w:iCs w:val="0"/>
          <w:color w:val="000000"/>
          <w:kern w:val="0"/>
          <w:sz w:val="32"/>
          <w:szCs w:val="32"/>
          <w:u w:val="none"/>
        </w:rPr>
        <w:t>年年度目标为：1、做好</w:t>
      </w:r>
      <w:r>
        <w:rPr>
          <w:rFonts w:hint="eastAsia" w:ascii="仿宋" w:hAnsi="仿宋" w:eastAsia="仿宋" w:cs="宋体"/>
          <w:i w:val="0"/>
          <w:iCs w:val="0"/>
          <w:color w:val="000000"/>
          <w:kern w:val="0"/>
          <w:sz w:val="32"/>
          <w:szCs w:val="32"/>
          <w:u w:val="none"/>
          <w:lang w:val="en-US" w:eastAsia="zh-CN"/>
        </w:rPr>
        <w:t>农村集体三资监管平台建设</w:t>
      </w:r>
      <w:r>
        <w:rPr>
          <w:rFonts w:hint="eastAsia" w:ascii="仿宋" w:hAnsi="仿宋" w:eastAsia="仿宋" w:cs="宋体"/>
          <w:i w:val="0"/>
          <w:iCs w:val="0"/>
          <w:color w:val="000000"/>
          <w:kern w:val="0"/>
          <w:sz w:val="32"/>
          <w:szCs w:val="32"/>
          <w:u w:val="none"/>
        </w:rPr>
        <w:t>2、</w:t>
      </w:r>
      <w:r>
        <w:rPr>
          <w:rFonts w:hint="eastAsia" w:ascii="仿宋" w:hAnsi="仿宋" w:eastAsia="仿宋" w:cs="宋体"/>
          <w:i w:val="0"/>
          <w:iCs w:val="0"/>
          <w:color w:val="000000"/>
          <w:kern w:val="0"/>
          <w:sz w:val="32"/>
          <w:szCs w:val="32"/>
          <w:u w:val="none"/>
          <w:lang w:val="en-US" w:eastAsia="zh-CN"/>
        </w:rPr>
        <w:t>农村财务审计3、E阳光平台升级维护4、做好农村会计培训</w:t>
      </w:r>
      <w:r>
        <w:rPr>
          <w:rFonts w:hint="eastAsia" w:ascii="仿宋" w:hAnsi="仿宋" w:eastAsia="仿宋" w:cs="宋体"/>
          <w:i w:val="0"/>
          <w:iCs w:val="0"/>
          <w:color w:val="000000"/>
          <w:kern w:val="0"/>
          <w:sz w:val="32"/>
          <w:szCs w:val="32"/>
          <w:u w:val="none"/>
        </w:rPr>
        <w:t>。</w:t>
      </w:r>
    </w:p>
    <w:p>
      <w:pPr>
        <w:widowControl/>
        <w:spacing w:line="520" w:lineRule="exact"/>
        <w:ind w:firstLine="640" w:firstLineChars="200"/>
        <w:jc w:val="left"/>
        <w:rPr>
          <w:rFonts w:eastAsia="黑体"/>
          <w:kern w:val="0"/>
          <w:sz w:val="24"/>
        </w:rPr>
      </w:pPr>
      <w:r>
        <w:rPr>
          <w:rFonts w:eastAsia="黑体"/>
          <w:color w:val="000000"/>
          <w:kern w:val="0"/>
          <w:sz w:val="32"/>
          <w:szCs w:val="32"/>
        </w:rPr>
        <w:t>二、评价结论</w:t>
      </w:r>
    </w:p>
    <w:p>
      <w:pPr>
        <w:widowControl/>
        <w:spacing w:line="520" w:lineRule="exact"/>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（一）评价对象和范围</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本次20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年度单位整体绩效评价重点评价的对象是南京市农村合作经济经营管理站，评价范围包括202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年度基本支出和部门专项支出。</w:t>
      </w:r>
    </w:p>
    <w:p>
      <w:pPr>
        <w:widowControl/>
        <w:spacing w:line="520" w:lineRule="exact"/>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（二）评价结论</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年部门预算从编制的起点开始，强化了预算编制的科学性，将预算资金安排与单位的主要工作职能、工作重点结合起来，从严控制“三公经费”，将会议费、培训费、公务接待费等费用实行总额控制，</w:t>
      </w:r>
      <w:r>
        <w:rPr>
          <w:rFonts w:hint="eastAsia" w:ascii="仿宋" w:hAnsi="仿宋" w:eastAsia="仿宋" w:cs="宋体"/>
          <w:color w:val="000000"/>
          <w:kern w:val="0"/>
          <w:sz w:val="32"/>
          <w:szCs w:val="32"/>
          <w:lang w:val="en-US" w:eastAsia="zh-CN"/>
        </w:rPr>
        <w:t>从而</w:t>
      </w:r>
      <w:r>
        <w:rPr>
          <w:rFonts w:hint="eastAsia" w:ascii="仿宋" w:hAnsi="仿宋" w:eastAsia="仿宋" w:cs="宋体"/>
          <w:color w:val="000000"/>
          <w:kern w:val="0"/>
          <w:sz w:val="32"/>
          <w:szCs w:val="32"/>
        </w:rPr>
        <w:t>确保经费预算的有序执行。</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1．基本支出资金绩效评价</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年基本支出按照资金进度有序安排，完成部门预算绩效制定的目标，预算资金本着节约使用的目的，略有节余，由财政收回统一管理使用。</w:t>
      </w:r>
    </w:p>
    <w:p>
      <w:pPr>
        <w:widowControl/>
        <w:spacing w:line="520" w:lineRule="exact"/>
        <w:ind w:firstLine="640" w:firstLineChars="200"/>
        <w:jc w:val="left"/>
        <w:rPr>
          <w:rFonts w:ascii="仿宋" w:hAnsi="仿宋" w:eastAsia="仿宋" w:cs="宋体"/>
          <w:color w:val="000000"/>
          <w:kern w:val="0"/>
          <w:sz w:val="32"/>
          <w:szCs w:val="32"/>
        </w:rPr>
      </w:pPr>
      <w:bookmarkStart w:id="0" w:name="_Hlk45893035"/>
      <w:r>
        <w:rPr>
          <w:rFonts w:hint="eastAsia" w:ascii="仿宋" w:hAnsi="仿宋" w:eastAsia="仿宋" w:cs="宋体"/>
          <w:color w:val="000000"/>
          <w:kern w:val="0"/>
          <w:sz w:val="32"/>
          <w:szCs w:val="32"/>
        </w:rPr>
        <w:t>2．部门专项资金绩效评价</w:t>
      </w:r>
      <w:bookmarkEnd w:id="0"/>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年我单位的部门预算专项包括农村会计培训项目100000元及办公设备购置</w:t>
      </w:r>
      <w:r>
        <w:rPr>
          <w:rFonts w:hint="eastAsia" w:ascii="仿宋" w:hAnsi="仿宋" w:eastAsia="仿宋" w:cs="宋体"/>
          <w:color w:val="000000"/>
          <w:kern w:val="0"/>
          <w:sz w:val="32"/>
          <w:szCs w:val="32"/>
          <w:lang w:val="en-US" w:eastAsia="zh-CN"/>
        </w:rPr>
        <w:t>3000</w:t>
      </w:r>
      <w:r>
        <w:rPr>
          <w:rFonts w:hint="eastAsia" w:ascii="仿宋" w:hAnsi="仿宋" w:eastAsia="仿宋" w:cs="宋体"/>
          <w:color w:val="000000"/>
          <w:kern w:val="0"/>
          <w:sz w:val="32"/>
          <w:szCs w:val="32"/>
        </w:rPr>
        <w:t>元,下面对各部门专项资金绩效进行评价。</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年度农村会计培训项目</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该项目经费预算为100000元。</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农村会计培训项目因疫情原因未开展。</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年办公设备购置费预算</w:t>
      </w:r>
      <w:r>
        <w:rPr>
          <w:rFonts w:hint="eastAsia" w:ascii="仿宋" w:hAnsi="仿宋" w:eastAsia="仿宋" w:cs="宋体"/>
          <w:color w:val="000000"/>
          <w:kern w:val="0"/>
          <w:sz w:val="32"/>
          <w:szCs w:val="32"/>
          <w:lang w:val="en-US" w:eastAsia="zh-CN"/>
        </w:rPr>
        <w:t>3000</w:t>
      </w:r>
      <w:r>
        <w:rPr>
          <w:rFonts w:hint="eastAsia" w:ascii="仿宋" w:hAnsi="仿宋" w:eastAsia="仿宋" w:cs="宋体"/>
          <w:color w:val="000000"/>
          <w:kern w:val="0"/>
          <w:sz w:val="32"/>
          <w:szCs w:val="32"/>
        </w:rPr>
        <w:t>元。</w:t>
      </w:r>
    </w:p>
    <w:p>
      <w:pPr>
        <w:widowControl/>
        <w:spacing w:line="52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年，我单位购置了</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台</w:t>
      </w:r>
      <w:r>
        <w:rPr>
          <w:rFonts w:hint="eastAsia" w:ascii="仿宋" w:hAnsi="仿宋" w:eastAsia="仿宋" w:cs="宋体"/>
          <w:color w:val="000000"/>
          <w:kern w:val="0"/>
          <w:sz w:val="32"/>
          <w:szCs w:val="32"/>
          <w:lang w:val="en-US" w:eastAsia="zh-CN"/>
        </w:rPr>
        <w:t>A4彩色</w:t>
      </w:r>
      <w:r>
        <w:rPr>
          <w:rFonts w:hint="eastAsia" w:ascii="仿宋" w:hAnsi="仿宋" w:eastAsia="仿宋" w:cs="宋体"/>
          <w:color w:val="000000"/>
          <w:kern w:val="0"/>
          <w:sz w:val="32"/>
          <w:szCs w:val="32"/>
        </w:rPr>
        <w:t>打印机</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价款2995</w:t>
      </w:r>
      <w:r>
        <w:rPr>
          <w:rFonts w:hint="eastAsia" w:ascii="仿宋" w:hAnsi="仿宋" w:eastAsia="仿宋" w:cs="宋体"/>
          <w:color w:val="000000"/>
          <w:kern w:val="0"/>
          <w:sz w:val="32"/>
          <w:szCs w:val="32"/>
        </w:rPr>
        <w:t>元，剩余资金被财政收回，资金使用率9</w:t>
      </w:r>
      <w:r>
        <w:rPr>
          <w:rFonts w:hint="eastAsia" w:ascii="仿宋" w:hAnsi="仿宋" w:eastAsia="仿宋" w:cs="宋体"/>
          <w:color w:val="000000"/>
          <w:kern w:val="0"/>
          <w:sz w:val="32"/>
          <w:szCs w:val="32"/>
          <w:lang w:val="en-US" w:eastAsia="zh-CN"/>
        </w:rPr>
        <w:t>9.83</w:t>
      </w:r>
      <w:r>
        <w:rPr>
          <w:rFonts w:hint="eastAsia" w:ascii="仿宋" w:hAnsi="仿宋" w:eastAsia="仿宋" w:cs="宋体"/>
          <w:color w:val="000000"/>
          <w:kern w:val="0"/>
          <w:sz w:val="32"/>
          <w:szCs w:val="32"/>
        </w:rPr>
        <w:t>%。</w:t>
      </w:r>
    </w:p>
    <w:p>
      <w:pPr>
        <w:widowControl/>
        <w:numPr>
          <w:ilvl w:val="0"/>
          <w:numId w:val="1"/>
        </w:numPr>
        <w:spacing w:line="520" w:lineRule="exac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评分结果</w:t>
      </w:r>
    </w:p>
    <w:tbl>
      <w:tblPr>
        <w:tblStyle w:val="3"/>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920"/>
        <w:gridCol w:w="1276"/>
        <w:gridCol w:w="1275"/>
        <w:gridCol w:w="1134"/>
        <w:gridCol w:w="170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60"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指标</w:t>
            </w:r>
          </w:p>
        </w:tc>
        <w:tc>
          <w:tcPr>
            <w:tcW w:w="920"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A</w:t>
            </w:r>
          </w:p>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单位决策</w:t>
            </w:r>
          </w:p>
        </w:tc>
        <w:tc>
          <w:tcPr>
            <w:tcW w:w="1276"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B</w:t>
            </w:r>
          </w:p>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单位管理</w:t>
            </w:r>
          </w:p>
        </w:tc>
        <w:tc>
          <w:tcPr>
            <w:tcW w:w="1275"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C</w:t>
            </w:r>
          </w:p>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单位履职</w:t>
            </w:r>
          </w:p>
        </w:tc>
        <w:tc>
          <w:tcPr>
            <w:tcW w:w="1134"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D</w:t>
            </w:r>
          </w:p>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履职绩效</w:t>
            </w:r>
          </w:p>
        </w:tc>
        <w:tc>
          <w:tcPr>
            <w:tcW w:w="1702"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E</w:t>
            </w:r>
          </w:p>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可持续发展能力</w:t>
            </w:r>
          </w:p>
        </w:tc>
        <w:tc>
          <w:tcPr>
            <w:tcW w:w="1134"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F</w:t>
            </w:r>
          </w:p>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加减分项</w:t>
            </w:r>
          </w:p>
        </w:tc>
        <w:tc>
          <w:tcPr>
            <w:tcW w:w="1134"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0"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权重</w:t>
            </w:r>
          </w:p>
        </w:tc>
        <w:tc>
          <w:tcPr>
            <w:tcW w:w="920"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15</w:t>
            </w:r>
          </w:p>
        </w:tc>
        <w:tc>
          <w:tcPr>
            <w:tcW w:w="1276"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20</w:t>
            </w:r>
          </w:p>
        </w:tc>
        <w:tc>
          <w:tcPr>
            <w:tcW w:w="1275"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30</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30</w:t>
            </w:r>
          </w:p>
        </w:tc>
        <w:tc>
          <w:tcPr>
            <w:tcW w:w="1702"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5</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0"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得分</w:t>
            </w:r>
          </w:p>
        </w:tc>
        <w:tc>
          <w:tcPr>
            <w:tcW w:w="920"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12</w:t>
            </w:r>
          </w:p>
        </w:tc>
        <w:tc>
          <w:tcPr>
            <w:tcW w:w="1276" w:type="dxa"/>
          </w:tcPr>
          <w:p>
            <w:pPr>
              <w:widowControl/>
              <w:spacing w:line="520" w:lineRule="exact"/>
              <w:jc w:val="left"/>
              <w:rPr>
                <w:rFonts w:ascii="仿宋" w:hAnsi="仿宋" w:eastAsia="仿宋" w:cs="宋体"/>
                <w:b w:val="0"/>
                <w:bCs w:val="0"/>
                <w:i w:val="0"/>
                <w:iCs w:val="0"/>
                <w:color w:val="000000"/>
                <w:kern w:val="0"/>
                <w:szCs w:val="21"/>
                <w:u w:val="none"/>
              </w:rPr>
            </w:pPr>
            <w:r>
              <w:rPr>
                <w:rFonts w:hint="eastAsia" w:ascii="仿宋" w:hAnsi="仿宋" w:eastAsia="仿宋" w:cs="宋体"/>
                <w:b w:val="0"/>
                <w:bCs w:val="0"/>
                <w:i w:val="0"/>
                <w:iCs w:val="0"/>
                <w:color w:val="000000"/>
                <w:kern w:val="0"/>
                <w:szCs w:val="21"/>
                <w:u w:val="none"/>
              </w:rPr>
              <w:t>20</w:t>
            </w:r>
          </w:p>
        </w:tc>
        <w:tc>
          <w:tcPr>
            <w:tcW w:w="1275" w:type="dxa"/>
          </w:tcPr>
          <w:p>
            <w:pPr>
              <w:widowControl/>
              <w:spacing w:line="520" w:lineRule="exact"/>
              <w:jc w:val="left"/>
              <w:rPr>
                <w:rFonts w:ascii="仿宋" w:hAnsi="仿宋" w:eastAsia="仿宋" w:cs="宋体"/>
                <w:b w:val="0"/>
                <w:bCs w:val="0"/>
                <w:i w:val="0"/>
                <w:iCs w:val="0"/>
                <w:color w:val="000000"/>
                <w:kern w:val="0"/>
                <w:szCs w:val="21"/>
                <w:u w:val="none"/>
              </w:rPr>
            </w:pPr>
            <w:r>
              <w:rPr>
                <w:rFonts w:hint="eastAsia" w:ascii="仿宋" w:hAnsi="仿宋" w:eastAsia="仿宋" w:cs="宋体"/>
                <w:b w:val="0"/>
                <w:bCs w:val="0"/>
                <w:i w:val="0"/>
                <w:iCs w:val="0"/>
                <w:color w:val="000000"/>
                <w:kern w:val="0"/>
                <w:szCs w:val="21"/>
                <w:u w:val="none"/>
              </w:rPr>
              <w:t>30</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30</w:t>
            </w:r>
          </w:p>
        </w:tc>
        <w:tc>
          <w:tcPr>
            <w:tcW w:w="1702"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5</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0</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9</w:t>
            </w:r>
            <w:r>
              <w:rPr>
                <w:rFonts w:hint="eastAsia" w:ascii="仿宋" w:hAnsi="仿宋" w:eastAsia="仿宋" w:cs="宋体"/>
                <w:b w:val="0"/>
                <w:bCs w:val="0"/>
                <w:i w:val="0"/>
                <w:iCs w:val="0"/>
                <w:color w:val="000000"/>
                <w:kern w:val="0"/>
                <w:szCs w:val="21"/>
                <w:u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60" w:type="dxa"/>
          </w:tcPr>
          <w:p>
            <w:pPr>
              <w:widowControl/>
              <w:spacing w:line="520" w:lineRule="exact"/>
              <w:jc w:val="left"/>
              <w:rPr>
                <w:rFonts w:ascii="仿宋" w:hAnsi="仿宋" w:eastAsia="仿宋" w:cs="宋体"/>
                <w:color w:val="000000"/>
                <w:kern w:val="0"/>
                <w:szCs w:val="21"/>
              </w:rPr>
            </w:pPr>
            <w:r>
              <w:rPr>
                <w:rFonts w:ascii="仿宋" w:hAnsi="仿宋" w:eastAsia="仿宋" w:cs="宋体"/>
                <w:color w:val="000000"/>
                <w:kern w:val="0"/>
                <w:szCs w:val="21"/>
              </w:rPr>
              <w:t>得分率</w:t>
            </w:r>
          </w:p>
        </w:tc>
        <w:tc>
          <w:tcPr>
            <w:tcW w:w="920"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80%</w:t>
            </w:r>
          </w:p>
        </w:tc>
        <w:tc>
          <w:tcPr>
            <w:tcW w:w="1276" w:type="dxa"/>
          </w:tcPr>
          <w:p>
            <w:pPr>
              <w:widowControl/>
              <w:spacing w:line="520" w:lineRule="exact"/>
              <w:jc w:val="left"/>
              <w:rPr>
                <w:rFonts w:ascii="仿宋" w:hAnsi="仿宋" w:eastAsia="仿宋" w:cs="宋体"/>
                <w:b w:val="0"/>
                <w:bCs w:val="0"/>
                <w:i w:val="0"/>
                <w:iCs w:val="0"/>
                <w:color w:val="000000"/>
                <w:kern w:val="0"/>
                <w:szCs w:val="21"/>
                <w:u w:val="none"/>
              </w:rPr>
            </w:pPr>
            <w:r>
              <w:rPr>
                <w:rFonts w:hint="eastAsia" w:ascii="仿宋" w:hAnsi="仿宋" w:eastAsia="仿宋" w:cs="宋体"/>
                <w:b w:val="0"/>
                <w:bCs w:val="0"/>
                <w:i w:val="0"/>
                <w:iCs w:val="0"/>
                <w:color w:val="000000"/>
                <w:kern w:val="0"/>
                <w:szCs w:val="21"/>
                <w:u w:val="none"/>
              </w:rPr>
              <w:t>100</w:t>
            </w:r>
            <w:r>
              <w:rPr>
                <w:rFonts w:ascii="仿宋" w:hAnsi="仿宋" w:eastAsia="仿宋" w:cs="宋体"/>
                <w:b w:val="0"/>
                <w:bCs w:val="0"/>
                <w:i w:val="0"/>
                <w:iCs w:val="0"/>
                <w:color w:val="000000"/>
                <w:kern w:val="0"/>
                <w:szCs w:val="21"/>
                <w:u w:val="none"/>
              </w:rPr>
              <w:t>%</w:t>
            </w:r>
          </w:p>
        </w:tc>
        <w:tc>
          <w:tcPr>
            <w:tcW w:w="1275" w:type="dxa"/>
          </w:tcPr>
          <w:p>
            <w:pPr>
              <w:widowControl/>
              <w:spacing w:line="520" w:lineRule="exact"/>
              <w:jc w:val="left"/>
              <w:rPr>
                <w:rFonts w:ascii="仿宋" w:hAnsi="仿宋" w:eastAsia="仿宋" w:cs="宋体"/>
                <w:b w:val="0"/>
                <w:bCs w:val="0"/>
                <w:i w:val="0"/>
                <w:iCs w:val="0"/>
                <w:color w:val="000000"/>
                <w:kern w:val="0"/>
                <w:szCs w:val="21"/>
                <w:u w:val="none"/>
              </w:rPr>
            </w:pPr>
            <w:r>
              <w:rPr>
                <w:rFonts w:hint="eastAsia" w:ascii="仿宋" w:hAnsi="仿宋" w:eastAsia="仿宋" w:cs="宋体"/>
                <w:b w:val="0"/>
                <w:bCs w:val="0"/>
                <w:i w:val="0"/>
                <w:iCs w:val="0"/>
                <w:color w:val="000000"/>
                <w:kern w:val="0"/>
                <w:szCs w:val="21"/>
                <w:u w:val="none"/>
              </w:rPr>
              <w:t>100</w:t>
            </w:r>
            <w:r>
              <w:rPr>
                <w:rFonts w:ascii="仿宋" w:hAnsi="仿宋" w:eastAsia="仿宋" w:cs="宋体"/>
                <w:b w:val="0"/>
                <w:bCs w:val="0"/>
                <w:i w:val="0"/>
                <w:iCs w:val="0"/>
                <w:color w:val="000000"/>
                <w:kern w:val="0"/>
                <w:szCs w:val="21"/>
                <w:u w:val="none"/>
              </w:rPr>
              <w:t>%</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100%</w:t>
            </w:r>
          </w:p>
        </w:tc>
        <w:tc>
          <w:tcPr>
            <w:tcW w:w="1702"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100%</w:t>
            </w: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p>
        </w:tc>
        <w:tc>
          <w:tcPr>
            <w:tcW w:w="1134" w:type="dxa"/>
          </w:tcPr>
          <w:p>
            <w:pPr>
              <w:widowControl/>
              <w:spacing w:line="520" w:lineRule="exact"/>
              <w:jc w:val="left"/>
              <w:rPr>
                <w:rFonts w:ascii="仿宋" w:hAnsi="仿宋" w:eastAsia="仿宋" w:cs="宋体"/>
                <w:b w:val="0"/>
                <w:bCs w:val="0"/>
                <w:i w:val="0"/>
                <w:iCs w:val="0"/>
                <w:color w:val="000000"/>
                <w:kern w:val="0"/>
                <w:szCs w:val="21"/>
                <w:u w:val="none"/>
              </w:rPr>
            </w:pPr>
            <w:r>
              <w:rPr>
                <w:rFonts w:ascii="仿宋" w:hAnsi="仿宋" w:eastAsia="仿宋" w:cs="宋体"/>
                <w:b w:val="0"/>
                <w:bCs w:val="0"/>
                <w:i w:val="0"/>
                <w:iCs w:val="0"/>
                <w:color w:val="000000"/>
                <w:kern w:val="0"/>
                <w:szCs w:val="21"/>
                <w:u w:val="none"/>
              </w:rPr>
              <w:t>9</w:t>
            </w:r>
            <w:r>
              <w:rPr>
                <w:rFonts w:hint="eastAsia" w:ascii="仿宋" w:hAnsi="仿宋" w:eastAsia="仿宋" w:cs="宋体"/>
                <w:b w:val="0"/>
                <w:bCs w:val="0"/>
                <w:i w:val="0"/>
                <w:iCs w:val="0"/>
                <w:color w:val="000000"/>
                <w:kern w:val="0"/>
                <w:szCs w:val="21"/>
                <w:u w:val="none"/>
              </w:rPr>
              <w:t>7</w:t>
            </w:r>
            <w:r>
              <w:rPr>
                <w:rFonts w:ascii="仿宋" w:hAnsi="仿宋" w:eastAsia="仿宋" w:cs="宋体"/>
                <w:b w:val="0"/>
                <w:bCs w:val="0"/>
                <w:i w:val="0"/>
                <w:iCs w:val="0"/>
                <w:color w:val="000000"/>
                <w:kern w:val="0"/>
                <w:szCs w:val="21"/>
                <w:u w:val="none"/>
              </w:rPr>
              <w:t>%</w:t>
            </w:r>
          </w:p>
        </w:tc>
      </w:tr>
    </w:tbl>
    <w:p>
      <w:pPr>
        <w:widowControl/>
        <w:spacing w:line="520" w:lineRule="exact"/>
        <w:ind w:firstLine="640" w:firstLineChars="200"/>
        <w:jc w:val="left"/>
        <w:rPr>
          <w:rFonts w:eastAsia="黑体"/>
          <w:kern w:val="0"/>
          <w:sz w:val="24"/>
        </w:rPr>
      </w:pPr>
      <w:r>
        <w:rPr>
          <w:rFonts w:eastAsia="黑体"/>
          <w:color w:val="000000"/>
          <w:kern w:val="0"/>
          <w:sz w:val="32"/>
          <w:szCs w:val="32"/>
        </w:rPr>
        <w:t>三、</w:t>
      </w:r>
      <w:r>
        <w:rPr>
          <w:rFonts w:hint="eastAsia" w:eastAsia="黑体"/>
          <w:color w:val="000000"/>
          <w:kern w:val="0"/>
          <w:sz w:val="32"/>
          <w:szCs w:val="32"/>
          <w:lang w:val="en-US" w:eastAsia="zh-CN"/>
        </w:rPr>
        <w:t>单位</w:t>
      </w:r>
      <w:r>
        <w:rPr>
          <w:rFonts w:eastAsia="黑体"/>
          <w:color w:val="000000"/>
          <w:kern w:val="0"/>
          <w:sz w:val="32"/>
          <w:szCs w:val="32"/>
        </w:rPr>
        <w:t>履职成效</w:t>
      </w:r>
    </w:p>
    <w:p>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农村集体资产管理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2022年，全市镇村组资源性资产654.6万亩，其中：农用地561.9万亩、建设用地88.4万亩、未利用地4.3万亩。全市镇村组集体资产总额（经营性资产和非经营性资产）共436.5亿元，同比增长1.51%。其中：经营性资产176.6亿元，占比40.5%；非经营性资产259.9亿元，占比59.5%。</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村级财务</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2022年村集体经济总收入54.51亿元，较2021年57.17亿元同比下降4.65%，村均832.2万元。村集体经营性收入25.54亿元，较2021年28.45亿元同比下降10.21%，村均390万元。2022年集体经济总收入中集体经营性收入、补助收入分别占总收入的46.9%和53.1%。</w:t>
      </w:r>
    </w:p>
    <w:p>
      <w:pPr>
        <w:keepNext w:val="0"/>
        <w:keepLines w:val="0"/>
        <w:pageBreakBefore w:val="0"/>
        <w:widowControl/>
        <w:numPr>
          <w:ilvl w:val="0"/>
          <w:numId w:val="4"/>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农村集体资产监管综合平台</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农村集体资产监管综合平台已在全市59个镇街655个村（社区）和663个股份经济合作社全面推广运用，整个平台以信息化推动村级资产财务管理制度化公开化规范化。今年以来一是在2021年基础上指导八区有序开展资产资源导入和补录工作，检查资产资源数据的准确性和完整性，督促数据有问题的村组予以整改。二是按照“应进必进”要求，将所有需要进入产权交易市场交易的资产资源从三资系统中抓取，并要求将生成的合同回传三资平台引起资产资源状态的变更。</w:t>
      </w:r>
    </w:p>
    <w:p>
      <w:pPr>
        <w:keepNext w:val="0"/>
        <w:keepLines w:val="0"/>
        <w:pageBreakBefore w:val="0"/>
        <w:widowControl/>
        <w:numPr>
          <w:ilvl w:val="0"/>
          <w:numId w:val="5"/>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“村社分账”管理改革</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一是开展“村社分账”核算难点、“11399”科目余额为负原因调研，摸清情况，出台了《关于规范“村社分账”账务处理和会计科目核算的通知》。二是按照“村社分账”实施要求，指导各村社“两实一虚”账户运用以及收入、合同、资产资源管理和预警处置等。三是督促各区所辖镇村组做好“三资”工作平台资产资源数据库更新与维护，按照“应进必进”的要求，所有新发包资产资源通过产权交易平台交易，推进资产、合同与收入三者闭环。四是督促各区按时汇总合并的资产负债表、收益分配表、收支明细表。同时应各区培训要求详细指导“村社分账”业务操作程序、相关政策等</w:t>
      </w:r>
    </w:p>
    <w:p>
      <w:pPr>
        <w:keepNext w:val="0"/>
        <w:keepLines w:val="0"/>
        <w:pageBreakBefore w:val="0"/>
        <w:widowControl/>
        <w:numPr>
          <w:ilvl w:val="0"/>
          <w:numId w:val="6"/>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“E阳光”手机APP公开平台</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今年来，按照网信办要求平台升级建立信息发布三级审核机制，管理人员账号已完成注册，账号已下发至各区使用；积极推进隐私字段识别屏蔽、隐藏等功能开发推进工作，维护村民权益，保障村民个人隐私；为进一步增强网络安全管理，按上级要求及时强化E阳光后台登录口令管理；同时，做好日常运维以及节假日、重大活动期间系统信息安全工作等。目前，全市“E阳光”手机APP累计登录总人次达200万，“E阳光”公开2022年度镇村组资产159.72亿元，资源496.59万亩，合同1.52万个。</w:t>
      </w:r>
    </w:p>
    <w:p>
      <w:pPr>
        <w:keepNext w:val="0"/>
        <w:keepLines w:val="0"/>
        <w:pageBreakBefore w:val="0"/>
        <w:widowControl/>
        <w:numPr>
          <w:ilvl w:val="0"/>
          <w:numId w:val="7"/>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“村务卡”工作</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截止目前，全市村务卡1610张，并全部录入农村集体资产监管综合平台，村务卡支出总金额1943.62万元，这些支出信息实时推送至“阳光惠民”系统，提高了村级资金管理使用透明度，并确保村级资金管理全程留痕可追溯，做到资金使用实时监管、笔笔留痕。村务卡普及推广使用后，村级日常公务支出基本上不再使用现金，基本杜绝坐收坐支等违纪违法行为。</w:t>
      </w:r>
    </w:p>
    <w:p>
      <w:pPr>
        <w:keepNext w:val="0"/>
        <w:keepLines w:val="0"/>
        <w:pageBreakBefore w:val="0"/>
        <w:widowControl/>
        <w:numPr>
          <w:ilvl w:val="0"/>
          <w:numId w:val="8"/>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村级财务抽审</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按照工作步骤，督促各区被审计村结合审计组的意见及建议，按要求对审计报告问题进行整改，并完成2021年审计整改材料的报送。同时今年继续以“促进农村财务管理制度化、规范化、民主化”为目标，抽取了8个区的13个村（社区），对农村集体财务管理情况存在的村社分账、集体经营性收入异常波动、资不抵债等问题为导向，开展了抽查审计调查。至九月，第一轮初审共发现285个问题，后经各区集中整改尚有156个问题未整改到位，目前已移交各区继续整改。</w:t>
      </w:r>
    </w:p>
    <w:p>
      <w:pPr>
        <w:keepNext w:val="0"/>
        <w:keepLines w:val="0"/>
        <w:pageBreakBefore w:val="0"/>
        <w:widowControl/>
        <w:numPr>
          <w:ilvl w:val="0"/>
          <w:numId w:val="9"/>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全市农村集体资产财务管理业务一级技能竞赛</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在八个涉农区初赛选拔的基础上，共有201位在岗农经人员进入复赛，其中50位选手通过进一步比拼成功进入个人决赛。根据市总工会竞赛办设立的奖项，以参赛选手个人决赛成绩作为评定标准，共产生个人赛一等奖1名 、二等奖 2名、三等奖3名，并将由市总工会颁发“南京市技术能手”、“南京市五一创新能手”、“南京市青年岗位能手”等荣誉奖项。</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eastAsia="仿宋"/>
          <w:color w:val="000000"/>
          <w:kern w:val="0"/>
          <w:sz w:val="32"/>
          <w:szCs w:val="32"/>
          <w:lang w:val="en-US" w:eastAsia="zh-CN"/>
        </w:rPr>
      </w:pPr>
      <w:r>
        <w:rPr>
          <w:rFonts w:hint="default" w:eastAsia="仿宋"/>
          <w:color w:val="000000"/>
          <w:kern w:val="0"/>
          <w:sz w:val="32"/>
          <w:szCs w:val="32"/>
          <w:lang w:val="en-US" w:eastAsia="zh-CN"/>
        </w:rPr>
        <w:t>市农业农村局授予12名同志“南京市农村资产财务管理最佳能手”称号、授予13名同志“南京市农村资产财务管理优秀能手”称号、授予25名同志“南京市农村资产财务管理能手”称号。综合各区参赛选手复、决赛成绩，江宁区、溧水区、高淳区、江北新区4个区农业农村局获得“优秀组织奖”荣誉。</w:t>
      </w:r>
    </w:p>
    <w:p>
      <w:pPr>
        <w:keepNext w:val="0"/>
        <w:keepLines w:val="0"/>
        <w:pageBreakBefore w:val="0"/>
        <w:widowControl/>
        <w:numPr>
          <w:ilvl w:val="0"/>
          <w:numId w:val="9"/>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eastAsia="仿宋"/>
          <w:color w:val="000000"/>
          <w:kern w:val="0"/>
          <w:sz w:val="32"/>
          <w:szCs w:val="32"/>
        </w:rPr>
      </w:pPr>
      <w:r>
        <w:rPr>
          <w:rFonts w:hint="eastAsia" w:eastAsia="仿宋"/>
          <w:color w:val="000000"/>
          <w:kern w:val="0"/>
          <w:sz w:val="32"/>
          <w:szCs w:val="32"/>
          <w:lang w:val="en-US" w:eastAsia="zh-CN"/>
        </w:rPr>
        <w:t>完成固定资产配置，维持日常工作运转</w:t>
      </w:r>
      <w:r>
        <w:rPr>
          <w:rFonts w:hint="eastAsia" w:eastAsia="仿宋"/>
          <w:color w:val="000000"/>
          <w:kern w:val="0"/>
          <w:sz w:val="32"/>
          <w:szCs w:val="32"/>
        </w:rPr>
        <w:t>。</w:t>
      </w:r>
    </w:p>
    <w:p>
      <w:pPr>
        <w:keepNext w:val="0"/>
        <w:keepLines w:val="0"/>
        <w:pageBreakBefore w:val="0"/>
        <w:widowControl/>
        <w:numPr>
          <w:ilvl w:val="0"/>
          <w:numId w:val="9"/>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eastAsia="仿宋"/>
          <w:color w:val="000000"/>
          <w:kern w:val="0"/>
          <w:sz w:val="32"/>
          <w:szCs w:val="32"/>
        </w:rPr>
      </w:pPr>
      <w:r>
        <w:rPr>
          <w:rFonts w:hint="eastAsia" w:eastAsia="仿宋"/>
          <w:color w:val="000000"/>
          <w:kern w:val="0"/>
          <w:sz w:val="32"/>
          <w:szCs w:val="32"/>
          <w:lang w:val="en-US" w:eastAsia="zh-CN"/>
        </w:rPr>
        <w:t>2022年，我单位农村会计培训项目因疫情原因未开展。</w:t>
      </w:r>
    </w:p>
    <w:p>
      <w:pPr>
        <w:widowControl/>
        <w:spacing w:line="600" w:lineRule="exact"/>
        <w:ind w:firstLine="640" w:firstLineChars="200"/>
        <w:jc w:val="left"/>
        <w:rPr>
          <w:rFonts w:hint="default" w:eastAsia="仿宋"/>
          <w:b w:val="0"/>
          <w:bCs w:val="0"/>
          <w:i w:val="0"/>
          <w:iCs w:val="0"/>
          <w:color w:val="000000"/>
          <w:kern w:val="0"/>
          <w:sz w:val="32"/>
          <w:szCs w:val="32"/>
          <w:u w:val="none"/>
          <w:lang w:val="en-US" w:eastAsia="zh-CN"/>
        </w:rPr>
      </w:pPr>
      <w:r>
        <w:rPr>
          <w:rFonts w:hint="eastAsia" w:eastAsia="仿宋"/>
          <w:color w:val="000000"/>
          <w:kern w:val="0"/>
          <w:sz w:val="32"/>
          <w:szCs w:val="32"/>
          <w:lang w:val="en-US" w:eastAsia="zh-CN"/>
        </w:rPr>
        <w:t>公众满意度：该指标未涉及。</w:t>
      </w:r>
    </w:p>
    <w:p>
      <w:pPr>
        <w:widowControl/>
        <w:numPr>
          <w:ilvl w:val="0"/>
          <w:numId w:val="10"/>
        </w:numPr>
        <w:spacing w:line="520" w:lineRule="exact"/>
        <w:ind w:firstLine="640" w:firstLineChars="200"/>
        <w:jc w:val="left"/>
        <w:rPr>
          <w:rFonts w:eastAsia="黑体"/>
          <w:color w:val="000000"/>
          <w:kern w:val="0"/>
          <w:sz w:val="32"/>
          <w:szCs w:val="32"/>
        </w:rPr>
      </w:pPr>
      <w:r>
        <w:rPr>
          <w:rFonts w:eastAsia="黑体"/>
          <w:color w:val="000000"/>
          <w:kern w:val="0"/>
          <w:sz w:val="32"/>
          <w:szCs w:val="32"/>
        </w:rPr>
        <w:t>存在问题及原因分析</w:t>
      </w:r>
    </w:p>
    <w:p>
      <w:pPr>
        <w:widowControl/>
        <w:numPr>
          <w:ilvl w:val="0"/>
          <w:numId w:val="11"/>
        </w:numPr>
        <w:spacing w:line="520" w:lineRule="exact"/>
        <w:ind w:firstLine="640" w:firstLineChars="200"/>
        <w:jc w:val="left"/>
        <w:rPr>
          <w:rFonts w:hint="eastAsia" w:eastAsia="仿宋"/>
          <w:color w:val="000000"/>
          <w:kern w:val="0"/>
          <w:sz w:val="32"/>
          <w:szCs w:val="32"/>
        </w:rPr>
      </w:pPr>
      <w:r>
        <w:rPr>
          <w:rFonts w:hint="eastAsia" w:eastAsia="仿宋"/>
          <w:color w:val="000000"/>
          <w:kern w:val="0"/>
          <w:sz w:val="32"/>
          <w:szCs w:val="32"/>
        </w:rPr>
        <w:t>前三个季度都能按规定科目使用预算安排经费</w:t>
      </w:r>
      <w:r>
        <w:rPr>
          <w:rFonts w:hint="eastAsia" w:eastAsia="仿宋"/>
          <w:color w:val="000000"/>
          <w:kern w:val="0"/>
          <w:sz w:val="32"/>
          <w:szCs w:val="32"/>
          <w:lang w:eastAsia="zh-CN"/>
        </w:rPr>
        <w:t>，</w:t>
      </w:r>
      <w:r>
        <w:rPr>
          <w:rFonts w:hint="eastAsia" w:eastAsia="仿宋"/>
          <w:color w:val="000000"/>
          <w:kern w:val="0"/>
          <w:sz w:val="32"/>
          <w:szCs w:val="32"/>
        </w:rPr>
        <w:t>到了最后一个季度</w:t>
      </w:r>
      <w:r>
        <w:rPr>
          <w:rFonts w:hint="eastAsia" w:eastAsia="仿宋"/>
          <w:color w:val="000000"/>
          <w:kern w:val="0"/>
          <w:sz w:val="32"/>
          <w:szCs w:val="32"/>
          <w:lang w:eastAsia="zh-CN"/>
        </w:rPr>
        <w:t>，</w:t>
      </w:r>
      <w:r>
        <w:rPr>
          <w:rFonts w:hint="eastAsia" w:eastAsia="仿宋"/>
          <w:color w:val="000000"/>
          <w:kern w:val="0"/>
          <w:sz w:val="32"/>
          <w:szCs w:val="32"/>
        </w:rPr>
        <w:t>各种工资计划、住房改革支出调整</w:t>
      </w:r>
      <w:r>
        <w:rPr>
          <w:rFonts w:hint="eastAsia" w:eastAsia="仿宋"/>
          <w:color w:val="000000"/>
          <w:kern w:val="0"/>
          <w:sz w:val="32"/>
          <w:szCs w:val="32"/>
          <w:lang w:eastAsia="zh-CN"/>
        </w:rPr>
        <w:t>，</w:t>
      </w:r>
      <w:r>
        <w:rPr>
          <w:rFonts w:hint="eastAsia" w:eastAsia="仿宋"/>
          <w:color w:val="000000"/>
          <w:kern w:val="0"/>
          <w:sz w:val="32"/>
          <w:szCs w:val="32"/>
        </w:rPr>
        <w:t>经济功能科目规范使用受到影响</w:t>
      </w:r>
      <w:r>
        <w:rPr>
          <w:rFonts w:hint="eastAsia" w:eastAsia="仿宋"/>
          <w:color w:val="000000"/>
          <w:kern w:val="0"/>
          <w:sz w:val="32"/>
          <w:szCs w:val="32"/>
          <w:lang w:eastAsia="zh-CN"/>
        </w:rPr>
        <w:t>，</w:t>
      </w:r>
      <w:r>
        <w:rPr>
          <w:rFonts w:hint="eastAsia" w:eastAsia="仿宋"/>
          <w:color w:val="000000"/>
          <w:kern w:val="0"/>
          <w:sz w:val="32"/>
          <w:szCs w:val="32"/>
        </w:rPr>
        <w:t>将在以后的工作中注意改进。</w:t>
      </w:r>
    </w:p>
    <w:p>
      <w:pPr>
        <w:widowControl/>
        <w:numPr>
          <w:ilvl w:val="0"/>
          <w:numId w:val="11"/>
        </w:numPr>
        <w:spacing w:line="520" w:lineRule="exact"/>
        <w:ind w:left="0" w:leftChars="0" w:firstLine="640" w:firstLineChars="200"/>
        <w:jc w:val="left"/>
        <w:rPr>
          <w:rFonts w:eastAsia="仿宋"/>
          <w:color w:val="000000"/>
          <w:kern w:val="0"/>
          <w:sz w:val="32"/>
          <w:szCs w:val="32"/>
        </w:rPr>
      </w:pPr>
      <w:r>
        <w:rPr>
          <w:rFonts w:hint="eastAsia" w:eastAsia="仿宋"/>
          <w:color w:val="000000"/>
          <w:kern w:val="0"/>
          <w:sz w:val="32"/>
          <w:szCs w:val="32"/>
        </w:rPr>
        <w:t>事业单位规模较小，对部门整体</w:t>
      </w:r>
      <w:r>
        <w:rPr>
          <w:rFonts w:hint="eastAsia" w:eastAsia="仿宋"/>
          <w:color w:val="000000"/>
          <w:kern w:val="0"/>
          <w:sz w:val="32"/>
          <w:szCs w:val="32"/>
          <w:lang w:val="en-US" w:eastAsia="zh-CN"/>
        </w:rPr>
        <w:t>绩效</w:t>
      </w:r>
      <w:r>
        <w:rPr>
          <w:rFonts w:hint="eastAsia" w:eastAsia="仿宋"/>
          <w:color w:val="000000"/>
          <w:kern w:val="0"/>
          <w:sz w:val="32"/>
          <w:szCs w:val="32"/>
        </w:rPr>
        <w:t>评价的评价分析做得不够。</w:t>
      </w:r>
    </w:p>
    <w:p>
      <w:pPr>
        <w:numPr>
          <w:ilvl w:val="0"/>
          <w:numId w:val="10"/>
        </w:numPr>
        <w:spacing w:line="520" w:lineRule="exact"/>
        <w:ind w:left="0" w:leftChars="0" w:firstLine="640" w:firstLineChars="200"/>
        <w:rPr>
          <w:rFonts w:eastAsia="黑体"/>
          <w:color w:val="000000"/>
          <w:kern w:val="0"/>
          <w:sz w:val="32"/>
          <w:szCs w:val="32"/>
        </w:rPr>
      </w:pPr>
      <w:r>
        <w:rPr>
          <w:rFonts w:eastAsia="黑体"/>
          <w:color w:val="000000"/>
          <w:kern w:val="0"/>
          <w:sz w:val="32"/>
          <w:szCs w:val="32"/>
        </w:rPr>
        <w:t>有关建议</w:t>
      </w:r>
    </w:p>
    <w:p>
      <w:pPr>
        <w:keepNext w:val="0"/>
        <w:keepLines w:val="0"/>
        <w:pageBreakBefore w:val="0"/>
        <w:widowControl/>
        <w:numPr>
          <w:ilvl w:val="0"/>
          <w:numId w:val="12"/>
        </w:numPr>
        <w:kinsoku/>
        <w:wordWrap/>
        <w:overflowPunct/>
        <w:topLinePunct w:val="0"/>
        <w:autoSpaceDE/>
        <w:autoSpaceDN/>
        <w:bidi w:val="0"/>
        <w:adjustRightInd/>
        <w:snapToGrid/>
        <w:spacing w:line="520" w:lineRule="exact"/>
        <w:ind w:firstLine="640" w:firstLineChars="200"/>
        <w:jc w:val="left"/>
        <w:textAlignment w:val="auto"/>
        <w:rPr>
          <w:rFonts w:hint="eastAsia" w:eastAsia="仿宋"/>
          <w:color w:val="000000"/>
          <w:kern w:val="0"/>
          <w:sz w:val="32"/>
          <w:szCs w:val="32"/>
        </w:rPr>
      </w:pPr>
      <w:r>
        <w:rPr>
          <w:rFonts w:hint="eastAsia" w:eastAsia="仿宋"/>
          <w:color w:val="000000"/>
          <w:kern w:val="0"/>
          <w:sz w:val="32"/>
          <w:szCs w:val="32"/>
        </w:rPr>
        <w:t>进一步提高预算的合理性、严谨性、人员经费预算足额编制，最大限度地利用好公用经费。</w:t>
      </w:r>
    </w:p>
    <w:p>
      <w:pPr>
        <w:keepNext w:val="0"/>
        <w:keepLines w:val="0"/>
        <w:pageBreakBefore w:val="0"/>
        <w:widowControl/>
        <w:numPr>
          <w:ilvl w:val="0"/>
          <w:numId w:val="12"/>
        </w:numPr>
        <w:kinsoku/>
        <w:wordWrap/>
        <w:overflowPunct/>
        <w:topLinePunct w:val="0"/>
        <w:autoSpaceDE/>
        <w:autoSpaceDN/>
        <w:bidi w:val="0"/>
        <w:adjustRightInd/>
        <w:snapToGrid/>
        <w:spacing w:line="520" w:lineRule="exact"/>
        <w:ind w:left="0" w:leftChars="0" w:firstLine="640" w:firstLineChars="200"/>
        <w:jc w:val="left"/>
        <w:textAlignment w:val="auto"/>
        <w:rPr>
          <w:rFonts w:ascii="仿宋" w:hAnsi="仿宋" w:eastAsia="仿宋" w:cs="宋体"/>
          <w:color w:val="000000"/>
          <w:kern w:val="0"/>
          <w:sz w:val="32"/>
          <w:szCs w:val="32"/>
        </w:rPr>
      </w:pPr>
      <w:r>
        <w:rPr>
          <w:rFonts w:hint="eastAsia" w:eastAsia="仿宋"/>
          <w:color w:val="000000"/>
          <w:kern w:val="0"/>
          <w:sz w:val="32"/>
          <w:szCs w:val="32"/>
        </w:rPr>
        <w:t>加强战略管理、运营绩效管理方面的培训，特别是业务人员，健全财务与业务的协同机制。</w:t>
      </w:r>
    </w:p>
    <w:p>
      <w:pPr>
        <w:spacing w:line="520" w:lineRule="exact"/>
        <w:ind w:firstLine="640" w:firstLineChars="200"/>
        <w:rPr>
          <w:rFonts w:eastAsia="黑体"/>
          <w:color w:val="000000"/>
          <w:kern w:val="0"/>
          <w:sz w:val="32"/>
          <w:szCs w:val="32"/>
        </w:rPr>
      </w:pPr>
      <w:r>
        <w:rPr>
          <w:rFonts w:eastAsia="黑体"/>
          <w:color w:val="000000"/>
          <w:kern w:val="0"/>
          <w:sz w:val="32"/>
          <w:szCs w:val="32"/>
        </w:rPr>
        <w:t>六、评价工作开展情况及其他需说明的情况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lang w:val="en-US" w:eastAsia="zh-CN"/>
        </w:rPr>
      </w:pPr>
      <w:r>
        <w:rPr>
          <w:rFonts w:hint="eastAsia" w:eastAsia="仿宋"/>
          <w:sz w:val="32"/>
          <w:szCs w:val="32"/>
          <w:lang w:val="en-US" w:eastAsia="zh-CN"/>
        </w:rPr>
        <w:t>无。</w:t>
      </w:r>
    </w:p>
    <w:p>
      <w:pPr>
        <w:spacing w:line="520" w:lineRule="exact"/>
        <w:ind w:firstLine="640" w:firstLineChars="200"/>
        <w:rPr>
          <w:rFonts w:eastAsia="仿宋"/>
          <w:b w:val="0"/>
          <w:bCs w:val="0"/>
          <w:i w:val="0"/>
          <w:iCs w:val="0"/>
          <w:color w:val="000000"/>
          <w:kern w:val="0"/>
          <w:sz w:val="32"/>
          <w:szCs w:val="32"/>
          <w:u w:val="none"/>
        </w:rPr>
      </w:pPr>
      <w:r>
        <w:rPr>
          <w:rFonts w:eastAsia="仿宋"/>
          <w:color w:val="000000"/>
          <w:kern w:val="0"/>
          <w:sz w:val="32"/>
          <w:szCs w:val="32"/>
        </w:rPr>
        <w:t>附件：1.</w:t>
      </w:r>
      <w:r>
        <w:rPr>
          <w:rFonts w:eastAsia="仿宋"/>
          <w:b w:val="0"/>
          <w:bCs w:val="0"/>
          <w:i w:val="0"/>
          <w:iCs w:val="0"/>
          <w:color w:val="000000"/>
          <w:kern w:val="0"/>
          <w:sz w:val="32"/>
          <w:szCs w:val="32"/>
          <w:u w:val="none"/>
        </w:rPr>
        <w:t>指标体系得分情况</w:t>
      </w: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rPr>
          <w:rFonts w:eastAsia="仿宋"/>
          <w:b w:val="0"/>
          <w:bCs w:val="0"/>
          <w:i w:val="0"/>
          <w:iCs w:val="0"/>
          <w:color w:val="000000"/>
          <w:kern w:val="0"/>
          <w:sz w:val="32"/>
          <w:szCs w:val="32"/>
          <w:u w:val="none"/>
        </w:rPr>
      </w:pPr>
    </w:p>
    <w:p>
      <w:pPr>
        <w:spacing w:line="520" w:lineRule="exact"/>
        <w:ind w:firstLine="640" w:firstLineChars="200"/>
        <w:jc w:val="right"/>
        <w:rPr>
          <w:rFonts w:eastAsia="仿宋"/>
          <w:b w:val="0"/>
          <w:bCs w:val="0"/>
          <w:i w:val="0"/>
          <w:iCs w:val="0"/>
          <w:color w:val="000000"/>
          <w:kern w:val="0"/>
          <w:sz w:val="32"/>
          <w:szCs w:val="32"/>
          <w:u w:val="none"/>
        </w:rPr>
      </w:pPr>
      <w:r>
        <w:rPr>
          <w:rFonts w:eastAsia="仿宋"/>
          <w:b w:val="0"/>
          <w:bCs w:val="0"/>
          <w:i w:val="0"/>
          <w:iCs w:val="0"/>
          <w:color w:val="000000"/>
          <w:kern w:val="0"/>
          <w:sz w:val="32"/>
          <w:szCs w:val="32"/>
          <w:u w:val="none"/>
        </w:rPr>
        <w:t>南京市农村合作经济经营管理站</w:t>
      </w:r>
    </w:p>
    <w:p>
      <w:pPr>
        <w:spacing w:line="520" w:lineRule="exact"/>
        <w:ind w:firstLine="640" w:firstLineChars="200"/>
        <w:jc w:val="center"/>
        <w:rPr>
          <w:rFonts w:eastAsia="仿宋"/>
          <w:b w:val="0"/>
          <w:bCs w:val="0"/>
          <w:i w:val="0"/>
          <w:iCs w:val="0"/>
          <w:color w:val="000000"/>
          <w:kern w:val="0"/>
          <w:sz w:val="32"/>
          <w:szCs w:val="32"/>
          <w:u w:val="none"/>
        </w:rPr>
      </w:pPr>
      <w:r>
        <w:rPr>
          <w:rFonts w:hint="eastAsia" w:eastAsia="仿宋"/>
          <w:b w:val="0"/>
          <w:bCs w:val="0"/>
          <w:i w:val="0"/>
          <w:iCs w:val="0"/>
          <w:color w:val="000000"/>
          <w:kern w:val="0"/>
          <w:sz w:val="32"/>
          <w:szCs w:val="32"/>
          <w:u w:val="none"/>
          <w:lang w:val="en-US" w:eastAsia="zh-CN"/>
        </w:rPr>
        <w:t xml:space="preserve">                    </w:t>
      </w:r>
      <w:bookmarkStart w:id="1" w:name="_GoBack"/>
      <w:bookmarkEnd w:id="1"/>
      <w:r>
        <w:rPr>
          <w:rFonts w:eastAsia="仿宋"/>
          <w:b w:val="0"/>
          <w:bCs w:val="0"/>
          <w:i w:val="0"/>
          <w:iCs w:val="0"/>
          <w:color w:val="000000"/>
          <w:kern w:val="0"/>
          <w:sz w:val="32"/>
          <w:szCs w:val="32"/>
          <w:u w:val="none"/>
        </w:rPr>
        <w:t>202</w:t>
      </w:r>
      <w:r>
        <w:rPr>
          <w:rFonts w:hint="eastAsia" w:eastAsia="仿宋"/>
          <w:b w:val="0"/>
          <w:bCs w:val="0"/>
          <w:i w:val="0"/>
          <w:iCs w:val="0"/>
          <w:color w:val="000000"/>
          <w:kern w:val="0"/>
          <w:sz w:val="32"/>
          <w:szCs w:val="32"/>
          <w:u w:val="none"/>
          <w:lang w:val="en-US" w:eastAsia="zh-CN"/>
        </w:rPr>
        <w:t>3</w:t>
      </w:r>
      <w:r>
        <w:rPr>
          <w:rFonts w:eastAsia="仿宋"/>
          <w:b w:val="0"/>
          <w:bCs w:val="0"/>
          <w:i w:val="0"/>
          <w:iCs w:val="0"/>
          <w:color w:val="000000"/>
          <w:kern w:val="0"/>
          <w:sz w:val="32"/>
          <w:szCs w:val="32"/>
          <w:u w:val="none"/>
        </w:rPr>
        <w:t>年</w:t>
      </w:r>
      <w:r>
        <w:rPr>
          <w:rFonts w:hint="eastAsia" w:eastAsia="仿宋"/>
          <w:b w:val="0"/>
          <w:bCs w:val="0"/>
          <w:i w:val="0"/>
          <w:iCs w:val="0"/>
          <w:color w:val="000000"/>
          <w:kern w:val="0"/>
          <w:sz w:val="32"/>
          <w:szCs w:val="32"/>
          <w:u w:val="none"/>
          <w:lang w:val="en-US" w:eastAsia="zh-CN"/>
        </w:rPr>
        <w:t>6</w:t>
      </w:r>
      <w:r>
        <w:rPr>
          <w:rFonts w:eastAsia="仿宋"/>
          <w:b w:val="0"/>
          <w:bCs w:val="0"/>
          <w:i w:val="0"/>
          <w:iCs w:val="0"/>
          <w:color w:val="000000"/>
          <w:kern w:val="0"/>
          <w:sz w:val="32"/>
          <w:szCs w:val="32"/>
          <w:u w:val="none"/>
        </w:rPr>
        <w:t>月</w:t>
      </w:r>
      <w:r>
        <w:rPr>
          <w:rFonts w:hint="eastAsia" w:eastAsia="仿宋"/>
          <w:b w:val="0"/>
          <w:bCs w:val="0"/>
          <w:i w:val="0"/>
          <w:iCs w:val="0"/>
          <w:color w:val="000000"/>
          <w:kern w:val="0"/>
          <w:sz w:val="32"/>
          <w:szCs w:val="32"/>
          <w:u w:val="none"/>
          <w:lang w:val="en-US" w:eastAsia="zh-CN"/>
        </w:rPr>
        <w:t>27</w:t>
      </w:r>
      <w:r>
        <w:rPr>
          <w:rFonts w:eastAsia="仿宋"/>
          <w:b w:val="0"/>
          <w:bCs w:val="0"/>
          <w:i w:val="0"/>
          <w:iCs w:val="0"/>
          <w:color w:val="000000"/>
          <w:kern w:val="0"/>
          <w:sz w:val="32"/>
          <w:szCs w:val="32"/>
          <w:u w:val="none"/>
        </w:rPr>
        <w:t>日</w:t>
      </w:r>
    </w:p>
    <w:p>
      <w:pPr>
        <w:spacing w:line="520" w:lineRule="exact"/>
        <w:ind w:firstLine="640" w:firstLineChars="200"/>
        <w:rPr>
          <w:rFonts w:eastAsia="仿宋"/>
          <w:b w:val="0"/>
          <w:bCs w:val="0"/>
          <w:i w:val="0"/>
          <w:iCs w:val="0"/>
          <w:color w:val="000000"/>
          <w:kern w:val="0"/>
          <w:sz w:val="32"/>
          <w:szCs w:val="32"/>
          <w:u w:val="none"/>
        </w:rPr>
        <w:sectPr>
          <w:pgSz w:w="11906" w:h="16838"/>
          <w:pgMar w:top="1440" w:right="1800" w:bottom="1440" w:left="1800" w:header="851" w:footer="992" w:gutter="0"/>
          <w:cols w:space="425" w:num="1"/>
          <w:docGrid w:type="lines" w:linePitch="312" w:charSpace="0"/>
        </w:sectPr>
      </w:pPr>
    </w:p>
    <w:p>
      <w:pPr>
        <w:ind w:firstLine="198" w:firstLineChars="71"/>
        <w:rPr>
          <w:rFonts w:eastAsia="仿宋"/>
          <w:sz w:val="28"/>
        </w:rPr>
      </w:pPr>
      <w:r>
        <w:rPr>
          <w:rFonts w:eastAsia="仿宋"/>
          <w:sz w:val="28"/>
        </w:rPr>
        <w:t>附件1：部门整体绩效评价指标框架</w:t>
      </w:r>
    </w:p>
    <w:tbl>
      <w:tblPr>
        <w:tblStyle w:val="2"/>
        <w:tblW w:w="13575" w:type="dxa"/>
        <w:tblInd w:w="0" w:type="dxa"/>
        <w:tblLayout w:type="fixed"/>
        <w:tblCellMar>
          <w:top w:w="0" w:type="dxa"/>
          <w:left w:w="108" w:type="dxa"/>
          <w:bottom w:w="0" w:type="dxa"/>
          <w:right w:w="108" w:type="dxa"/>
        </w:tblCellMar>
      </w:tblPr>
      <w:tblGrid>
        <w:gridCol w:w="1242"/>
        <w:gridCol w:w="1560"/>
        <w:gridCol w:w="4110"/>
        <w:gridCol w:w="2977"/>
        <w:gridCol w:w="2008"/>
        <w:gridCol w:w="1678"/>
      </w:tblGrid>
      <w:tr>
        <w:tblPrEx>
          <w:tblCellMar>
            <w:top w:w="0" w:type="dxa"/>
            <w:left w:w="108" w:type="dxa"/>
            <w:bottom w:w="0" w:type="dxa"/>
            <w:right w:w="108" w:type="dxa"/>
          </w:tblCellMar>
        </w:tblPrEx>
        <w:trPr>
          <w:trHeight w:val="457" w:hRule="atLeast"/>
          <w:tblHead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eastAsia="仿宋"/>
                <w:b/>
                <w:bCs/>
                <w:color w:val="000000"/>
                <w:kern w:val="0"/>
                <w:sz w:val="24"/>
              </w:rPr>
            </w:pPr>
            <w:r>
              <w:rPr>
                <w:rFonts w:eastAsia="仿宋"/>
                <w:b/>
                <w:bCs/>
                <w:color w:val="000000"/>
                <w:kern w:val="0"/>
                <w:sz w:val="24"/>
              </w:rPr>
              <w:t>一级指标</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
                <w:b/>
                <w:bCs/>
                <w:color w:val="000000"/>
                <w:kern w:val="0"/>
                <w:sz w:val="24"/>
              </w:rPr>
            </w:pPr>
            <w:r>
              <w:rPr>
                <w:rFonts w:eastAsia="仿宋"/>
                <w:b/>
                <w:bCs/>
                <w:color w:val="000000"/>
                <w:kern w:val="0"/>
                <w:sz w:val="24"/>
              </w:rPr>
              <w:t>二级指标</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
                <w:b/>
                <w:bCs/>
                <w:color w:val="000000"/>
                <w:kern w:val="0"/>
                <w:sz w:val="24"/>
              </w:rPr>
            </w:pPr>
            <w:r>
              <w:rPr>
                <w:rFonts w:eastAsia="仿宋"/>
                <w:b/>
                <w:bCs/>
                <w:color w:val="000000"/>
                <w:kern w:val="0"/>
                <w:sz w:val="24"/>
              </w:rPr>
              <w:t>三级指标（参考）</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
                <w:b/>
                <w:bCs/>
                <w:color w:val="000000"/>
                <w:kern w:val="0"/>
                <w:sz w:val="24"/>
              </w:rPr>
            </w:pPr>
            <w:r>
              <w:rPr>
                <w:rFonts w:eastAsia="仿宋"/>
                <w:b/>
                <w:bCs/>
                <w:color w:val="000000"/>
                <w:kern w:val="0"/>
                <w:sz w:val="24"/>
              </w:rPr>
              <w:t>指标说明</w:t>
            </w:r>
          </w:p>
        </w:tc>
        <w:tc>
          <w:tcPr>
            <w:tcW w:w="2008" w:type="dxa"/>
            <w:tcBorders>
              <w:top w:val="single" w:color="auto" w:sz="8" w:space="0"/>
              <w:left w:val="nil"/>
              <w:bottom w:val="single" w:color="auto" w:sz="8" w:space="0"/>
              <w:right w:val="single" w:color="auto" w:sz="4" w:space="0"/>
            </w:tcBorders>
          </w:tcPr>
          <w:p>
            <w:pPr>
              <w:widowControl/>
              <w:jc w:val="center"/>
              <w:rPr>
                <w:rFonts w:eastAsia="仿宋"/>
                <w:b/>
                <w:bCs/>
                <w:color w:val="000000"/>
                <w:kern w:val="0"/>
                <w:sz w:val="24"/>
              </w:rPr>
            </w:pPr>
            <w:r>
              <w:rPr>
                <w:rFonts w:eastAsia="仿宋"/>
                <w:b/>
                <w:bCs/>
                <w:color w:val="000000"/>
                <w:kern w:val="0"/>
                <w:sz w:val="24"/>
              </w:rPr>
              <w:t>评价要点</w:t>
            </w:r>
          </w:p>
        </w:tc>
        <w:tc>
          <w:tcPr>
            <w:tcW w:w="167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eastAsia="仿宋"/>
                <w:b/>
                <w:bCs/>
                <w:color w:val="000000"/>
                <w:kern w:val="0"/>
                <w:sz w:val="24"/>
              </w:rPr>
            </w:pPr>
            <w:r>
              <w:rPr>
                <w:rFonts w:eastAsia="仿宋"/>
                <w:b/>
                <w:bCs/>
                <w:color w:val="000000"/>
                <w:kern w:val="0"/>
                <w:sz w:val="24"/>
              </w:rPr>
              <w:t>自评得分</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A单位决策（15分）</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A1决策机制（5分）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A11决策制度的规范性（1分）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b/>
                <w:bCs/>
                <w:color w:val="000000"/>
                <w:kern w:val="0"/>
                <w:sz w:val="24"/>
              </w:rPr>
            </w:pPr>
            <w:r>
              <w:rPr>
                <w:rFonts w:eastAsia="仿宋"/>
                <w:b/>
                <w:bCs/>
                <w:color w:val="000000"/>
                <w:kern w:val="0"/>
                <w:sz w:val="24"/>
              </w:rPr>
              <w:t>　</w:t>
            </w:r>
            <w:r>
              <w:rPr>
                <w:rFonts w:eastAsia="仿宋"/>
                <w:color w:val="000000"/>
                <w:kern w:val="0"/>
                <w:sz w:val="24"/>
              </w:rPr>
              <w:t>“规范”衡量流程执行</w:t>
            </w:r>
          </w:p>
        </w:tc>
        <w:tc>
          <w:tcPr>
            <w:tcW w:w="2008" w:type="dxa"/>
            <w:tcBorders>
              <w:top w:val="nil"/>
              <w:left w:val="nil"/>
              <w:bottom w:val="single" w:color="auto" w:sz="8" w:space="0"/>
              <w:right w:val="single" w:color="auto" w:sz="4" w:space="0"/>
            </w:tcBorders>
          </w:tcPr>
          <w:p>
            <w:pPr>
              <w:widowControl/>
              <w:jc w:val="left"/>
              <w:rPr>
                <w:rFonts w:eastAsia="仿宋"/>
                <w:bCs/>
                <w:color w:val="000000"/>
                <w:kern w:val="0"/>
                <w:sz w:val="24"/>
              </w:rPr>
            </w:pPr>
            <w:r>
              <w:rPr>
                <w:rFonts w:eastAsia="仿宋"/>
                <w:bCs/>
                <w:color w:val="000000"/>
                <w:kern w:val="0"/>
                <w:sz w:val="24"/>
              </w:rPr>
              <w:t>决策制度有相关的流程图</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bCs/>
                <w:color w:val="000000"/>
                <w:kern w:val="0"/>
                <w:sz w:val="24"/>
              </w:rPr>
            </w:pPr>
            <w:r>
              <w:rPr>
                <w:rFonts w:eastAsia="仿宋"/>
                <w:b/>
                <w:bCs/>
                <w:color w:val="000000"/>
                <w:kern w:val="0"/>
                <w:sz w:val="24"/>
              </w:rPr>
              <w:t>　</w:t>
            </w:r>
            <w:r>
              <w:rPr>
                <w:rFonts w:eastAsia="仿宋"/>
                <w:bCs/>
                <w:color w:val="000000"/>
                <w:kern w:val="0"/>
                <w:sz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A12决策流程的科学性（2分）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“科学”衡量流程的设计</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流程设计科学合理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A13决策执行监督制衡机制（2分）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监督制衡机制的设置与运行</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2"/>
              </w:rPr>
            </w:pPr>
            <w:r>
              <w:rPr>
                <w:rFonts w:eastAsia="仿宋"/>
                <w:color w:val="000000"/>
                <w:kern w:val="0"/>
                <w:sz w:val="22"/>
              </w:rPr>
              <w:t>监督制衡机制设置有效且正常运行</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2"/>
              </w:rPr>
            </w:pPr>
            <w:r>
              <w:rPr>
                <w:rFonts w:eastAsia="仿宋"/>
                <w:color w:val="000000"/>
                <w:kern w:val="0"/>
                <w:sz w:val="22"/>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A2中长期规划（3分）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A21中长期规划明确性（2分）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符合国家法律法规、国民经济和社会发展规划要求</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具体明确可执行</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A22中长期规划与部门职能的匹配性（1分）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与单位职能、发展规划和工作计划密切相关</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部门职能相匹配</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A3年度工作计划（3分）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A31年度工作计划明确性（2分）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年度工作计划明确可行</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评价年度工作计划是否明确可执行</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A32年度工作计划与部门职能的匹配性（1分）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与部门职能密切相关</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评价其与部门职能相匹配</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A4部门预算编制（4分）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A41预算编制科学规范（2分）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预算编制指“内部预算编制”，“科学”衡量制度设计，“规范”衡量流程执行</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检查相关的预算制度文件</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A42预算编制与重点工作任务的匹配性（2分）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预算编制指“内部预算编制”</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工作任务分解表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2</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B单位管理（20分）</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B1预算执行（4分）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B11部门预算执行率（1分）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与市财政局预算处考核口径一致</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2"/>
              </w:rPr>
            </w:pPr>
            <w:r>
              <w:rPr>
                <w:rFonts w:eastAsia="仿宋"/>
                <w:color w:val="000000"/>
                <w:kern w:val="0"/>
                <w:sz w:val="24"/>
              </w:rPr>
              <w:t>与市财政局预算处考核口径一致</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2"/>
              </w:rPr>
            </w:pPr>
            <w:r>
              <w:rPr>
                <w:rFonts w:eastAsia="仿宋"/>
                <w:color w:val="000000"/>
                <w:kern w:val="0"/>
                <w:sz w:val="22"/>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B12专项资金执行率（1分）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与市财政局预算处考核口径一致</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2"/>
              </w:rPr>
            </w:pPr>
            <w:r>
              <w:rPr>
                <w:rFonts w:eastAsia="仿宋"/>
                <w:color w:val="000000"/>
                <w:kern w:val="0"/>
                <w:sz w:val="24"/>
              </w:rPr>
              <w:t>与市财政局预算处考核口径一致</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2"/>
              </w:rPr>
            </w:pPr>
            <w:r>
              <w:rPr>
                <w:rFonts w:eastAsia="仿宋"/>
                <w:color w:val="000000"/>
                <w:kern w:val="0"/>
                <w:sz w:val="22"/>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B13“三公”经费控制率（1分）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“三公”经费使用超支扣分，若不超支则不扣分</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2"/>
              </w:rPr>
            </w:pPr>
            <w:r>
              <w:rPr>
                <w:rFonts w:eastAsia="仿宋"/>
                <w:color w:val="000000"/>
                <w:kern w:val="0"/>
                <w:sz w:val="22"/>
              </w:rPr>
              <w:t>三公经费使用情况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2"/>
              </w:rPr>
            </w:pPr>
            <w:r>
              <w:rPr>
                <w:rFonts w:eastAsia="仿宋"/>
                <w:color w:val="000000"/>
                <w:kern w:val="0"/>
                <w:sz w:val="22"/>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xml:space="preserve">B14预决算信息公开情况（1分） </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预决算是否在“双平台”进行公开，内容和时限是否符合要求</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2"/>
              </w:rPr>
            </w:pPr>
            <w:r>
              <w:rPr>
                <w:rFonts w:eastAsia="仿宋"/>
                <w:color w:val="000000"/>
                <w:kern w:val="0"/>
                <w:sz w:val="22"/>
              </w:rPr>
              <w:t>积极配合主管部门完成预决算信息公开工作</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left"/>
              <w:rPr>
                <w:rFonts w:eastAsia="仿宋"/>
                <w:color w:val="000000"/>
                <w:kern w:val="0"/>
                <w:sz w:val="22"/>
              </w:rPr>
            </w:pPr>
            <w:r>
              <w:rPr>
                <w:rFonts w:eastAsia="仿宋"/>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B2收支管理（2分）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B21收支管理制度健全性（1分）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制度建立健全</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制度建立健全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B22收支管理是否按制度执行    （1分）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制度执行并运行有效</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制度执行并运行有效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B3资产管理（2分）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B31资产管理制度健全性（1分）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制度建立健全</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制度是否建立健全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B32资产管理是否按制度执行    （1分）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制度执行并运行有效</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制度是否执行并运行有效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B4政府采购管理（2分）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B41政府采购管理制度健全性（1分）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制度建立健全</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制度是否建立健全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B42政府采购管理是否按制度执行（1分）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制度执行并运行有效</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制度是否执行并运行有效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B5建设项目管理（适用）（2分）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B51建设项目管理制度健全性（1分）</w:t>
            </w:r>
          </w:p>
        </w:tc>
        <w:tc>
          <w:tcPr>
            <w:tcW w:w="297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此项指标根据各个单位具体职能选择是否适用</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如不适用得满分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B52建设项目管理是否按制度执行（1分）</w:t>
            </w:r>
          </w:p>
        </w:tc>
        <w:tc>
          <w:tcPr>
            <w:tcW w:w="2977"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
                <w:color w:val="000000"/>
                <w:kern w:val="0"/>
                <w:sz w:val="24"/>
              </w:rPr>
            </w:pPr>
          </w:p>
        </w:tc>
        <w:tc>
          <w:tcPr>
            <w:tcW w:w="2008" w:type="dxa"/>
            <w:tcBorders>
              <w:top w:val="single" w:color="auto" w:sz="4" w:space="0"/>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如不适用得满分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B6内部控制管理（4分）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B61内部控制建设情况（2分）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内部控制领导小组、工作小组的成立、内控制度设计、手册编制等</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是否成立内控领导小组、工作小组，是否有内部控制制度落实在手册等文本上</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hint="eastAsia" w:eastAsia="仿宋"/>
                <w:color w:val="000000"/>
                <w:kern w:val="0"/>
                <w:sz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B62内部控制执行情况（1分）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内部控制执行并一贯执行</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通过重新执行程序评价内控是否有效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B63内部控制监督评价（1分）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内部控制监督设计评价和运行评价</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是否有单位内部内控评价报告</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B7预算绩效管理（4分）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B71组织管理情况（1分）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主要包含制度建设、职能配置、分行业的指标体系</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是否有制度建设，与职能配置情况，指标体系构成</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B72工作开展情况（1分）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包含事前评估、目标管理、跟踪评价、自评价和整改落实</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考察政策（项目）是否有5个报告</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B73绩效信息公开（2分）</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绩效信息是否按照规定的内容和时限在“双平台”进行公开</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　积极配合主管部门完成相关数据的提供</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2</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C单位履职(可选方式1：重点工作完成情况)（30分）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C1重点工作数量完成率（10分）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与年初计划相比较</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检查数量完成情况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C2重点工作质量达标率（10分）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与年初自定的绩效目标相比较</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检查质量完成情况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10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C3重点工作完成及时率（10分）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参照财政部门及主管部门规定的要求</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检查比如资金的使用，审计报告、验收报告等完成情况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w:t>
            </w:r>
            <w:r>
              <w:rPr>
                <w:rFonts w:hint="eastAsia" w:eastAsia="仿宋"/>
                <w:color w:val="000000"/>
                <w:kern w:val="0"/>
                <w:sz w:val="24"/>
              </w:rPr>
              <w:t>10</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D履职绩效（30分）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D1经济效益（8分）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经济活动中取得的收益性成果</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计算经济性成果</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8</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D2社会效益（8分）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xml:space="preserve">　经济效益之外的对社会有益的效果 </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 xml:space="preserve">评价社会性有益效果 </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8</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D3生态效益（8分）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生态平衡和生态系统的良性高效循环</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评价生态平衡及系统循环情况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8</w:t>
            </w:r>
          </w:p>
        </w:tc>
      </w:tr>
      <w:tr>
        <w:tblPrEx>
          <w:tblCellMar>
            <w:top w:w="0" w:type="dxa"/>
            <w:left w:w="108" w:type="dxa"/>
            <w:bottom w:w="0" w:type="dxa"/>
            <w:right w:w="108" w:type="dxa"/>
          </w:tblCellMar>
        </w:tblPrEx>
        <w:trPr>
          <w:trHeight w:val="915" w:hRule="atLeast"/>
        </w:trPr>
        <w:tc>
          <w:tcPr>
            <w:tcW w:w="1242" w:type="dxa"/>
            <w:vMerge w:val="continue"/>
            <w:tcBorders>
              <w:left w:val="single" w:color="auto" w:sz="8" w:space="0"/>
              <w:bottom w:val="single" w:color="auto" w:sz="4"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D4满意度（6分）</w:t>
            </w:r>
          </w:p>
        </w:tc>
        <w:tc>
          <w:tcPr>
            <w:tcW w:w="4110" w:type="dxa"/>
            <w:tcBorders>
              <w:top w:val="nil"/>
              <w:left w:val="nil"/>
              <w:bottom w:val="single" w:color="auto" w:sz="4"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color="auto" w:sz="4"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包含服务对象（可选）、管理对象（可选）、间接受益对象（可选）等</w:t>
            </w:r>
          </w:p>
        </w:tc>
        <w:tc>
          <w:tcPr>
            <w:tcW w:w="2008" w:type="dxa"/>
            <w:tcBorders>
              <w:top w:val="nil"/>
              <w:left w:val="nil"/>
              <w:bottom w:val="single" w:color="auto" w:sz="4"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涉及检查服务对象、管理对象、间接受益对象评价表；未涉及可得满分</w:t>
            </w:r>
          </w:p>
        </w:tc>
        <w:tc>
          <w:tcPr>
            <w:tcW w:w="1678" w:type="dxa"/>
            <w:tcBorders>
              <w:top w:val="nil"/>
              <w:left w:val="single" w:color="auto" w:sz="4" w:space="0"/>
              <w:bottom w:val="single" w:color="auto" w:sz="4" w:space="0"/>
              <w:right w:val="single" w:color="auto" w:sz="8" w:space="0"/>
            </w:tcBorders>
            <w:shd w:val="clear" w:color="auto" w:fill="auto"/>
            <w:vAlign w:val="center"/>
          </w:tcPr>
          <w:p>
            <w:pPr>
              <w:widowControl/>
              <w:ind w:firstLine="240" w:firstLineChars="100"/>
              <w:jc w:val="left"/>
              <w:rPr>
                <w:rFonts w:eastAsia="仿宋"/>
                <w:color w:val="000000"/>
                <w:kern w:val="0"/>
                <w:sz w:val="24"/>
              </w:rPr>
            </w:pPr>
            <w:r>
              <w:rPr>
                <w:rFonts w:eastAsia="仿宋"/>
                <w:color w:val="000000"/>
                <w:kern w:val="0"/>
                <w:sz w:val="24"/>
              </w:rPr>
              <w:t>6</w:t>
            </w:r>
          </w:p>
        </w:tc>
      </w:tr>
      <w:tr>
        <w:tblPrEx>
          <w:tblCellMar>
            <w:top w:w="0" w:type="dxa"/>
            <w:left w:w="108" w:type="dxa"/>
            <w:bottom w:w="0" w:type="dxa"/>
            <w:right w:w="108" w:type="dxa"/>
          </w:tblCellMar>
        </w:tblPrEx>
        <w:trPr>
          <w:trHeight w:val="600" w:hRule="atLeast"/>
        </w:trPr>
        <w:tc>
          <w:tcPr>
            <w:tcW w:w="124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E可持续发展能力（5分）</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E1信息化建设情况（2分）</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不设三级指标</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办公流程、业务开展是否能通过单位的信息系统实现</w:t>
            </w:r>
          </w:p>
        </w:tc>
        <w:tc>
          <w:tcPr>
            <w:tcW w:w="2008" w:type="dxa"/>
            <w:tcBorders>
              <w:top w:val="single" w:color="auto" w:sz="8" w:space="0"/>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检查或进行穿行测试</w:t>
            </w:r>
          </w:p>
        </w:tc>
        <w:tc>
          <w:tcPr>
            <w:tcW w:w="167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2</w:t>
            </w: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E2人力资源建设情况（1分）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等线"/>
                <w:color w:val="000000"/>
                <w:kern w:val="0"/>
                <w:sz w:val="22"/>
              </w:rPr>
            </w:pPr>
            <w:r>
              <w:rPr>
                <w:rFonts w:eastAsia="等线"/>
                <w:color w:val="000000"/>
                <w:kern w:val="0"/>
                <w:sz w:val="22"/>
              </w:rPr>
              <w:t>　</w:t>
            </w: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包含人才培养计划、人才选拔运用、激励措施等</w:t>
            </w:r>
          </w:p>
        </w:tc>
        <w:tc>
          <w:tcPr>
            <w:tcW w:w="2008" w:type="dxa"/>
            <w:tcBorders>
              <w:top w:val="nil"/>
              <w:left w:val="nil"/>
              <w:bottom w:val="single" w:color="auto" w:sz="8" w:space="0"/>
              <w:right w:val="single" w:color="auto" w:sz="4" w:space="0"/>
            </w:tcBorders>
          </w:tcPr>
          <w:p>
            <w:pPr>
              <w:widowControl/>
              <w:jc w:val="left"/>
              <w:rPr>
                <w:rFonts w:eastAsia="仿宋"/>
                <w:color w:val="000000"/>
                <w:kern w:val="0"/>
                <w:sz w:val="24"/>
              </w:rPr>
            </w:pPr>
            <w:r>
              <w:rPr>
                <w:rFonts w:eastAsia="仿宋"/>
                <w:color w:val="000000"/>
                <w:kern w:val="0"/>
                <w:sz w:val="24"/>
              </w:rPr>
              <w:t>适用检查是否有人才培养计划、人才选拔运用及激励措施方面形成的文件；不适用可得满分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等线"/>
                <w:color w:val="000000"/>
                <w:kern w:val="0"/>
                <w:sz w:val="22"/>
              </w:rPr>
            </w:pPr>
            <w:r>
              <w:rPr>
                <w:rFonts w:eastAsia="等线"/>
                <w:color w:val="000000"/>
                <w:kern w:val="0"/>
                <w:sz w:val="22"/>
              </w:rPr>
              <w:t>　1</w:t>
            </w: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E3部门创新情况（2分）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2"/>
              </w:rPr>
            </w:pPr>
            <w:r>
              <w:rPr>
                <w:rFonts w:eastAsia="仿宋"/>
                <w:color w:val="000000"/>
                <w:kern w:val="0"/>
                <w:sz w:val="22"/>
              </w:rPr>
              <w:t>　</w:t>
            </w: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包含制度创新、方法创新等</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2"/>
              </w:rPr>
            </w:pPr>
            <w:r>
              <w:rPr>
                <w:rFonts w:eastAsia="仿宋"/>
                <w:color w:val="000000"/>
                <w:kern w:val="0"/>
                <w:sz w:val="22"/>
              </w:rPr>
              <w:t>部门（单位）需提供创新案例被官方媒体报道的佐证材料</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left"/>
              <w:rPr>
                <w:rFonts w:eastAsia="仿宋"/>
                <w:color w:val="000000"/>
                <w:kern w:val="0"/>
                <w:sz w:val="22"/>
              </w:rPr>
            </w:pPr>
            <w:r>
              <w:rPr>
                <w:rFonts w:eastAsia="仿宋"/>
                <w:color w:val="000000"/>
                <w:kern w:val="0"/>
                <w:sz w:val="22"/>
              </w:rPr>
              <w:t>2</w:t>
            </w:r>
          </w:p>
        </w:tc>
      </w:tr>
      <w:tr>
        <w:tblPrEx>
          <w:tblCellMar>
            <w:top w:w="0" w:type="dxa"/>
            <w:left w:w="108" w:type="dxa"/>
            <w:bottom w:w="0" w:type="dxa"/>
            <w:right w:w="108" w:type="dxa"/>
          </w:tblCellMar>
        </w:tblPrEx>
        <w:trPr>
          <w:trHeight w:val="923"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F加减分项（≤5分）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F1加分项</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　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部门（单位）受到国务院、省级、市级嘉奖</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受到国务院嘉奖加3分，受到省级嘉奖加2分，得到市级考核一等奖加1分，得到市级考核二等奖加0.5分；同一项工作不累计加分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color w:val="000000"/>
                <w:kern w:val="0"/>
                <w:sz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F2减分项</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eastAsia="等线"/>
                <w:color w:val="000000"/>
                <w:kern w:val="0"/>
                <w:sz w:val="22"/>
              </w:rPr>
            </w:pPr>
            <w:r>
              <w:rPr>
                <w:rFonts w:eastAsia="等线"/>
                <w:color w:val="000000"/>
                <w:kern w:val="0"/>
                <w:sz w:val="22"/>
              </w:rPr>
              <w:t>　</w:t>
            </w:r>
            <w:r>
              <w:rPr>
                <w:rFonts w:eastAsia="仿宋"/>
                <w:color w:val="000000"/>
                <w:kern w:val="0"/>
                <w:sz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eastAsia="仿宋"/>
                <w:color w:val="000000"/>
                <w:kern w:val="0"/>
                <w:sz w:val="24"/>
              </w:rPr>
            </w:pPr>
            <w:r>
              <w:rPr>
                <w:rFonts w:eastAsia="仿宋"/>
                <w:color w:val="000000"/>
                <w:kern w:val="0"/>
                <w:sz w:val="24"/>
              </w:rPr>
              <w:t>部门（单位）或工作人员违法违纪</w:t>
            </w:r>
          </w:p>
        </w:tc>
        <w:tc>
          <w:tcPr>
            <w:tcW w:w="2008" w:type="dxa"/>
            <w:tcBorders>
              <w:top w:val="nil"/>
              <w:left w:val="nil"/>
              <w:bottom w:val="single" w:color="auto" w:sz="8" w:space="0"/>
              <w:right w:val="single" w:color="auto" w:sz="4" w:space="0"/>
            </w:tcBorders>
            <w:vAlign w:val="center"/>
          </w:tcPr>
          <w:p>
            <w:pPr>
              <w:widowControl/>
              <w:jc w:val="left"/>
              <w:rPr>
                <w:rFonts w:eastAsia="仿宋"/>
                <w:color w:val="000000"/>
                <w:kern w:val="0"/>
                <w:sz w:val="24"/>
              </w:rPr>
            </w:pPr>
            <w:r>
              <w:rPr>
                <w:rFonts w:eastAsia="仿宋"/>
                <w:color w:val="000000"/>
                <w:kern w:val="0"/>
                <w:sz w:val="24"/>
              </w:rPr>
              <w:t>酌情扣分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仿宋"/>
                <w:color w:val="000000"/>
                <w:kern w:val="0"/>
                <w:sz w:val="24"/>
              </w:rPr>
            </w:pPr>
          </w:p>
        </w:tc>
      </w:tr>
    </w:tbl>
    <w:p>
      <w:pPr>
        <w:spacing w:line="520" w:lineRule="exact"/>
        <w:ind w:firstLine="640" w:firstLineChars="200"/>
        <w:rPr>
          <w:rFonts w:ascii="仿宋" w:hAnsi="仿宋" w:eastAsia="仿宋" w:cs="宋体"/>
          <w:color w:val="000000"/>
          <w:kern w:val="0"/>
          <w:sz w:val="32"/>
          <w:szCs w:val="32"/>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23563"/>
    <w:multiLevelType w:val="singleLevel"/>
    <w:tmpl w:val="B9223563"/>
    <w:lvl w:ilvl="0" w:tentative="0">
      <w:start w:val="8"/>
      <w:numFmt w:val="decimal"/>
      <w:suff w:val="space"/>
      <w:lvlText w:val="%1."/>
      <w:lvlJc w:val="left"/>
    </w:lvl>
  </w:abstractNum>
  <w:abstractNum w:abstractNumId="1">
    <w:nsid w:val="BDA01629"/>
    <w:multiLevelType w:val="singleLevel"/>
    <w:tmpl w:val="BDA01629"/>
    <w:lvl w:ilvl="0" w:tentative="0">
      <w:start w:val="3"/>
      <w:numFmt w:val="decimal"/>
      <w:suff w:val="space"/>
      <w:lvlText w:val="%1."/>
      <w:lvlJc w:val="left"/>
    </w:lvl>
  </w:abstractNum>
  <w:abstractNum w:abstractNumId="2">
    <w:nsid w:val="EE4A8681"/>
    <w:multiLevelType w:val="singleLevel"/>
    <w:tmpl w:val="EE4A8681"/>
    <w:lvl w:ilvl="0" w:tentative="0">
      <w:start w:val="5"/>
      <w:numFmt w:val="decimal"/>
      <w:suff w:val="space"/>
      <w:lvlText w:val="%1."/>
      <w:lvlJc w:val="left"/>
    </w:lvl>
  </w:abstractNum>
  <w:abstractNum w:abstractNumId="3">
    <w:nsid w:val="F6D1B117"/>
    <w:multiLevelType w:val="singleLevel"/>
    <w:tmpl w:val="F6D1B117"/>
    <w:lvl w:ilvl="0" w:tentative="0">
      <w:start w:val="4"/>
      <w:numFmt w:val="decimal"/>
      <w:suff w:val="space"/>
      <w:lvlText w:val="%1."/>
      <w:lvlJc w:val="left"/>
    </w:lvl>
  </w:abstractNum>
  <w:abstractNum w:abstractNumId="4">
    <w:nsid w:val="FA71C962"/>
    <w:multiLevelType w:val="singleLevel"/>
    <w:tmpl w:val="FA71C962"/>
    <w:lvl w:ilvl="0" w:tentative="0">
      <w:start w:val="7"/>
      <w:numFmt w:val="decimal"/>
      <w:suff w:val="space"/>
      <w:lvlText w:val="%1."/>
      <w:lvlJc w:val="left"/>
    </w:lvl>
  </w:abstractNum>
  <w:abstractNum w:abstractNumId="5">
    <w:nsid w:val="2A01FB3D"/>
    <w:multiLevelType w:val="singleLevel"/>
    <w:tmpl w:val="2A01FB3D"/>
    <w:lvl w:ilvl="0" w:tentative="0">
      <w:start w:val="1"/>
      <w:numFmt w:val="decimal"/>
      <w:suff w:val="space"/>
      <w:lvlText w:val="%1."/>
      <w:lvlJc w:val="left"/>
    </w:lvl>
  </w:abstractNum>
  <w:abstractNum w:abstractNumId="6">
    <w:nsid w:val="2A0A79BB"/>
    <w:multiLevelType w:val="singleLevel"/>
    <w:tmpl w:val="2A0A79BB"/>
    <w:lvl w:ilvl="0" w:tentative="0">
      <w:start w:val="2"/>
      <w:numFmt w:val="decimal"/>
      <w:suff w:val="space"/>
      <w:lvlText w:val="%1."/>
      <w:lvlJc w:val="left"/>
    </w:lvl>
  </w:abstractNum>
  <w:abstractNum w:abstractNumId="7">
    <w:nsid w:val="44AAE3F7"/>
    <w:multiLevelType w:val="singleLevel"/>
    <w:tmpl w:val="44AAE3F7"/>
    <w:lvl w:ilvl="0" w:tentative="0">
      <w:start w:val="4"/>
      <w:numFmt w:val="chineseCounting"/>
      <w:suff w:val="nothing"/>
      <w:lvlText w:val="%1、"/>
      <w:lvlJc w:val="left"/>
      <w:rPr>
        <w:rFonts w:hint="eastAsia"/>
      </w:rPr>
    </w:lvl>
  </w:abstractNum>
  <w:abstractNum w:abstractNumId="8">
    <w:nsid w:val="5A097948"/>
    <w:multiLevelType w:val="singleLevel"/>
    <w:tmpl w:val="5A097948"/>
    <w:lvl w:ilvl="0" w:tentative="0">
      <w:start w:val="3"/>
      <w:numFmt w:val="chineseCounting"/>
      <w:suff w:val="nothing"/>
      <w:lvlText w:val="（%1）"/>
      <w:lvlJc w:val="left"/>
      <w:rPr>
        <w:rFonts w:hint="eastAsia"/>
      </w:rPr>
    </w:lvl>
  </w:abstractNum>
  <w:abstractNum w:abstractNumId="9">
    <w:nsid w:val="71929314"/>
    <w:multiLevelType w:val="singleLevel"/>
    <w:tmpl w:val="71929314"/>
    <w:lvl w:ilvl="0" w:tentative="0">
      <w:start w:val="1"/>
      <w:numFmt w:val="decimal"/>
      <w:suff w:val="space"/>
      <w:lvlText w:val="%1."/>
      <w:lvlJc w:val="left"/>
    </w:lvl>
  </w:abstractNum>
  <w:abstractNum w:abstractNumId="10">
    <w:nsid w:val="735CCF05"/>
    <w:multiLevelType w:val="singleLevel"/>
    <w:tmpl w:val="735CCF05"/>
    <w:lvl w:ilvl="0" w:tentative="0">
      <w:start w:val="6"/>
      <w:numFmt w:val="decimal"/>
      <w:suff w:val="space"/>
      <w:lvlText w:val="%1."/>
      <w:lvlJc w:val="left"/>
    </w:lvl>
  </w:abstractNum>
  <w:abstractNum w:abstractNumId="11">
    <w:nsid w:val="7C0C9450"/>
    <w:multiLevelType w:val="singleLevel"/>
    <w:tmpl w:val="7C0C9450"/>
    <w:lvl w:ilvl="0" w:tentative="0">
      <w:start w:val="1"/>
      <w:numFmt w:val="decimal"/>
      <w:suff w:val="space"/>
      <w:lvlText w:val="%1."/>
      <w:lvlJc w:val="left"/>
    </w:lvl>
  </w:abstractNum>
  <w:num w:numId="1">
    <w:abstractNumId w:val="8"/>
  </w:num>
  <w:num w:numId="2">
    <w:abstractNumId w:val="5"/>
  </w:num>
  <w:num w:numId="3">
    <w:abstractNumId w:val="6"/>
  </w:num>
  <w:num w:numId="4">
    <w:abstractNumId w:val="1"/>
  </w:num>
  <w:num w:numId="5">
    <w:abstractNumId w:val="3"/>
  </w:num>
  <w:num w:numId="6">
    <w:abstractNumId w:val="2"/>
  </w:num>
  <w:num w:numId="7">
    <w:abstractNumId w:val="10"/>
  </w:num>
  <w:num w:numId="8">
    <w:abstractNumId w:val="4"/>
  </w:num>
  <w:num w:numId="9">
    <w:abstractNumId w:val="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GM0ZThlMDZlYjMxNjRjNzAyZTI0ZGVjZDVjYzgifQ=="/>
  </w:docVars>
  <w:rsids>
    <w:rsidRoot w:val="47254782"/>
    <w:rsid w:val="0CEC7AB8"/>
    <w:rsid w:val="11EC3A38"/>
    <w:rsid w:val="2EE0270A"/>
    <w:rsid w:val="39762AC8"/>
    <w:rsid w:val="47254782"/>
    <w:rsid w:val="55B668EA"/>
    <w:rsid w:val="6F2D188B"/>
    <w:rsid w:val="78006AE2"/>
    <w:rsid w:val="7DC0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无间隔1"/>
    <w:qFormat/>
    <w:uiPriority w:val="99"/>
    <w:pPr>
      <w:ind w:firstLine="200" w:firstLineChars="200"/>
    </w:pPr>
    <w:rPr>
      <w:rFonts w:ascii="Times New Roman" w:hAnsi="Times New Roman" w:eastAsia="仿宋_GB2312" w:cs="Times New Roman"/>
      <w:kern w:val="0"/>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5512</Words>
  <Characters>6046</Characters>
  <Lines>0</Lines>
  <Paragraphs>0</Paragraphs>
  <TotalTime>1</TotalTime>
  <ScaleCrop>false</ScaleCrop>
  <LinksUpToDate>false</LinksUpToDate>
  <CharactersWithSpaces>6113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2023-06-25T08:16:00Z</dcterms:created>
  <dc:creator>hiahia</dc:creator>
  <cp:lastModifiedBy>hiahia</cp:lastModifiedBy>
  <cp:lastPrinted>2023-06-27T07:49:40Z</cp:lastPrinted>
  <dcterms:modified xsi:type="dcterms:W3CDTF">2023-06-27T07:49:48Z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40DE55D26AB94DEAAE300CA3A74362E7_11</vt:lpwstr>
  </property>
</Properties>
</file>