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2022年度南京市水产科学研究所</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部门整体绩效自评价报告</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黑体" w:hAnsi="黑体" w:eastAsia="黑体" w:cs="黑体"/>
          <w:b/>
          <w:color w:val="000000"/>
          <w:kern w:val="0"/>
          <w:sz w:val="32"/>
          <w:szCs w:val="32"/>
        </w:rPr>
      </w:pPr>
      <w:r>
        <w:rPr>
          <w:rFonts w:hint="eastAsia" w:ascii="黑体" w:hAnsi="黑体" w:eastAsia="黑体" w:cs="黑体"/>
          <w:b/>
          <w:color w:val="000000"/>
          <w:kern w:val="0"/>
          <w:sz w:val="32"/>
          <w:szCs w:val="32"/>
        </w:rPr>
        <w:t>一、单位概况</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sz w:val="32"/>
          <w:szCs w:val="32"/>
        </w:rPr>
      </w:pPr>
      <w:r>
        <w:rPr>
          <w:rFonts w:hint="eastAsia" w:ascii="楷体" w:hAnsi="楷体" w:eastAsia="楷体" w:cs="楷体"/>
          <w:b/>
          <w:sz w:val="32"/>
          <w:szCs w:val="32"/>
        </w:rPr>
        <w:t>（一）单位基本情况</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sz w:val="32"/>
          <w:szCs w:val="32"/>
        </w:rPr>
        <w:t>本单位成立于1976年，隶属南京市农业农村局。职能定位是：开展全市水产种质资源保护技术研究，地方及引进优良品种的驯化、选育工作；开展渔业水域生态环境保护技术研究和水产投入品及产品质量安全相关研究</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水产重大疫病监控、病害预测预报及防治技术研究；开展水产增养殖共性技术研究及推广、培训工作；承担渔业技术标准的制订、宣传、指导工作；承担水生外来入侵生物调查、监测预警和防治工作；完成市农业农村局交办的其他任务。内设机构：办公室（党办、考核办）、资产与财务管理中心、科技管理与信息中心、科技推广与培训中心、资源环境与保护中心、良种引繁与开发中心、病害监测与防控中心。202</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年在职在编干部职工</w:t>
      </w:r>
      <w:r>
        <w:rPr>
          <w:rFonts w:hint="default" w:ascii="Times New Roman" w:hAnsi="Times New Roman" w:eastAsia="仿宋" w:cs="Times New Roman"/>
          <w:sz w:val="32"/>
          <w:szCs w:val="32"/>
          <w:lang w:val="en-US" w:eastAsia="zh-CN"/>
        </w:rPr>
        <w:t>40</w:t>
      </w:r>
      <w:r>
        <w:rPr>
          <w:rFonts w:hint="default" w:ascii="Times New Roman" w:hAnsi="Times New Roman" w:eastAsia="仿宋" w:cs="Times New Roman"/>
          <w:sz w:val="32"/>
          <w:szCs w:val="32"/>
        </w:rPr>
        <w:t>人，离退休干部职工32人（其中离休干部1人），编外人员19人，合计9</w:t>
      </w: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人。</w:t>
      </w:r>
      <w:r>
        <w:rPr>
          <w:rFonts w:hint="default" w:ascii="Times New Roman" w:hAnsi="Times New Roman" w:eastAsia="仿宋" w:cs="Times New Roman"/>
          <w:color w:val="000000"/>
          <w:sz w:val="32"/>
          <w:szCs w:val="32"/>
        </w:rPr>
        <w:t>本单位202</w:t>
      </w:r>
      <w:r>
        <w:rPr>
          <w:rFonts w:hint="default"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年资产总额</w:t>
      </w:r>
      <w:r>
        <w:rPr>
          <w:rFonts w:hint="default" w:ascii="Times New Roman" w:hAnsi="Times New Roman" w:eastAsia="仿宋" w:cs="Times New Roman"/>
          <w:color w:val="000000"/>
          <w:sz w:val="32"/>
          <w:szCs w:val="32"/>
          <w:lang w:val="en-US" w:eastAsia="zh-CN"/>
        </w:rPr>
        <w:t>7892.44</w:t>
      </w:r>
      <w:r>
        <w:rPr>
          <w:rFonts w:hint="default" w:ascii="Times New Roman" w:hAnsi="Times New Roman" w:eastAsia="仿宋" w:cs="Times New Roman"/>
          <w:sz w:val="32"/>
          <w:szCs w:val="32"/>
        </w:rPr>
        <w:t>万</w:t>
      </w:r>
      <w:r>
        <w:rPr>
          <w:rFonts w:hint="default" w:ascii="Times New Roman" w:hAnsi="Times New Roman" w:eastAsia="仿宋" w:cs="Times New Roman"/>
          <w:color w:val="000000"/>
          <w:sz w:val="32"/>
          <w:szCs w:val="32"/>
        </w:rPr>
        <w:t>元，负债</w:t>
      </w:r>
      <w:r>
        <w:rPr>
          <w:rFonts w:hint="default" w:ascii="Times New Roman" w:hAnsi="Times New Roman" w:eastAsia="仿宋" w:cs="Times New Roman"/>
          <w:color w:val="000000"/>
          <w:sz w:val="32"/>
          <w:szCs w:val="32"/>
          <w:lang w:val="en-US" w:eastAsia="zh-CN"/>
        </w:rPr>
        <w:t>85.86</w:t>
      </w:r>
      <w:r>
        <w:rPr>
          <w:rFonts w:hint="default" w:ascii="Times New Roman" w:hAnsi="Times New Roman" w:eastAsia="仿宋" w:cs="Times New Roman"/>
          <w:sz w:val="32"/>
          <w:szCs w:val="32"/>
        </w:rPr>
        <w:t>万</w:t>
      </w:r>
      <w:r>
        <w:rPr>
          <w:rFonts w:hint="default" w:ascii="Times New Roman" w:hAnsi="Times New Roman" w:eastAsia="仿宋" w:cs="Times New Roman"/>
          <w:color w:val="000000"/>
          <w:sz w:val="32"/>
          <w:szCs w:val="32"/>
        </w:rPr>
        <w:t>元，净资产</w:t>
      </w:r>
      <w:r>
        <w:rPr>
          <w:rFonts w:hint="default" w:ascii="Times New Roman" w:hAnsi="Times New Roman" w:eastAsia="仿宋" w:cs="Times New Roman"/>
          <w:sz w:val="32"/>
          <w:szCs w:val="32"/>
        </w:rPr>
        <w:t>7</w:t>
      </w:r>
      <w:r>
        <w:rPr>
          <w:rFonts w:hint="default" w:ascii="Times New Roman" w:hAnsi="Times New Roman" w:eastAsia="仿宋" w:cs="Times New Roman"/>
          <w:sz w:val="32"/>
          <w:szCs w:val="32"/>
          <w:lang w:val="en-US" w:eastAsia="zh-CN"/>
        </w:rPr>
        <w:t>806.58</w:t>
      </w:r>
      <w:r>
        <w:rPr>
          <w:rFonts w:hint="default" w:ascii="Times New Roman" w:hAnsi="Times New Roman" w:eastAsia="仿宋" w:cs="Times New Roman"/>
          <w:sz w:val="32"/>
          <w:szCs w:val="32"/>
        </w:rPr>
        <w:t>万元。</w:t>
      </w:r>
      <w:r>
        <w:rPr>
          <w:rFonts w:hint="default" w:ascii="Times New Roman" w:hAnsi="Times New Roman" w:eastAsia="仿宋" w:cs="Times New Roman"/>
          <w:color w:val="000000"/>
          <w:sz w:val="32"/>
          <w:szCs w:val="32"/>
        </w:rPr>
        <w:t>其中：固定资产净值7</w:t>
      </w:r>
      <w:r>
        <w:rPr>
          <w:rFonts w:hint="default" w:ascii="Times New Roman" w:hAnsi="Times New Roman" w:eastAsia="仿宋" w:cs="Times New Roman"/>
          <w:color w:val="000000"/>
          <w:sz w:val="32"/>
          <w:szCs w:val="32"/>
          <w:lang w:val="en-US" w:eastAsia="zh-CN"/>
        </w:rPr>
        <w:t>691.79</w:t>
      </w:r>
      <w:r>
        <w:rPr>
          <w:rFonts w:hint="default" w:ascii="Times New Roman" w:hAnsi="Times New Roman" w:eastAsia="仿宋" w:cs="Times New Roman"/>
          <w:color w:val="000000"/>
          <w:sz w:val="32"/>
          <w:szCs w:val="32"/>
        </w:rPr>
        <w:t>万元</w:t>
      </w:r>
      <w:r>
        <w:rPr>
          <w:rFonts w:hint="default" w:ascii="Times New Roman" w:hAnsi="Times New Roman" w:eastAsia="仿宋" w:cs="Times New Roman"/>
          <w:kern w:val="0"/>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rPr>
        <w:t>202</w:t>
      </w:r>
      <w:r>
        <w:rPr>
          <w:rFonts w:hint="default" w:ascii="Times New Roman" w:hAnsi="Times New Roman" w:eastAsia="仿宋" w:cs="Times New Roman"/>
          <w:kern w:val="0"/>
          <w:sz w:val="32"/>
          <w:szCs w:val="32"/>
          <w:lang w:val="en-US" w:eastAsia="zh-CN"/>
        </w:rPr>
        <w:t>2</w:t>
      </w:r>
      <w:r>
        <w:rPr>
          <w:rFonts w:hint="default" w:ascii="Times New Roman" w:hAnsi="Times New Roman" w:eastAsia="仿宋" w:cs="Times New Roman"/>
          <w:kern w:val="0"/>
          <w:sz w:val="32"/>
          <w:szCs w:val="32"/>
        </w:rPr>
        <w:t>年重点工作任务完成情况</w:t>
      </w:r>
      <w:r>
        <w:rPr>
          <w:rFonts w:hint="default" w:ascii="Times New Roman" w:hAnsi="Times New Roman" w:eastAsia="仿宋" w:cs="Times New Roman"/>
          <w:sz w:val="32"/>
          <w:szCs w:val="32"/>
        </w:rPr>
        <w:t>如下：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发挥优势，做强“精品蟹虾”产业链</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bookmarkStart w:id="0" w:name="OLE_LINK1"/>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1</w:t>
      </w:r>
      <w:r>
        <w:rPr>
          <w:rFonts w:hint="eastAsia" w:ascii="Times New Roman" w:hAnsi="Times New Roman" w:eastAsia="仿宋" w:cs="Times New Roman"/>
          <w:color w:val="auto"/>
          <w:sz w:val="32"/>
          <w:szCs w:val="32"/>
          <w:lang w:eastAsia="zh-CN"/>
        </w:rPr>
        <w:t>）</w:t>
      </w:r>
      <w:bookmarkEnd w:id="0"/>
      <w:r>
        <w:rPr>
          <w:rFonts w:hint="default" w:ascii="Times New Roman" w:hAnsi="Times New Roman" w:eastAsia="仿宋" w:cs="Times New Roman"/>
          <w:color w:val="auto"/>
          <w:sz w:val="32"/>
          <w:szCs w:val="32"/>
        </w:rPr>
        <w:t>开展河蟹种质创新，开发早上市河蟹新品系，示范早上市河蟹扣蟹培育56亩，</w:t>
      </w:r>
      <w:r>
        <w:rPr>
          <w:rFonts w:hint="default" w:ascii="Times New Roman" w:hAnsi="Times New Roman" w:eastAsia="仿宋" w:cs="Times New Roman"/>
          <w:color w:val="auto"/>
          <w:sz w:val="32"/>
          <w:szCs w:val="32"/>
          <w:lang w:val="en-US" w:eastAsia="zh-CN"/>
        </w:rPr>
        <w:t>预计提供早上市新品系扣蟹约150万只，可满足1000亩成蟹养殖示范。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2</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与水科院淡水渔业研究中心合作推进南京特色固城湖河蟹新品种选育，繁育选育系F2代大眼幼体</w:t>
      </w:r>
      <w:r>
        <w:rPr>
          <w:rFonts w:hint="default" w:ascii="Times New Roman" w:hAnsi="Times New Roman" w:eastAsia="仿宋" w:cs="Times New Roman"/>
          <w:color w:val="auto"/>
          <w:sz w:val="32"/>
          <w:szCs w:val="32"/>
          <w:lang w:val="en-US" w:eastAsia="zh-CN"/>
        </w:rPr>
        <w:t>共计18</w:t>
      </w:r>
      <w:r>
        <w:rPr>
          <w:rFonts w:hint="default" w:ascii="Times New Roman" w:hAnsi="Times New Roman" w:eastAsia="仿宋" w:cs="Times New Roman"/>
          <w:color w:val="auto"/>
          <w:sz w:val="32"/>
          <w:szCs w:val="32"/>
        </w:rPr>
        <w:t>00斤，培育扣蟹面积500亩</w:t>
      </w:r>
      <w:r>
        <w:rPr>
          <w:rFonts w:hint="default" w:ascii="Times New Roman" w:hAnsi="Times New Roman" w:eastAsia="仿宋" w:cs="Times New Roman"/>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3</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持续推广“长江2号”、“诺亚1号”等河蟹新品种，不断</w:t>
      </w:r>
      <w:r>
        <w:rPr>
          <w:rFonts w:hint="default" w:ascii="Times New Roman" w:hAnsi="Times New Roman" w:eastAsia="仿宋" w:cs="Times New Roman"/>
          <w:color w:val="auto"/>
          <w:sz w:val="32"/>
          <w:szCs w:val="32"/>
        </w:rPr>
        <w:t>提升优质苗种培育技术</w:t>
      </w:r>
      <w:r>
        <w:rPr>
          <w:rFonts w:hint="default" w:ascii="Times New Roman" w:hAnsi="Times New Roman" w:eastAsia="仿宋" w:cs="Times New Roman"/>
          <w:color w:val="auto"/>
          <w:sz w:val="32"/>
          <w:szCs w:val="32"/>
          <w:lang w:val="en-US" w:eastAsia="zh-CN"/>
        </w:rPr>
        <w:t>和本地化</w:t>
      </w:r>
      <w:r>
        <w:rPr>
          <w:rFonts w:hint="default" w:ascii="Times New Roman" w:hAnsi="Times New Roman" w:eastAsia="仿宋" w:cs="Times New Roman"/>
          <w:color w:val="auto"/>
          <w:sz w:val="32"/>
          <w:szCs w:val="32"/>
        </w:rPr>
        <w:t>供应能力，建立</w:t>
      </w:r>
      <w:r>
        <w:rPr>
          <w:rFonts w:hint="default" w:ascii="Times New Roman" w:hAnsi="Times New Roman" w:eastAsia="仿宋" w:cs="Times New Roman"/>
          <w:color w:val="auto"/>
          <w:sz w:val="32"/>
          <w:szCs w:val="32"/>
          <w:lang w:val="en-US" w:eastAsia="zh-CN"/>
        </w:rPr>
        <w:t>优质</w:t>
      </w:r>
      <w:r>
        <w:rPr>
          <w:rFonts w:hint="default" w:ascii="Times New Roman" w:hAnsi="Times New Roman" w:eastAsia="仿宋" w:cs="Times New Roman"/>
          <w:color w:val="auto"/>
          <w:sz w:val="32"/>
          <w:szCs w:val="32"/>
        </w:rPr>
        <w:t>扣蟹培育亩产500斤高产示范基地140亩</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预计扣蟹产量可达600斤/亩，苗池与成蟹池配比面积达1：30以上，高产技术应用大幅提升苗种本地化供应能力。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eastAsia="zh-CN"/>
        </w:rPr>
      </w:pP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4</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成蟹养殖</w:t>
      </w:r>
      <w:r>
        <w:rPr>
          <w:rFonts w:hint="default" w:ascii="Times New Roman" w:hAnsi="Times New Roman" w:eastAsia="仿宋" w:cs="Times New Roman"/>
          <w:color w:val="auto"/>
          <w:sz w:val="32"/>
          <w:szCs w:val="32"/>
          <w:lang w:val="en-US" w:eastAsia="zh-CN"/>
        </w:rPr>
        <w:t>高产高效</w:t>
      </w:r>
      <w:r>
        <w:rPr>
          <w:rFonts w:hint="default" w:ascii="Times New Roman" w:hAnsi="Times New Roman" w:eastAsia="仿宋" w:cs="Times New Roman"/>
          <w:color w:val="auto"/>
          <w:sz w:val="32"/>
          <w:szCs w:val="32"/>
        </w:rPr>
        <w:t>模式</w:t>
      </w:r>
      <w:r>
        <w:rPr>
          <w:rFonts w:hint="default" w:ascii="Times New Roman" w:hAnsi="Times New Roman" w:eastAsia="仿宋" w:cs="Times New Roman"/>
          <w:color w:val="auto"/>
          <w:sz w:val="32"/>
          <w:szCs w:val="32"/>
          <w:lang w:val="en-US" w:eastAsia="zh-CN"/>
        </w:rPr>
        <w:t>创新与示范</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在高淳、</w:t>
      </w:r>
      <w:r>
        <w:rPr>
          <w:rFonts w:hint="default" w:ascii="Times New Roman" w:hAnsi="Times New Roman" w:eastAsia="仿宋" w:cs="Times New Roman"/>
          <w:color w:val="auto"/>
          <w:sz w:val="32"/>
          <w:szCs w:val="32"/>
          <w:lang w:val="en-US" w:eastAsia="zh-CN"/>
        </w:rPr>
        <w:t>溧水、</w:t>
      </w:r>
      <w:r>
        <w:rPr>
          <w:rFonts w:hint="default" w:ascii="Times New Roman" w:hAnsi="Times New Roman" w:eastAsia="仿宋" w:cs="Times New Roman"/>
          <w:color w:val="auto"/>
          <w:sz w:val="32"/>
          <w:szCs w:val="32"/>
        </w:rPr>
        <w:t>浦口建立成蟹主养亩产300斤高产示范基地145亩</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高淳“水下长城”创新模式示范120亩，亩产超过500斤；</w:t>
      </w:r>
      <w:r>
        <w:rPr>
          <w:rFonts w:hint="default" w:ascii="Times New Roman" w:hAnsi="Times New Roman" w:eastAsia="仿宋" w:cs="Times New Roman"/>
          <w:color w:val="auto"/>
          <w:sz w:val="32"/>
          <w:szCs w:val="32"/>
        </w:rPr>
        <w:t>建立“蟹+N”多营养层级生态高效混养模式示范基地9个，面积1140亩</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亩均增效2000元左右</w:t>
      </w:r>
      <w:r>
        <w:rPr>
          <w:rFonts w:hint="default" w:ascii="Times New Roman" w:hAnsi="Times New Roman" w:eastAsia="仿宋" w:cs="Times New Roman"/>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5</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持续</w:t>
      </w:r>
      <w:r>
        <w:rPr>
          <w:rFonts w:hint="default" w:ascii="Times New Roman" w:hAnsi="Times New Roman" w:eastAsia="仿宋" w:cs="Times New Roman"/>
          <w:color w:val="auto"/>
          <w:sz w:val="32"/>
          <w:szCs w:val="32"/>
        </w:rPr>
        <w:t>提升青虾良种苗种供应能力，生产供应“太湖2号”F0代虾种</w:t>
      </w:r>
      <w:r>
        <w:rPr>
          <w:rFonts w:hint="default" w:ascii="Times New Roman" w:hAnsi="Times New Roman" w:eastAsia="仿宋" w:cs="Times New Roman"/>
          <w:color w:val="auto"/>
          <w:sz w:val="32"/>
          <w:szCs w:val="32"/>
          <w:lang w:val="en-US" w:eastAsia="zh-CN"/>
        </w:rPr>
        <w:t>近1万斤</w:t>
      </w:r>
      <w:r>
        <w:rPr>
          <w:rFonts w:hint="default" w:ascii="Times New Roman" w:hAnsi="Times New Roman" w:eastAsia="仿宋" w:cs="Times New Roman"/>
          <w:color w:val="auto"/>
          <w:sz w:val="32"/>
          <w:szCs w:val="32"/>
        </w:rPr>
        <w:t>，同比增加20%；新建“太湖2号”青虾扩繁场3个</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示范推广网箱直放抱卵虾育苗新技术439亩、人工虾岛辅助育苗新技术670亩，种苗</w:t>
      </w:r>
      <w:r>
        <w:rPr>
          <w:rFonts w:hint="default" w:ascii="Times New Roman" w:hAnsi="Times New Roman" w:eastAsia="仿宋" w:cs="Times New Roman"/>
          <w:color w:val="auto"/>
          <w:sz w:val="32"/>
          <w:szCs w:val="32"/>
          <w:lang w:val="en-US" w:eastAsia="zh-CN"/>
        </w:rPr>
        <w:t>培育单产水平提高15%以上。今年全市青虾良种体系</w:t>
      </w:r>
      <w:r>
        <w:rPr>
          <w:rFonts w:hint="default" w:ascii="Times New Roman" w:hAnsi="Times New Roman" w:eastAsia="仿宋" w:cs="Times New Roman"/>
          <w:color w:val="auto"/>
          <w:sz w:val="32"/>
          <w:szCs w:val="32"/>
        </w:rPr>
        <w:t>“太湖2号”</w:t>
      </w:r>
      <w:r>
        <w:rPr>
          <w:rFonts w:hint="default" w:ascii="Times New Roman" w:hAnsi="Times New Roman" w:eastAsia="仿宋" w:cs="Times New Roman"/>
          <w:color w:val="auto"/>
          <w:sz w:val="32"/>
          <w:szCs w:val="32"/>
          <w:lang w:val="en-US" w:eastAsia="zh-CN"/>
        </w:rPr>
        <w:t>虾种生产量约10万斤，青虾良种覆盖率已达80%目标。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补足短板，壮大“特色鱼”产业链</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1</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eastAsia="zh-CN"/>
        </w:rPr>
        <w:t>在大口黑鲈、</w:t>
      </w:r>
      <w:r>
        <w:rPr>
          <w:rFonts w:hint="default" w:ascii="Times New Roman" w:hAnsi="Times New Roman" w:eastAsia="仿宋" w:cs="Times New Roman"/>
          <w:color w:val="auto"/>
          <w:sz w:val="32"/>
          <w:szCs w:val="32"/>
          <w:lang w:val="en-US" w:eastAsia="zh-CN"/>
        </w:rPr>
        <w:t>兴凯湖翘嘴鲌、黄颡鱼、</w:t>
      </w:r>
      <w:r>
        <w:rPr>
          <w:rFonts w:hint="default" w:ascii="Times New Roman" w:hAnsi="Times New Roman" w:eastAsia="仿宋" w:cs="Times New Roman"/>
          <w:color w:val="auto"/>
          <w:sz w:val="32"/>
          <w:szCs w:val="32"/>
          <w:lang w:eastAsia="zh-CN"/>
        </w:rPr>
        <w:t>抗病鲫鱼等种质资源开发利用上取得新进展。大口黑鲈</w:t>
      </w:r>
      <w:r>
        <w:rPr>
          <w:rFonts w:hint="default" w:ascii="Times New Roman" w:hAnsi="Times New Roman" w:eastAsia="仿宋" w:cs="Times New Roman"/>
          <w:color w:val="auto"/>
          <w:sz w:val="32"/>
          <w:szCs w:val="32"/>
          <w:lang w:val="en-US" w:eastAsia="zh-CN"/>
        </w:rPr>
        <w:t>美国</w:t>
      </w:r>
      <w:r>
        <w:rPr>
          <w:rFonts w:hint="default" w:ascii="Times New Roman" w:hAnsi="Times New Roman" w:eastAsia="仿宋" w:cs="Times New Roman"/>
          <w:color w:val="auto"/>
          <w:sz w:val="32"/>
          <w:szCs w:val="32"/>
          <w:lang w:eastAsia="zh-CN"/>
        </w:rPr>
        <w:t>原种累计</w:t>
      </w:r>
      <w:r>
        <w:rPr>
          <w:rFonts w:hint="default" w:ascii="Times New Roman" w:hAnsi="Times New Roman" w:eastAsia="仿宋" w:cs="Times New Roman"/>
          <w:color w:val="auto"/>
          <w:sz w:val="32"/>
          <w:szCs w:val="32"/>
          <w:lang w:val="en-US" w:eastAsia="zh-CN"/>
        </w:rPr>
        <w:t>繁殖</w:t>
      </w:r>
      <w:r>
        <w:rPr>
          <w:rFonts w:hint="default" w:ascii="Times New Roman" w:hAnsi="Times New Roman" w:eastAsia="仿宋" w:cs="Times New Roman"/>
          <w:color w:val="auto"/>
          <w:sz w:val="32"/>
          <w:szCs w:val="32"/>
          <w:lang w:eastAsia="zh-CN"/>
        </w:rPr>
        <w:t>原种F1代</w:t>
      </w:r>
      <w:r>
        <w:rPr>
          <w:rFonts w:hint="default" w:ascii="Times New Roman" w:hAnsi="Times New Roman" w:eastAsia="仿宋" w:cs="Times New Roman"/>
          <w:color w:val="auto"/>
          <w:sz w:val="32"/>
          <w:szCs w:val="32"/>
          <w:lang w:val="en-US" w:eastAsia="zh-CN"/>
        </w:rPr>
        <w:t>水花</w:t>
      </w:r>
      <w:r>
        <w:rPr>
          <w:rFonts w:hint="default" w:ascii="Times New Roman" w:hAnsi="Times New Roman" w:eastAsia="仿宋" w:cs="Times New Roman"/>
          <w:color w:val="auto"/>
          <w:sz w:val="32"/>
          <w:szCs w:val="32"/>
          <w:lang w:eastAsia="zh-CN"/>
        </w:rPr>
        <w:t>300万尾，</w:t>
      </w:r>
      <w:r>
        <w:rPr>
          <w:rFonts w:hint="default" w:ascii="Times New Roman" w:hAnsi="Times New Roman" w:eastAsia="仿宋" w:cs="Times New Roman"/>
          <w:color w:val="auto"/>
          <w:sz w:val="32"/>
          <w:szCs w:val="32"/>
          <w:lang w:val="en-US" w:eastAsia="zh-CN"/>
        </w:rPr>
        <w:t>筛选培育后备亲本5万尾</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依托省农业新品种创制和省农业自主创新两个重大项目，</w:t>
      </w:r>
      <w:r>
        <w:rPr>
          <w:rFonts w:hint="default" w:ascii="Times New Roman" w:hAnsi="Times New Roman" w:eastAsia="仿宋" w:cs="Times New Roman"/>
          <w:color w:val="auto"/>
          <w:sz w:val="32"/>
          <w:szCs w:val="32"/>
          <w:lang w:eastAsia="zh-CN"/>
        </w:rPr>
        <w:t>黄颡鱼新品种创制关键技术实现突破，获得雌核发育群体2个</w:t>
      </w:r>
      <w:r>
        <w:rPr>
          <w:rFonts w:hint="default" w:ascii="Times New Roman" w:hAnsi="Times New Roman" w:eastAsia="仿宋" w:cs="Times New Roman"/>
          <w:color w:val="auto"/>
          <w:sz w:val="32"/>
          <w:szCs w:val="32"/>
          <w:lang w:val="en-US" w:eastAsia="zh-CN"/>
        </w:rPr>
        <w:t>。突破兴凯湖翘嘴鲌雌核发育技术，为开发全雌新品系奠定了坚实基础。水科院淡水渔业研究中心抗病鲫鱼在高淳区落地养殖618亩，长势良好，抗病优势显著。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2</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eastAsia="zh-CN"/>
        </w:rPr>
        <w:t>做好特色鱼苗种生产供应与养殖示范。上半年繁育兴凯湖翘嘴鲌苗种1000万尾</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eastAsia="zh-CN"/>
        </w:rPr>
        <w:t>黄颡鱼、长吻鮠苗种</w:t>
      </w:r>
      <w:r>
        <w:rPr>
          <w:rFonts w:hint="default" w:ascii="Times New Roman" w:hAnsi="Times New Roman" w:eastAsia="仿宋" w:cs="Times New Roman"/>
          <w:color w:val="auto"/>
          <w:sz w:val="32"/>
          <w:szCs w:val="32"/>
          <w:lang w:val="en-US" w:eastAsia="zh-CN"/>
        </w:rPr>
        <w:t>共计</w:t>
      </w:r>
      <w:r>
        <w:rPr>
          <w:rFonts w:hint="default" w:ascii="Times New Roman" w:hAnsi="Times New Roman" w:eastAsia="仿宋" w:cs="Times New Roman"/>
          <w:color w:val="auto"/>
          <w:sz w:val="32"/>
          <w:szCs w:val="32"/>
          <w:lang w:eastAsia="zh-CN"/>
        </w:rPr>
        <w:t>5</w:t>
      </w:r>
      <w:r>
        <w:rPr>
          <w:rFonts w:hint="default" w:ascii="Times New Roman" w:hAnsi="Times New Roman" w:eastAsia="仿宋" w:cs="Times New Roman"/>
          <w:color w:val="auto"/>
          <w:sz w:val="32"/>
          <w:szCs w:val="32"/>
          <w:lang w:val="en-US" w:eastAsia="zh-CN"/>
        </w:rPr>
        <w:t>72</w:t>
      </w:r>
      <w:r>
        <w:rPr>
          <w:rFonts w:hint="default" w:ascii="Times New Roman" w:hAnsi="Times New Roman" w:eastAsia="仿宋" w:cs="Times New Roman"/>
          <w:color w:val="auto"/>
          <w:sz w:val="32"/>
          <w:szCs w:val="32"/>
          <w:lang w:eastAsia="zh-CN"/>
        </w:rPr>
        <w:t>万尾</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eastAsia="zh-CN"/>
        </w:rPr>
        <w:t>锦鲤苗种150万</w:t>
      </w:r>
      <w:bookmarkStart w:id="1" w:name="_GoBack"/>
      <w:r>
        <w:rPr>
          <w:rFonts w:hint="default" w:ascii="Times New Roman" w:hAnsi="Times New Roman" w:eastAsia="仿宋" w:cs="Times New Roman"/>
          <w:color w:val="auto"/>
          <w:sz w:val="32"/>
          <w:szCs w:val="32"/>
          <w:lang w:eastAsia="zh-CN"/>
        </w:rPr>
        <w:t>尾。推广兴凯湖翘嘴鲌养殖</w:t>
      </w:r>
      <w:r>
        <w:rPr>
          <w:rFonts w:hint="default" w:ascii="Times New Roman" w:hAnsi="Times New Roman" w:eastAsia="仿宋" w:cs="Times New Roman"/>
          <w:color w:val="auto"/>
          <w:sz w:val="32"/>
          <w:szCs w:val="32"/>
          <w:lang w:val="en-US" w:eastAsia="zh-CN"/>
        </w:rPr>
        <w:t>面积超过</w:t>
      </w:r>
      <w:r>
        <w:rPr>
          <w:rFonts w:hint="default" w:ascii="Times New Roman" w:hAnsi="Times New Roman" w:eastAsia="仿宋" w:cs="Times New Roman"/>
          <w:color w:val="auto"/>
          <w:sz w:val="32"/>
          <w:szCs w:val="32"/>
          <w:lang w:eastAsia="zh-CN"/>
        </w:rPr>
        <w:t>3</w:t>
      </w:r>
      <w:r>
        <w:rPr>
          <w:rFonts w:hint="default" w:ascii="Times New Roman" w:hAnsi="Times New Roman" w:eastAsia="仿宋" w:cs="Times New Roman"/>
          <w:color w:val="auto"/>
          <w:sz w:val="32"/>
          <w:szCs w:val="32"/>
          <w:lang w:val="en-US" w:eastAsia="zh-CN"/>
        </w:rPr>
        <w:t>8</w:t>
      </w:r>
      <w:r>
        <w:rPr>
          <w:rFonts w:hint="default" w:ascii="Times New Roman" w:hAnsi="Times New Roman" w:eastAsia="仿宋" w:cs="Times New Roman"/>
          <w:color w:val="auto"/>
          <w:sz w:val="32"/>
          <w:szCs w:val="32"/>
          <w:lang w:eastAsia="zh-CN"/>
        </w:rPr>
        <w:t>00亩，</w:t>
      </w:r>
      <w:r>
        <w:rPr>
          <w:rFonts w:hint="default" w:ascii="Times New Roman" w:hAnsi="Times New Roman" w:eastAsia="仿宋" w:cs="Times New Roman"/>
          <w:color w:val="auto"/>
          <w:sz w:val="32"/>
          <w:szCs w:val="32"/>
          <w:lang w:val="en-US" w:eastAsia="zh-CN"/>
        </w:rPr>
        <w:t>较去年新增1400亩</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浦口、六合、高淳新增大口黑鲈鱼主养面积近500亩；在六合、溧水、江宁等区建立江鱼养</w:t>
      </w:r>
      <w:bookmarkEnd w:id="1"/>
      <w:r>
        <w:rPr>
          <w:rFonts w:hint="default" w:ascii="Times New Roman" w:hAnsi="Times New Roman" w:eastAsia="仿宋" w:cs="Times New Roman"/>
          <w:color w:val="auto"/>
          <w:sz w:val="32"/>
          <w:szCs w:val="32"/>
          <w:lang w:val="en-US" w:eastAsia="zh-CN"/>
        </w:rPr>
        <w:t>殖示范点7个，面积360亩；所禄口基地驯养铜鱼1000尾，生长状态良好；在江北新区建立锦鲤养殖示范点1个，在溧水区建立墨瑞鳕养殖示范点1个。</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3</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以三产融合加快常规鱼养殖替代。充分发挥南京特色鱼产业联盟联合体协同作用，促进以大口黑鲈、兴凯湖翘嘴鲌等为代表的种苗繁育、规模养殖、精深加工、休闲垂钓为一体的特色鱼产业链不断壮大发展。进一步提高我市特色鱼在休闲垂钓品种中的占比，帮助企业引进预制菜加工技术，对接服务江宁坤泰、高淳宁渔种业、六合龙鲫</w:t>
      </w:r>
      <w:r>
        <w:rPr>
          <w:rFonts w:hint="eastAsia" w:ascii="Times New Roman" w:hAnsi="Times New Roman" w:eastAsia="仿宋" w:cs="Times New Roman"/>
          <w:color w:val="auto"/>
          <w:sz w:val="32"/>
          <w:szCs w:val="32"/>
          <w:lang w:val="en-US" w:eastAsia="zh-CN"/>
        </w:rPr>
        <w:t>公</w:t>
      </w:r>
      <w:r>
        <w:rPr>
          <w:rFonts w:hint="default" w:ascii="Times New Roman" w:hAnsi="Times New Roman" w:eastAsia="仿宋" w:cs="Times New Roman"/>
          <w:color w:val="auto"/>
          <w:sz w:val="32"/>
          <w:szCs w:val="32"/>
          <w:lang w:val="en-US" w:eastAsia="zh-CN"/>
        </w:rPr>
        <w:t>司、浦口丽铭农庄、浦口简诺等龙头企业，培育“育繁推、产加销”一体化特色鱼链主企业。</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lang w:val="en-US" w:eastAsia="zh-CN"/>
        </w:rPr>
        <w:t>一以贯之，做实公益服务职责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1</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完成渔文化普查、水产种质资源调查和水生野生植物调查。根据省厅要求，完成我市渔文化资源普查工作，收集渔文化资源普查资料180份；对我市重点品种龙池鲫鱼、青虾、沙塘鳢、大口黑鲈、黄颡鱼等种质资源进行系统调查，采集野生群体种质资源5个。完成南京市野生水生植物调查，共调查到植物395种，其中水生植物138种，发现国家二级保护植物3种：水蕨、粗梗水蕨和龙舌草，制作腊叶标本396份，DNA样本180份，编制</w:t>
      </w:r>
      <w:r>
        <w:rPr>
          <w:rFonts w:hint="default" w:ascii="Times New Roman" w:hAnsi="Times New Roman" w:eastAsia="仿宋" w:cs="Times New Roman"/>
          <w:color w:val="auto"/>
          <w:sz w:val="32"/>
          <w:szCs w:val="32"/>
          <w:lang w:val="en-US"/>
        </w:rPr>
        <w:t>《南京市水生野生植物现状报告》</w:t>
      </w:r>
      <w:r>
        <w:rPr>
          <w:rFonts w:hint="default" w:ascii="Times New Roman" w:hAnsi="Times New Roman" w:eastAsia="仿宋" w:cs="Times New Roman"/>
          <w:color w:val="auto"/>
          <w:sz w:val="32"/>
          <w:szCs w:val="32"/>
          <w:lang w:val="en-US" w:eastAsia="zh-CN"/>
        </w:rPr>
        <w:t>和</w:t>
      </w:r>
      <w:r>
        <w:rPr>
          <w:rFonts w:hint="default" w:ascii="Times New Roman" w:hAnsi="Times New Roman" w:eastAsia="仿宋" w:cs="Times New Roman"/>
          <w:color w:val="auto"/>
          <w:sz w:val="32"/>
          <w:szCs w:val="32"/>
          <w:lang w:val="en-US"/>
        </w:rPr>
        <w:t>《南京市国家重点保护水生野生植物名录》</w:t>
      </w:r>
      <w:r>
        <w:rPr>
          <w:rFonts w:hint="default"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rPr>
        <w:t>提出《南京市国家重点保护水生野生植物就地保护和迁地保护措施》</w:t>
      </w:r>
      <w:r>
        <w:rPr>
          <w:rFonts w:hint="default" w:ascii="Times New Roman" w:hAnsi="Times New Roman" w:eastAsia="仿宋" w:cs="Times New Roman"/>
          <w:color w:val="auto"/>
          <w:sz w:val="32"/>
          <w:szCs w:val="32"/>
          <w:lang w:val="en-US" w:eastAsia="zh-CN"/>
        </w:rPr>
        <w:t>。</w:t>
      </w:r>
    </w:p>
    <w:p>
      <w:pPr>
        <w:pStyle w:val="6"/>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2</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持续开</w:t>
      </w:r>
      <w:r>
        <w:rPr>
          <w:rFonts w:hint="default" w:ascii="Times New Roman" w:hAnsi="Times New Roman" w:eastAsia="仿宋" w:cs="Times New Roman"/>
          <w:color w:val="auto"/>
          <w:sz w:val="32"/>
          <w:szCs w:val="32"/>
          <w:lang w:val="en-US" w:eastAsia="zh-CN"/>
        </w:rPr>
        <w:t>展长江渔业资源环境与渔业水域水质监测。出版《南京常见水生动物识别手册》，配合农业部长江办组织江豚科考，完成本年度长江南京段江豚及重点水域鱼类早期资源监测工作，监测资源34种。承办水生野生动物保护论坛江苏南京主场活动暨2022长江水生野生动物保护高峰论坛，开展了铜鱼、胭脂鱼和长吻鮠增殖放流。开展渔业水域水质监测，设立监测点20个，采集检测水样140个，获得检测数据980个，对13个完成池塘生态化改造的养殖场进行“三池两坝”运行效果评估，采集130个样品，获得数据910个，形成《2022南京市水产养殖水域水质情况监测报告》和《2022年池塘生态化改造调研与效果评价报告》。</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hint="default"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3</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落实部省水产健康养殖“五大行动”计划，坚持做好水产病害监测与预测预报。全市设立水产病害监测点29个，本年度开展水产养殖动物病原菌耐药性普查10批次，</w:t>
      </w:r>
      <w:r>
        <w:rPr>
          <w:rFonts w:hint="default" w:ascii="Times New Roman" w:hAnsi="Times New Roman" w:eastAsia="仿宋" w:cs="Times New Roman"/>
          <w:color w:val="auto"/>
          <w:sz w:val="32"/>
          <w:szCs w:val="32"/>
        </w:rPr>
        <w:t>分离保藏菌种44株</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完成重大疫病样品采样检测153批次，检测参数154个，报送疫病简报75条，发布例行水产养殖病害预测预报8期，针对突发病害发布专项预警信息4期，完成孔雀石绿北斗在线监测系统的布点示范。</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hint="default"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4</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党建引领、业务融合，助力乡村振兴。对接服务高淳区花山村、相北村、江宁区尚桥社区等，开展“党员志愿进乡村、服务三农增实效”惠农先锋党日等活动。在高淳区花山村示范推广青虾春放蟹虾混养模式，亩均增效2000元。面临今年夏季罕见高温干旱灾害天气，全所科技团队深入生产一线开展服务，编发技术指导资料，组织灾后复产技术观摩培训，有效降低了灾害对水产养殖的影响。省农业农村厅张建军副厅长在高淳进行受灾情况调研时，对我市积极应对和减灾成效给予高度肯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hint="default"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5</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立足产业需求，对接服务企业主体。依托江苏省河蟹、青虾、特色鱼产业技术体系等平台，新建产学研合作基地5个，对接服务主体60多个；与水科院淡水渔业研究中心、南京帅丰水产良种有限公司共同组建的南京宁渔种业研究院通过高淳区新型研发机构备案，孵化3家企业已投产运营。对接服务高淳区阳江胜利圩15000亩稻虾种养基地，在淳京飞合作社建立一稻一虾示范基地3000亩；对接服务浦口通威、溧水明沃等养殖龙头企业，帮助企业编制水产绿色养殖发展规划。</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hint="default"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6</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承办南京市乡土人才技艺技能（水产养殖技能）大赛，培养懂技术、善经营的乡村振兴人才队伍。比赛中我单位人员获一等奖1项、二等奖1项，三等奖2项。</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lang w:val="en-US" w:eastAsia="zh-CN"/>
        </w:rPr>
        <w:t>领导带头，履行法治建设责任人职责</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所主要领导履行法治建设第一责任人职责，组织深入贯彻落实习近平法治思想，带头贯彻落实习近平总书记关于法治建设的重要指示精神，按照上级法治建设要求，将法治建设纳入单位工作计划，在基层服务工作中宣传《中华人民共和国渔业法》《中华人民共和国长江保护法》《水产养殖用药明白纸》等渔业相关法律法规。</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kern w:val="0"/>
          <w:sz w:val="32"/>
          <w:szCs w:val="32"/>
        </w:rPr>
      </w:pPr>
      <w:r>
        <w:rPr>
          <w:rFonts w:hint="eastAsia" w:ascii="楷体" w:hAnsi="楷体" w:eastAsia="楷体" w:cs="楷体"/>
          <w:b/>
          <w:color w:val="000000"/>
          <w:kern w:val="0"/>
          <w:sz w:val="32"/>
          <w:szCs w:val="32"/>
        </w:rPr>
        <w:t>（二）单位收支情况</w:t>
      </w:r>
    </w:p>
    <w:p>
      <w:pPr>
        <w:pStyle w:val="11"/>
        <w:keepNext w:val="0"/>
        <w:keepLines w:val="0"/>
        <w:pageBreakBefore w:val="0"/>
        <w:kinsoku/>
        <w:wordWrap/>
        <w:overflowPunct/>
        <w:topLinePunct w:val="0"/>
        <w:autoSpaceDE/>
        <w:autoSpaceDN/>
        <w:bidi w:val="0"/>
        <w:adjustRightInd/>
        <w:snapToGrid/>
        <w:spacing w:line="560" w:lineRule="exact"/>
        <w:ind w:firstLine="600"/>
        <w:textAlignment w:val="auto"/>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收入预算执行情况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年收入</w:t>
      </w:r>
      <w:r>
        <w:rPr>
          <w:rFonts w:hint="default" w:ascii="Times New Roman" w:hAnsi="Times New Roman" w:eastAsia="仿宋" w:cs="Times New Roman"/>
          <w:sz w:val="32"/>
          <w:szCs w:val="32"/>
          <w:lang w:val="en-US" w:eastAsia="zh-CN"/>
        </w:rPr>
        <w:t>3326.26</w:t>
      </w:r>
      <w:r>
        <w:rPr>
          <w:rFonts w:hint="default" w:ascii="Times New Roman" w:hAnsi="Times New Roman" w:eastAsia="仿宋" w:cs="Times New Roman"/>
          <w:sz w:val="32"/>
          <w:szCs w:val="32"/>
        </w:rPr>
        <w:t>万元。其中：财政拨款收入</w:t>
      </w:r>
      <w:r>
        <w:rPr>
          <w:rFonts w:hint="default" w:ascii="Times New Roman" w:hAnsi="Times New Roman" w:eastAsia="仿宋" w:cs="Times New Roman"/>
          <w:sz w:val="32"/>
          <w:szCs w:val="32"/>
          <w:lang w:val="en-US" w:eastAsia="zh-CN"/>
        </w:rPr>
        <w:t>3315.43</w:t>
      </w:r>
      <w:r>
        <w:rPr>
          <w:rFonts w:hint="default" w:ascii="Times New Roman" w:hAnsi="Times New Roman" w:eastAsia="仿宋" w:cs="Times New Roman"/>
          <w:sz w:val="32"/>
          <w:szCs w:val="32"/>
        </w:rPr>
        <w:t>万元，其他收入</w:t>
      </w:r>
      <w:r>
        <w:rPr>
          <w:rFonts w:hint="default" w:ascii="Times New Roman" w:hAnsi="Times New Roman" w:eastAsia="仿宋" w:cs="Times New Roman"/>
          <w:sz w:val="32"/>
          <w:szCs w:val="32"/>
          <w:lang w:val="en-US" w:eastAsia="zh-CN"/>
        </w:rPr>
        <w:t>10.83</w:t>
      </w:r>
      <w:r>
        <w:rPr>
          <w:rFonts w:hint="default" w:ascii="Times New Roman" w:hAnsi="Times New Roman" w:eastAsia="仿宋" w:cs="Times New Roman"/>
          <w:sz w:val="32"/>
          <w:szCs w:val="32"/>
        </w:rPr>
        <w:t>万元。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支出预算执行情况</w:t>
      </w:r>
    </w:p>
    <w:p>
      <w:pPr>
        <w:keepNext w:val="0"/>
        <w:keepLines w:val="0"/>
        <w:pageBreakBefore w:val="0"/>
        <w:tabs>
          <w:tab w:val="left" w:pos="5954"/>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color w:val="000000"/>
          <w:sz w:val="32"/>
          <w:szCs w:val="32"/>
        </w:rPr>
        <w:t>2</w:t>
      </w:r>
      <w:r>
        <w:rPr>
          <w:rFonts w:hint="default" w:ascii="Times New Roman" w:hAnsi="Times New Roman" w:eastAsia="仿宋" w:cs="Times New Roman"/>
          <w:sz w:val="32"/>
          <w:szCs w:val="32"/>
        </w:rPr>
        <w:t>02</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年支出3</w:t>
      </w:r>
      <w:r>
        <w:rPr>
          <w:rFonts w:hint="default" w:ascii="Times New Roman" w:hAnsi="Times New Roman" w:eastAsia="仿宋" w:cs="Times New Roman"/>
          <w:sz w:val="32"/>
          <w:szCs w:val="32"/>
          <w:lang w:val="en-US" w:eastAsia="zh-CN"/>
        </w:rPr>
        <w:t>319.87</w:t>
      </w:r>
      <w:r>
        <w:rPr>
          <w:rFonts w:hint="default" w:ascii="Times New Roman" w:hAnsi="Times New Roman" w:eastAsia="仿宋" w:cs="Times New Roman"/>
          <w:sz w:val="32"/>
          <w:szCs w:val="32"/>
        </w:rPr>
        <w:t>万元。其中：基本支出</w:t>
      </w:r>
      <w:r>
        <w:rPr>
          <w:rFonts w:hint="default" w:ascii="Times New Roman" w:hAnsi="Times New Roman" w:eastAsia="仿宋" w:cs="Times New Roman"/>
          <w:sz w:val="32"/>
          <w:szCs w:val="32"/>
          <w:lang w:val="en-US" w:eastAsia="zh-CN"/>
        </w:rPr>
        <w:t>2150.29</w:t>
      </w:r>
      <w:r>
        <w:rPr>
          <w:rFonts w:hint="default" w:ascii="Times New Roman" w:hAnsi="Times New Roman" w:eastAsia="仿宋" w:cs="Times New Roman"/>
          <w:sz w:val="32"/>
          <w:szCs w:val="32"/>
        </w:rPr>
        <w:t>万元，项目支出1</w:t>
      </w:r>
      <w:r>
        <w:rPr>
          <w:rFonts w:hint="default" w:ascii="Times New Roman" w:hAnsi="Times New Roman" w:eastAsia="仿宋" w:cs="Times New Roman"/>
          <w:sz w:val="32"/>
          <w:szCs w:val="32"/>
          <w:lang w:val="en-US" w:eastAsia="zh-CN"/>
        </w:rPr>
        <w:t>169.58</w:t>
      </w:r>
      <w:r>
        <w:rPr>
          <w:rFonts w:hint="default" w:ascii="Times New Roman" w:hAnsi="Times New Roman" w:eastAsia="仿宋" w:cs="Times New Roman"/>
          <w:sz w:val="32"/>
          <w:szCs w:val="32"/>
        </w:rPr>
        <w:t>万元。</w:t>
      </w:r>
    </w:p>
    <w:p>
      <w:pPr>
        <w:keepNext w:val="0"/>
        <w:keepLines w:val="0"/>
        <w:pageBreakBefore w:val="0"/>
        <w:tabs>
          <w:tab w:val="left" w:pos="5954"/>
        </w:tabs>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sz w:val="32"/>
          <w:szCs w:val="32"/>
        </w:rPr>
      </w:pPr>
      <w:r>
        <w:rPr>
          <w:rFonts w:hint="eastAsia" w:ascii="楷体" w:hAnsi="楷体" w:eastAsia="楷体" w:cs="楷体"/>
          <w:b/>
          <w:sz w:val="32"/>
          <w:szCs w:val="32"/>
        </w:rPr>
        <w:t>（三）单位绩效目标</w:t>
      </w:r>
    </w:p>
    <w:p>
      <w:pPr>
        <w:keepNext w:val="0"/>
        <w:keepLines w:val="0"/>
        <w:pageBreakBefore w:val="0"/>
        <w:tabs>
          <w:tab w:val="left" w:pos="5954"/>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开展水产现代工程技术的研究与应用，提升科研平台的创新能力与示范效益，为把研究中心建设成为一流的渔业创新科研平台发挥积极作用。</w:t>
      </w:r>
      <w:r>
        <w:rPr>
          <w:rFonts w:hint="default" w:ascii="Times New Roman" w:hAnsi="Times New Roman" w:eastAsia="仿宋" w:cs="Times New Roman"/>
          <w:sz w:val="32"/>
          <w:szCs w:val="32"/>
          <w:lang w:val="en-US" w:eastAsia="zh-CN"/>
        </w:rPr>
        <w:t>做好</w:t>
      </w:r>
      <w:r>
        <w:rPr>
          <w:rFonts w:hint="default" w:ascii="Times New Roman" w:hAnsi="Times New Roman" w:eastAsia="仿宋" w:cs="Times New Roman"/>
          <w:sz w:val="32"/>
          <w:szCs w:val="32"/>
        </w:rPr>
        <w:t>省级研究中心的运行与维护，落实亲本保种与更新；</w:t>
      </w:r>
      <w:r>
        <w:rPr>
          <w:rFonts w:hint="default" w:ascii="Times New Roman" w:hAnsi="Times New Roman" w:eastAsia="仿宋" w:cs="Times New Roman"/>
          <w:sz w:val="32"/>
          <w:szCs w:val="32"/>
          <w:lang w:val="en-US" w:eastAsia="zh-CN"/>
        </w:rPr>
        <w:t>进行</w:t>
      </w:r>
      <w:r>
        <w:rPr>
          <w:rFonts w:hint="default" w:ascii="Times New Roman" w:hAnsi="Times New Roman" w:eastAsia="仿宋" w:cs="Times New Roman"/>
          <w:sz w:val="32"/>
          <w:szCs w:val="32"/>
        </w:rPr>
        <w:t>亲本筛选，建立优质基础群体，开展特色品种的规模化繁育；开展特色品种群体选育，培育生长性状稳定的优质亲本后代。</w:t>
      </w:r>
    </w:p>
    <w:p>
      <w:pPr>
        <w:keepNext w:val="0"/>
        <w:keepLines w:val="0"/>
        <w:pageBreakBefore w:val="0"/>
        <w:tabs>
          <w:tab w:val="left" w:pos="5954"/>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lang w:val="en-US" w:eastAsia="zh-CN"/>
        </w:rPr>
        <w:t>开展</w:t>
      </w:r>
      <w:r>
        <w:rPr>
          <w:rFonts w:hint="default" w:ascii="Times New Roman" w:hAnsi="Times New Roman" w:eastAsia="仿宋" w:cs="Times New Roman"/>
          <w:sz w:val="32"/>
          <w:szCs w:val="32"/>
        </w:rPr>
        <w:t>集成特色水产养殖新品种及新技术模式，提升品种种资资源质量及养殖效益。提高禄口科研基地的示范能力及水平，带动本地区水产养殖产业的健康发展。示范应用1项养殖新技术模式，保种培育2个特色水产养殖品种；“四新”技术示范养殖50亩，辐射推广500亩；组织现场观摩学习。</w:t>
      </w:r>
    </w:p>
    <w:p>
      <w:pPr>
        <w:keepNext w:val="0"/>
        <w:keepLines w:val="0"/>
        <w:pageBreakBefore w:val="0"/>
        <w:tabs>
          <w:tab w:val="left" w:pos="5954"/>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建立健全我市水生动物病害预测、预报体系，发布主要水产养殖品种病害的预测、预报和防治建议，为养殖生产提供参考；加强水生动物重大疫病采样监测和实验室诊断能力的建设；加强病害预防控制技术研究和推广应用。</w:t>
      </w:r>
    </w:p>
    <w:p>
      <w:pPr>
        <w:keepNext w:val="0"/>
        <w:keepLines w:val="0"/>
        <w:pageBreakBefore w:val="0"/>
        <w:tabs>
          <w:tab w:val="left" w:pos="5954"/>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完成我市渔业水域环境监测任务，编制市水产养殖水域环境监测评估报告书；对接“产学研基地”、“薄弱村”、“产业园区”等开展技术服务，指导产业转型升级。</w:t>
      </w:r>
    </w:p>
    <w:p>
      <w:pPr>
        <w:keepNext w:val="0"/>
        <w:keepLines w:val="0"/>
        <w:pageBreakBefore w:val="0"/>
        <w:tabs>
          <w:tab w:val="left" w:pos="5954"/>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建立健全各项内控管理制度，并有效执行。</w:t>
      </w:r>
    </w:p>
    <w:p>
      <w:pPr>
        <w:keepNext w:val="0"/>
        <w:keepLines w:val="0"/>
        <w:pageBreakBefore w:val="0"/>
        <w:tabs>
          <w:tab w:val="left" w:pos="5954"/>
        </w:tabs>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sz w:val="32"/>
          <w:szCs w:val="32"/>
        </w:rPr>
      </w:pPr>
      <w:r>
        <w:rPr>
          <w:rFonts w:hint="eastAsia" w:ascii="黑体" w:hAnsi="黑体" w:eastAsia="黑体" w:cs="黑体"/>
          <w:b/>
          <w:sz w:val="32"/>
          <w:szCs w:val="32"/>
        </w:rPr>
        <w:t>二 、评价结论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rPr>
        <w:t>根据年初工作计划、重点工作，紧紧围绕主管部门下达工作目标，通过加强预算收支管理，不断建立健全内部管理制度，梳理内部管理流程，部门整体绩效管理得到提升。</w:t>
      </w:r>
      <w:r>
        <w:rPr>
          <w:rFonts w:hint="default" w:ascii="Times New Roman" w:hAnsi="Times New Roman" w:eastAsia="仿宋" w:cs="Times New Roman"/>
          <w:color w:val="000000"/>
          <w:kern w:val="0"/>
          <w:sz w:val="32"/>
          <w:szCs w:val="32"/>
        </w:rPr>
        <w:t>具体体现在单位信息全面清晰、部门规划计划合理可行、部门预算资金相应匹配、部门绩效指标体系科学、部门目标细化量化，定量和不定量重点工作完成、完成质量良好，社会效益明显，有利于水产工作持续发展，我单位部门整体绩效自评分为9</w:t>
      </w:r>
      <w:r>
        <w:rPr>
          <w:rFonts w:hint="default" w:ascii="Times New Roman" w:hAnsi="Times New Roman" w:eastAsia="仿宋" w:cs="Times New Roman"/>
          <w:color w:val="000000"/>
          <w:kern w:val="0"/>
          <w:sz w:val="32"/>
          <w:szCs w:val="32"/>
          <w:lang w:val="en-US" w:eastAsia="zh-CN"/>
        </w:rPr>
        <w:t>8</w:t>
      </w:r>
      <w:r>
        <w:rPr>
          <w:rFonts w:hint="default" w:ascii="Times New Roman" w:hAnsi="Times New Roman" w:eastAsia="仿宋" w:cs="Times New Roman"/>
          <w:color w:val="000000"/>
          <w:kern w:val="0"/>
          <w:sz w:val="32"/>
          <w:szCs w:val="32"/>
        </w:rPr>
        <w:t>分。</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黑体" w:hAnsi="黑体" w:eastAsia="黑体" w:cs="黑体"/>
          <w:b/>
          <w:color w:val="000000"/>
          <w:kern w:val="0"/>
          <w:sz w:val="32"/>
          <w:szCs w:val="32"/>
        </w:rPr>
      </w:pPr>
      <w:r>
        <w:rPr>
          <w:rFonts w:hint="eastAsia" w:ascii="黑体" w:hAnsi="黑体" w:eastAsia="黑体" w:cs="黑体"/>
          <w:b/>
          <w:color w:val="000000"/>
          <w:kern w:val="0"/>
          <w:sz w:val="32"/>
          <w:szCs w:val="32"/>
        </w:rPr>
        <w:t>三、 履职成效</w:t>
      </w:r>
    </w:p>
    <w:p>
      <w:pPr>
        <w:pStyle w:val="15"/>
        <w:keepNext w:val="0"/>
        <w:keepLines w:val="0"/>
        <w:pageBreakBefore w:val="0"/>
        <w:kinsoku/>
        <w:wordWrap/>
        <w:overflowPunct/>
        <w:topLinePunct w:val="0"/>
        <w:autoSpaceDE/>
        <w:autoSpaceDN/>
        <w:bidi w:val="0"/>
        <w:adjustRightInd/>
        <w:snapToGrid/>
        <w:spacing w:line="560" w:lineRule="exact"/>
        <w:ind w:firstLine="681" w:firstLineChars="213"/>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开展水产养殖种质资源普查，建设水产良种引育种中心及长江特色水产品种种质资源库，开展长江特色品种驯养与繁育技术攻关。启动特色淡水鱼南繁基地建设，继续强化黄颡鱼、加州鲈、兴凯湖白鱼、青虾、河蟹等优势特色品种良种选育与推广，提高良种覆盖率。开展南京水生野生动植物资源调查与宣传保护。开展养殖水域及重要水体水质监测，对现有养殖尾水治理工艺进行评价与改进。做好水产疫病检疫和病害测报工作，加强水生动物疫病防治技术研究，提升生产指导和产业链技术支撑能力。推进重点项目实施，完成到期项目验收。围绕“精品蟹虾”和“特色鱼”两条产业链，示范推广水产“四新”技术，紧密结合“产学研基地”、“产业园区”，做好基层技术服务，落实为民办实事举措。做好水产养殖管理服务平台（鱼水云）与“南京渔业科技”微信公众号平台维护，做好“农技耘”平台推广工作，发挥好平台与新媒体的宣传引导作用。</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color w:val="000000" w:themeColor="text1"/>
          <w:sz w:val="32"/>
          <w:szCs w:val="32"/>
        </w:rPr>
      </w:pPr>
      <w:r>
        <w:rPr>
          <w:rFonts w:hint="eastAsia" w:ascii="黑体" w:hAnsi="黑体" w:eastAsia="黑体" w:cs="黑体"/>
          <w:b/>
          <w:color w:val="000000" w:themeColor="text1"/>
          <w:sz w:val="32"/>
          <w:szCs w:val="32"/>
        </w:rPr>
        <w:t>四、存在问题及原因分析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全员预算绩效管理宣传培训不够，有待进一步加强。</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color w:val="000000"/>
          <w:kern w:val="0"/>
          <w:sz w:val="32"/>
          <w:szCs w:val="32"/>
        </w:rPr>
      </w:pPr>
      <w:r>
        <w:rPr>
          <w:rFonts w:hint="eastAsia" w:ascii="黑体" w:hAnsi="黑体" w:eastAsia="黑体" w:cs="黑体"/>
          <w:b/>
          <w:color w:val="000000"/>
          <w:kern w:val="0"/>
          <w:sz w:val="32"/>
          <w:szCs w:val="32"/>
        </w:rPr>
        <w:t>五、有关建议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color w:val="000000"/>
          <w:kern w:val="0"/>
          <w:sz w:val="32"/>
          <w:szCs w:val="32"/>
        </w:rPr>
        <w:t>强化单位全员预算绩效管理意识，上级部门组织培训、指导，相关人员全程跟踪项目实施和资金使用，做到事前有计划，事中有控制，事后有（审计）总结，</w:t>
      </w:r>
      <w:r>
        <w:rPr>
          <w:rFonts w:hint="default" w:ascii="Times New Roman" w:hAnsi="Times New Roman" w:eastAsia="仿宋" w:cs="Times New Roman"/>
          <w:sz w:val="32"/>
          <w:szCs w:val="32"/>
        </w:rPr>
        <w:t>为我市乡村振兴和农业农村高质量发展尽职尽责。</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附件1：部门整体绩效自评表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kern w:val="0"/>
          <w:sz w:val="32"/>
          <w:szCs w:val="32"/>
        </w:rPr>
      </w:pPr>
    </w:p>
    <w:p>
      <w:pPr>
        <w:keepNext w:val="0"/>
        <w:keepLines w:val="0"/>
        <w:pageBreakBefore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南京市水产科学研究所</w:t>
      </w:r>
    </w:p>
    <w:p>
      <w:pPr>
        <w:keepNext w:val="0"/>
        <w:keepLines w:val="0"/>
        <w:pageBreakBefore w:val="0"/>
        <w:kinsoku/>
        <w:wordWrap/>
        <w:overflowPunct/>
        <w:topLinePunct w:val="0"/>
        <w:autoSpaceDE/>
        <w:autoSpaceDN/>
        <w:bidi w:val="0"/>
        <w:adjustRightInd/>
        <w:snapToGrid/>
        <w:spacing w:line="560" w:lineRule="exact"/>
        <w:ind w:right="300" w:firstLine="640" w:firstLineChars="200"/>
        <w:jc w:val="center"/>
        <w:textAlignment w:val="auto"/>
        <w:rPr>
          <w:rFonts w:hint="default" w:ascii="Times New Roman" w:hAnsi="Times New Roman" w:eastAsia="仿宋" w:cs="Times New Roman"/>
          <w:b/>
          <w:sz w:val="32"/>
          <w:szCs w:val="32"/>
        </w:rPr>
      </w:pPr>
      <w:r>
        <w:rPr>
          <w:rFonts w:hint="default" w:ascii="Times New Roman" w:hAnsi="Times New Roman" w:eastAsia="仿宋" w:cs="Times New Roman"/>
          <w:color w:val="000000"/>
          <w:kern w:val="0"/>
          <w:sz w:val="32"/>
          <w:szCs w:val="32"/>
          <w:lang w:val="en-US" w:eastAsia="zh-CN"/>
        </w:rPr>
        <w:t xml:space="preserve">                                 </w:t>
      </w:r>
      <w:r>
        <w:rPr>
          <w:rFonts w:hint="default" w:ascii="Times New Roman" w:hAnsi="Times New Roman" w:eastAsia="仿宋" w:cs="Times New Roman"/>
          <w:color w:val="000000"/>
          <w:kern w:val="0"/>
          <w:sz w:val="32"/>
          <w:szCs w:val="32"/>
        </w:rPr>
        <w:t>202</w:t>
      </w:r>
      <w:r>
        <w:rPr>
          <w:rFonts w:hint="default" w:ascii="Times New Roman" w:hAnsi="Times New Roman" w:eastAsia="仿宋" w:cs="Times New Roman"/>
          <w:color w:val="000000"/>
          <w:kern w:val="0"/>
          <w:sz w:val="32"/>
          <w:szCs w:val="32"/>
          <w:lang w:val="en-US" w:eastAsia="zh-CN"/>
        </w:rPr>
        <w:t>3</w:t>
      </w:r>
      <w:r>
        <w:rPr>
          <w:rFonts w:hint="default" w:ascii="Times New Roman" w:hAnsi="Times New Roman" w:eastAsia="仿宋" w:cs="Times New Roman"/>
          <w:color w:val="000000"/>
          <w:kern w:val="0"/>
          <w:sz w:val="32"/>
          <w:szCs w:val="32"/>
        </w:rPr>
        <w:t>年6月</w:t>
      </w:r>
      <w:r>
        <w:rPr>
          <w:rFonts w:hint="eastAsia" w:ascii="Times New Roman" w:hAnsi="Times New Roman" w:eastAsia="仿宋" w:cs="Times New Roman"/>
          <w:color w:val="000000"/>
          <w:kern w:val="0"/>
          <w:sz w:val="32"/>
          <w:szCs w:val="32"/>
          <w:lang w:val="en-US" w:eastAsia="zh-CN"/>
        </w:rPr>
        <w:t>28</w:t>
      </w:r>
      <w:r>
        <w:rPr>
          <w:rFonts w:hint="default" w:ascii="Times New Roman" w:hAnsi="Times New Roman" w:eastAsia="仿宋" w:cs="Times New Roman"/>
          <w:color w:val="000000"/>
          <w:kern w:val="0"/>
          <w:sz w:val="32"/>
          <w:szCs w:val="32"/>
        </w:rPr>
        <w:t>日</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Times New Roman" w:hAnsi="Times New Roman" w:eastAsia="仿宋"/>
          <w:b/>
          <w:sz w:val="32"/>
          <w:szCs w:val="32"/>
        </w:rPr>
      </w:pPr>
      <w:r>
        <w:rPr>
          <w:rFonts w:ascii="Times New Roman" w:hAnsi="Times New Roman" w:eastAsia="仿宋"/>
          <w:b/>
          <w:sz w:val="32"/>
          <w:szCs w:val="32"/>
        </w:rPr>
        <w:br w:type="page"/>
      </w:r>
    </w:p>
    <w:p>
      <w:pPr>
        <w:keepNext w:val="0"/>
        <w:keepLines w:val="0"/>
        <w:pageBreakBefore w:val="0"/>
        <w:kinsoku/>
        <w:wordWrap/>
        <w:overflowPunct/>
        <w:topLinePunct w:val="0"/>
        <w:autoSpaceDE/>
        <w:autoSpaceDN/>
        <w:bidi w:val="0"/>
        <w:adjustRightInd/>
        <w:snapToGrid/>
        <w:spacing w:line="560" w:lineRule="exact"/>
        <w:ind w:firstLine="228" w:firstLineChars="71"/>
        <w:textAlignment w:val="auto"/>
        <w:rPr>
          <w:rFonts w:ascii="Times New Roman" w:hAnsi="Times New Roman" w:eastAsia="仿宋"/>
          <w:b/>
          <w:sz w:val="32"/>
          <w:szCs w:val="32"/>
        </w:rPr>
        <w:sectPr>
          <w:footerReference r:id="rId3" w:type="default"/>
          <w:pgSz w:w="11906" w:h="16838"/>
          <w:pgMar w:top="1701" w:right="1587" w:bottom="1440" w:left="1587" w:header="851" w:footer="992" w:gutter="0"/>
          <w:cols w:space="0" w:num="1"/>
          <w:rtlGutter w:val="0"/>
          <w:docGrid w:type="lines" w:linePitch="312" w:charSpace="0"/>
        </w:sectPr>
      </w:pPr>
    </w:p>
    <w:p>
      <w:pPr>
        <w:ind w:firstLine="228" w:firstLineChars="71"/>
        <w:rPr>
          <w:rFonts w:ascii="Times New Roman" w:hAnsi="Times New Roman" w:eastAsia="仿宋"/>
          <w:b/>
          <w:sz w:val="32"/>
          <w:szCs w:val="32"/>
        </w:rPr>
      </w:pPr>
      <w:r>
        <w:rPr>
          <w:rFonts w:hint="eastAsia" w:ascii="Times New Roman" w:hAnsi="Times New Roman" w:eastAsia="仿宋"/>
          <w:b/>
          <w:sz w:val="32"/>
          <w:szCs w:val="32"/>
        </w:rPr>
        <w:t>附件1：                         部门整体绩效评价指标框架</w:t>
      </w:r>
    </w:p>
    <w:tbl>
      <w:tblPr>
        <w:tblStyle w:val="7"/>
        <w:tblW w:w="14142" w:type="dxa"/>
        <w:tblInd w:w="0" w:type="dxa"/>
        <w:tblLayout w:type="fixed"/>
        <w:tblCellMar>
          <w:top w:w="0" w:type="dxa"/>
          <w:left w:w="108" w:type="dxa"/>
          <w:bottom w:w="0" w:type="dxa"/>
          <w:right w:w="108" w:type="dxa"/>
        </w:tblCellMar>
      </w:tblPr>
      <w:tblGrid>
        <w:gridCol w:w="1242"/>
        <w:gridCol w:w="1560"/>
        <w:gridCol w:w="4110"/>
        <w:gridCol w:w="2977"/>
        <w:gridCol w:w="2693"/>
        <w:gridCol w:w="1560"/>
      </w:tblGrid>
      <w:tr>
        <w:tblPrEx>
          <w:tblCellMar>
            <w:top w:w="0" w:type="dxa"/>
            <w:left w:w="108" w:type="dxa"/>
            <w:bottom w:w="0" w:type="dxa"/>
            <w:right w:w="108" w:type="dxa"/>
          </w:tblCellMar>
        </w:tblPrEx>
        <w:trPr>
          <w:trHeight w:val="457" w:hRule="atLeast"/>
          <w:tblHeader/>
        </w:trPr>
        <w:tc>
          <w:tcPr>
            <w:tcW w:w="1242"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一级指标</w:t>
            </w:r>
          </w:p>
        </w:tc>
        <w:tc>
          <w:tcPr>
            <w:tcW w:w="156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二级指标</w:t>
            </w:r>
          </w:p>
        </w:tc>
        <w:tc>
          <w:tcPr>
            <w:tcW w:w="41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三级指标（参考）</w:t>
            </w:r>
          </w:p>
        </w:tc>
        <w:tc>
          <w:tcPr>
            <w:tcW w:w="297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指标说明</w:t>
            </w:r>
          </w:p>
        </w:tc>
        <w:tc>
          <w:tcPr>
            <w:tcW w:w="2693" w:type="dxa"/>
            <w:tcBorders>
              <w:top w:val="single" w:color="auto" w:sz="8" w:space="0"/>
              <w:left w:val="nil"/>
              <w:bottom w:val="single" w:color="auto" w:sz="8" w:space="0"/>
              <w:right w:val="single" w:color="auto" w:sz="4" w:space="0"/>
            </w:tcBorders>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评价要点</w:t>
            </w:r>
          </w:p>
        </w:tc>
        <w:tc>
          <w:tcPr>
            <w:tcW w:w="1560" w:type="dxa"/>
            <w:tcBorders>
              <w:top w:val="single" w:color="auto" w:sz="8" w:space="0"/>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b/>
                <w:bCs/>
                <w:color w:val="000000"/>
                <w:kern w:val="0"/>
                <w:sz w:val="24"/>
                <w:szCs w:val="24"/>
              </w:rPr>
            </w:pPr>
            <w:r>
              <w:rPr>
                <w:rFonts w:ascii="仿宋" w:hAnsi="仿宋" w:eastAsia="仿宋" w:cs="宋体"/>
                <w:b/>
                <w:bCs/>
                <w:color w:val="000000"/>
                <w:kern w:val="0"/>
                <w:sz w:val="24"/>
                <w:szCs w:val="24"/>
              </w:rPr>
              <w:t>自</w:t>
            </w:r>
            <w:r>
              <w:rPr>
                <w:rFonts w:hint="eastAsia" w:ascii="仿宋" w:hAnsi="仿宋" w:eastAsia="仿宋" w:cs="宋体"/>
                <w:b/>
                <w:bCs/>
                <w:color w:val="000000"/>
                <w:kern w:val="0"/>
                <w:sz w:val="24"/>
                <w:szCs w:val="24"/>
              </w:rPr>
              <w:t>评得分</w:t>
            </w:r>
          </w:p>
        </w:tc>
      </w:tr>
      <w:tr>
        <w:tblPrEx>
          <w:tblCellMar>
            <w:top w:w="0" w:type="dxa"/>
            <w:left w:w="108" w:type="dxa"/>
            <w:bottom w:w="0" w:type="dxa"/>
            <w:right w:w="108" w:type="dxa"/>
          </w:tblCellMar>
        </w:tblPrEx>
        <w:trPr>
          <w:trHeight w:val="600" w:hRule="atLeast"/>
        </w:trPr>
        <w:tc>
          <w:tcPr>
            <w:tcW w:w="1242"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A单位决策（15分）</w:t>
            </w:r>
          </w:p>
        </w:tc>
        <w:tc>
          <w:tcPr>
            <w:tcW w:w="156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A1决策机制</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A11决策制度的规范性</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　</w:t>
            </w:r>
            <w:r>
              <w:rPr>
                <w:rFonts w:hint="eastAsia" w:ascii="仿宋" w:hAnsi="仿宋" w:eastAsia="仿宋" w:cs="宋体"/>
                <w:color w:val="000000"/>
                <w:kern w:val="0"/>
                <w:sz w:val="24"/>
                <w:szCs w:val="24"/>
              </w:rPr>
              <w:t>“规范”衡量流程执行</w:t>
            </w:r>
          </w:p>
        </w:tc>
        <w:tc>
          <w:tcPr>
            <w:tcW w:w="2693" w:type="dxa"/>
            <w:tcBorders>
              <w:top w:val="nil"/>
              <w:left w:val="nil"/>
              <w:bottom w:val="single" w:color="auto" w:sz="8" w:space="0"/>
              <w:right w:val="single" w:color="auto" w:sz="4" w:space="0"/>
            </w:tcBorders>
          </w:tcPr>
          <w:p>
            <w:pPr>
              <w:widowControl/>
              <w:jc w:val="left"/>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决策制度有相关的流程图</w:t>
            </w:r>
          </w:p>
        </w:tc>
        <w:tc>
          <w:tcPr>
            <w:tcW w:w="156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　</w:t>
            </w:r>
            <w:r>
              <w:rPr>
                <w:rFonts w:hint="eastAsia" w:ascii="仿宋" w:hAnsi="仿宋" w:eastAsia="仿宋" w:cs="宋体"/>
                <w:color w:val="000000"/>
                <w:kern w:val="0"/>
                <w:sz w:val="24"/>
                <w:szCs w:val="24"/>
              </w:rPr>
              <w:t>1</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A12决策流程的科学性</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“科学”衡量流程的设计</w:t>
            </w:r>
          </w:p>
        </w:tc>
        <w:tc>
          <w:tcPr>
            <w:tcW w:w="2693" w:type="dxa"/>
            <w:tcBorders>
              <w:top w:val="nil"/>
              <w:left w:val="nil"/>
              <w:bottom w:val="single" w:color="auto" w:sz="8" w:space="0"/>
              <w:right w:val="single" w:color="auto" w:sz="4" w:space="0"/>
            </w:tcBorders>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流程设计科学合理</w:t>
            </w:r>
          </w:p>
        </w:tc>
        <w:tc>
          <w:tcPr>
            <w:tcW w:w="156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1</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A13决策执行监督制衡机制</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监督制衡机制的设置与运行</w:t>
            </w:r>
          </w:p>
        </w:tc>
        <w:tc>
          <w:tcPr>
            <w:tcW w:w="2693" w:type="dxa"/>
            <w:tcBorders>
              <w:top w:val="nil"/>
              <w:left w:val="nil"/>
              <w:bottom w:val="single" w:color="auto" w:sz="8" w:space="0"/>
              <w:right w:val="single" w:color="auto" w:sz="4" w:space="0"/>
            </w:tcBorders>
          </w:tcPr>
          <w:p>
            <w:pPr>
              <w:widowControl/>
              <w:jc w:val="left"/>
              <w:rPr>
                <w:rFonts w:ascii="仿宋" w:hAnsi="仿宋" w:eastAsia="仿宋" w:cs="宋体"/>
                <w:color w:val="000000"/>
                <w:kern w:val="0"/>
                <w:sz w:val="22"/>
              </w:rPr>
            </w:pPr>
            <w:r>
              <w:rPr>
                <w:rFonts w:hint="eastAsia" w:ascii="仿宋" w:hAnsi="仿宋" w:eastAsia="仿宋" w:cs="宋体"/>
                <w:color w:val="000000"/>
                <w:kern w:val="0"/>
                <w:sz w:val="22"/>
              </w:rPr>
              <w:t>监督制衡机制设置有效且正常运行</w:t>
            </w:r>
          </w:p>
        </w:tc>
        <w:tc>
          <w:tcPr>
            <w:tcW w:w="1560" w:type="dxa"/>
            <w:tcBorders>
              <w:top w:val="nil"/>
              <w:left w:val="single" w:color="auto" w:sz="4" w:space="0"/>
              <w:bottom w:val="single" w:color="auto" w:sz="8" w:space="0"/>
              <w:right w:val="single" w:color="auto" w:sz="8" w:space="0"/>
            </w:tcBorders>
            <w:shd w:val="clear" w:color="auto" w:fill="auto"/>
            <w:vAlign w:val="center"/>
          </w:tcPr>
          <w:p>
            <w:pPr>
              <w:widowControl/>
              <w:ind w:firstLine="220" w:firstLineChars="100"/>
              <w:jc w:val="left"/>
              <w:rPr>
                <w:rFonts w:ascii="仿宋" w:hAnsi="仿宋" w:eastAsia="仿宋" w:cs="宋体"/>
                <w:color w:val="000000"/>
                <w:kern w:val="0"/>
                <w:sz w:val="22"/>
              </w:rPr>
            </w:pPr>
            <w:r>
              <w:rPr>
                <w:rFonts w:ascii="仿宋" w:hAnsi="仿宋" w:eastAsia="仿宋" w:cs="宋体"/>
                <w:color w:val="000000"/>
                <w:kern w:val="0"/>
                <w:sz w:val="22"/>
              </w:rPr>
              <w:t>1</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A2中长期规划</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A21中长期规划明确性</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符合国家法律法规、国民经济和社会发展规划要求</w:t>
            </w:r>
          </w:p>
        </w:tc>
        <w:tc>
          <w:tcPr>
            <w:tcW w:w="2693" w:type="dxa"/>
            <w:tcBorders>
              <w:top w:val="nil"/>
              <w:left w:val="nil"/>
              <w:bottom w:val="single" w:color="auto" w:sz="8" w:space="0"/>
              <w:right w:val="single" w:color="auto" w:sz="4" w:space="0"/>
            </w:tcBorders>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具体明确可执行</w:t>
            </w:r>
          </w:p>
        </w:tc>
        <w:tc>
          <w:tcPr>
            <w:tcW w:w="156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2</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A22中长期规划与部门职能的匹配性</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与单位职能、发展规划和工作计划密切相关</w:t>
            </w:r>
          </w:p>
        </w:tc>
        <w:tc>
          <w:tcPr>
            <w:tcW w:w="2693" w:type="dxa"/>
            <w:tcBorders>
              <w:top w:val="nil"/>
              <w:left w:val="nil"/>
              <w:bottom w:val="single" w:color="auto" w:sz="8" w:space="0"/>
              <w:right w:val="single" w:color="auto" w:sz="4" w:space="0"/>
            </w:tcBorders>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部门职能相匹配</w:t>
            </w:r>
          </w:p>
        </w:tc>
        <w:tc>
          <w:tcPr>
            <w:tcW w:w="156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2</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A3年度工作计划</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A31年度工作计划明确性</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年度工作计划明确可行</w:t>
            </w:r>
          </w:p>
        </w:tc>
        <w:tc>
          <w:tcPr>
            <w:tcW w:w="2693" w:type="dxa"/>
            <w:tcBorders>
              <w:top w:val="nil"/>
              <w:left w:val="nil"/>
              <w:bottom w:val="single" w:color="auto" w:sz="8" w:space="0"/>
              <w:right w:val="single" w:color="auto" w:sz="4" w:space="0"/>
            </w:tcBorders>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评价年度工作计划是否明确可执行</w:t>
            </w:r>
          </w:p>
        </w:tc>
        <w:tc>
          <w:tcPr>
            <w:tcW w:w="156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r>
              <w:rPr>
                <w:rFonts w:ascii="仿宋" w:hAnsi="仿宋" w:eastAsia="仿宋" w:cs="宋体"/>
                <w:color w:val="000000"/>
                <w:kern w:val="0"/>
                <w:sz w:val="24"/>
                <w:szCs w:val="24"/>
              </w:rPr>
              <w:t>2</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A32年度工作计划与部门职能的匹配性</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与部门职能密切相关</w:t>
            </w:r>
          </w:p>
        </w:tc>
        <w:tc>
          <w:tcPr>
            <w:tcW w:w="2693" w:type="dxa"/>
            <w:tcBorders>
              <w:top w:val="nil"/>
              <w:left w:val="nil"/>
              <w:bottom w:val="single" w:color="auto" w:sz="8" w:space="0"/>
              <w:right w:val="single" w:color="auto" w:sz="4" w:space="0"/>
            </w:tcBorders>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评价其与部门职能相匹配</w:t>
            </w:r>
          </w:p>
        </w:tc>
        <w:tc>
          <w:tcPr>
            <w:tcW w:w="156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2</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A4部门预算编制</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A41预算编制科学规范</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预算编制指“内部预算编制”，“科学”衡量制度设计，“规范”衡量流程执行</w:t>
            </w:r>
          </w:p>
        </w:tc>
        <w:tc>
          <w:tcPr>
            <w:tcW w:w="2693" w:type="dxa"/>
            <w:tcBorders>
              <w:top w:val="nil"/>
              <w:left w:val="nil"/>
              <w:bottom w:val="single" w:color="auto" w:sz="8" w:space="0"/>
              <w:right w:val="single" w:color="auto" w:sz="4" w:space="0"/>
            </w:tcBorders>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检查相关的预算制度文件</w:t>
            </w:r>
          </w:p>
        </w:tc>
        <w:tc>
          <w:tcPr>
            <w:tcW w:w="156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r>
              <w:rPr>
                <w:rFonts w:ascii="仿宋" w:hAnsi="仿宋" w:eastAsia="仿宋" w:cs="宋体"/>
                <w:color w:val="000000"/>
                <w:kern w:val="0"/>
                <w:sz w:val="24"/>
                <w:szCs w:val="24"/>
              </w:rPr>
              <w:t>2</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A42预算编制与重点工作任务的匹配性</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预算编制指“内部预算编制”</w:t>
            </w:r>
          </w:p>
        </w:tc>
        <w:tc>
          <w:tcPr>
            <w:tcW w:w="2693" w:type="dxa"/>
            <w:tcBorders>
              <w:top w:val="nil"/>
              <w:left w:val="nil"/>
              <w:bottom w:val="single" w:color="auto" w:sz="8" w:space="0"/>
              <w:right w:val="single" w:color="auto" w:sz="4" w:space="0"/>
            </w:tcBorders>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工作任务分解表</w:t>
            </w:r>
          </w:p>
        </w:tc>
        <w:tc>
          <w:tcPr>
            <w:tcW w:w="156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r>
              <w:rPr>
                <w:rFonts w:ascii="仿宋" w:hAnsi="仿宋" w:eastAsia="仿宋" w:cs="宋体"/>
                <w:color w:val="000000"/>
                <w:kern w:val="0"/>
                <w:sz w:val="24"/>
                <w:szCs w:val="24"/>
              </w:rPr>
              <w:t>2</w:t>
            </w:r>
          </w:p>
        </w:tc>
      </w:tr>
      <w:tr>
        <w:tblPrEx>
          <w:tblCellMar>
            <w:top w:w="0" w:type="dxa"/>
            <w:left w:w="108" w:type="dxa"/>
            <w:bottom w:w="0" w:type="dxa"/>
            <w:right w:w="108" w:type="dxa"/>
          </w:tblCellMar>
        </w:tblPrEx>
        <w:trPr>
          <w:trHeight w:val="600" w:hRule="atLeast"/>
        </w:trPr>
        <w:tc>
          <w:tcPr>
            <w:tcW w:w="1242" w:type="dxa"/>
            <w:vMerge w:val="restart"/>
            <w:tcBorders>
              <w:top w:val="nil"/>
              <w:left w:val="single" w:color="auto" w:sz="8" w:space="0"/>
              <w:bottom w:val="single" w:color="auto" w:sz="8" w:space="0"/>
              <w:right w:val="single" w:color="auto" w:sz="8" w:space="0"/>
            </w:tcBorders>
            <w:shd w:val="clear" w:color="auto" w:fill="auto"/>
            <w:noWrap/>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B单位管理（20分）</w:t>
            </w:r>
          </w:p>
        </w:tc>
        <w:tc>
          <w:tcPr>
            <w:tcW w:w="1560"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B1预算执行</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B11部门预算执行率</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与市财政局预算处考核口径一致</w:t>
            </w:r>
          </w:p>
        </w:tc>
        <w:tc>
          <w:tcPr>
            <w:tcW w:w="2693" w:type="dxa"/>
            <w:tcBorders>
              <w:top w:val="nil"/>
              <w:left w:val="nil"/>
              <w:bottom w:val="single" w:color="auto" w:sz="8" w:space="0"/>
              <w:right w:val="single" w:color="auto" w:sz="4" w:space="0"/>
            </w:tcBorders>
          </w:tcPr>
          <w:p>
            <w:pPr>
              <w:widowControl/>
              <w:jc w:val="left"/>
              <w:rPr>
                <w:rFonts w:ascii="仿宋" w:hAnsi="仿宋" w:eastAsia="仿宋" w:cs="宋体"/>
                <w:color w:val="000000"/>
                <w:kern w:val="0"/>
                <w:sz w:val="22"/>
              </w:rPr>
            </w:pPr>
            <w:r>
              <w:rPr>
                <w:rFonts w:hint="eastAsia" w:ascii="仿宋" w:hAnsi="仿宋" w:eastAsia="仿宋" w:cs="宋体"/>
                <w:color w:val="000000"/>
                <w:kern w:val="0"/>
                <w:sz w:val="24"/>
                <w:szCs w:val="24"/>
              </w:rPr>
              <w:t>与市财政局预算处考核口径一致</w:t>
            </w:r>
          </w:p>
        </w:tc>
        <w:tc>
          <w:tcPr>
            <w:tcW w:w="156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r>
              <w:rPr>
                <w:rFonts w:ascii="仿宋" w:hAnsi="仿宋" w:eastAsia="仿宋" w:cs="宋体"/>
                <w:color w:val="000000"/>
                <w:kern w:val="0"/>
                <w:sz w:val="22"/>
              </w:rPr>
              <w:t>1</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B12专项资金执行率</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与市财政局预算处考核口径一致</w:t>
            </w:r>
          </w:p>
        </w:tc>
        <w:tc>
          <w:tcPr>
            <w:tcW w:w="2693" w:type="dxa"/>
            <w:tcBorders>
              <w:top w:val="nil"/>
              <w:left w:val="nil"/>
              <w:bottom w:val="single" w:color="auto" w:sz="8" w:space="0"/>
              <w:right w:val="single" w:color="auto" w:sz="4" w:space="0"/>
            </w:tcBorders>
          </w:tcPr>
          <w:p>
            <w:pPr>
              <w:widowControl/>
              <w:jc w:val="left"/>
              <w:rPr>
                <w:rFonts w:ascii="仿宋" w:hAnsi="仿宋" w:eastAsia="仿宋" w:cs="宋体"/>
                <w:color w:val="000000"/>
                <w:kern w:val="0"/>
                <w:sz w:val="22"/>
              </w:rPr>
            </w:pPr>
            <w:r>
              <w:rPr>
                <w:rFonts w:hint="eastAsia" w:ascii="仿宋" w:hAnsi="仿宋" w:eastAsia="仿宋" w:cs="宋体"/>
                <w:color w:val="000000"/>
                <w:kern w:val="0"/>
                <w:sz w:val="24"/>
                <w:szCs w:val="24"/>
              </w:rPr>
              <w:t>与市财政局预算处考核口径一致</w:t>
            </w:r>
          </w:p>
        </w:tc>
        <w:tc>
          <w:tcPr>
            <w:tcW w:w="156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1</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B13“三公”经费控制率</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“三公”经费使用超支扣分，若不超支则不扣分</w:t>
            </w:r>
          </w:p>
        </w:tc>
        <w:tc>
          <w:tcPr>
            <w:tcW w:w="2693" w:type="dxa"/>
            <w:tcBorders>
              <w:top w:val="nil"/>
              <w:left w:val="nil"/>
              <w:bottom w:val="single" w:color="auto" w:sz="8" w:space="0"/>
              <w:right w:val="single" w:color="auto" w:sz="4" w:space="0"/>
            </w:tcBorders>
          </w:tcPr>
          <w:p>
            <w:pPr>
              <w:widowControl/>
              <w:jc w:val="left"/>
              <w:rPr>
                <w:rFonts w:ascii="仿宋" w:hAnsi="仿宋" w:eastAsia="仿宋" w:cs="宋体"/>
                <w:color w:val="000000"/>
                <w:kern w:val="0"/>
                <w:sz w:val="22"/>
              </w:rPr>
            </w:pPr>
            <w:r>
              <w:rPr>
                <w:rFonts w:hint="eastAsia" w:ascii="仿宋" w:hAnsi="仿宋" w:eastAsia="仿宋" w:cs="宋体"/>
                <w:color w:val="000000"/>
                <w:kern w:val="0"/>
                <w:sz w:val="22"/>
              </w:rPr>
              <w:t>三公经费使用情况</w:t>
            </w:r>
          </w:p>
        </w:tc>
        <w:tc>
          <w:tcPr>
            <w:tcW w:w="156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2</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B14预决算信息公开情况 </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预决算是否在“双平台”进行公开，内容和时限是否符合要求</w:t>
            </w:r>
          </w:p>
        </w:tc>
        <w:tc>
          <w:tcPr>
            <w:tcW w:w="2693" w:type="dxa"/>
            <w:tcBorders>
              <w:top w:val="nil"/>
              <w:left w:val="nil"/>
              <w:bottom w:val="single" w:color="auto" w:sz="8" w:space="0"/>
              <w:right w:val="single" w:color="auto" w:sz="4" w:space="0"/>
            </w:tcBorders>
          </w:tcPr>
          <w:p>
            <w:pPr>
              <w:widowControl/>
              <w:jc w:val="left"/>
              <w:rPr>
                <w:rFonts w:ascii="仿宋" w:hAnsi="仿宋" w:eastAsia="仿宋" w:cs="宋体"/>
                <w:color w:val="000000"/>
                <w:kern w:val="0"/>
                <w:sz w:val="22"/>
              </w:rPr>
            </w:pPr>
            <w:r>
              <w:rPr>
                <w:rFonts w:hint="eastAsia" w:ascii="仿宋" w:hAnsi="仿宋" w:eastAsia="仿宋" w:cs="宋体"/>
                <w:color w:val="000000"/>
                <w:kern w:val="0"/>
                <w:sz w:val="22"/>
              </w:rPr>
              <w:t>积极配合主管部门完成预决算信息公开工作</w:t>
            </w:r>
          </w:p>
        </w:tc>
        <w:tc>
          <w:tcPr>
            <w:tcW w:w="1560" w:type="dxa"/>
            <w:tcBorders>
              <w:top w:val="nil"/>
              <w:left w:val="single" w:color="auto" w:sz="4" w:space="0"/>
              <w:bottom w:val="single" w:color="auto" w:sz="8" w:space="0"/>
              <w:right w:val="single" w:color="auto" w:sz="8" w:space="0"/>
            </w:tcBorders>
            <w:shd w:val="clear" w:color="auto" w:fill="auto"/>
            <w:vAlign w:val="center"/>
          </w:tcPr>
          <w:p>
            <w:pPr>
              <w:widowControl/>
              <w:ind w:firstLine="220" w:firstLineChars="100"/>
              <w:jc w:val="left"/>
              <w:rPr>
                <w:rFonts w:ascii="仿宋" w:hAnsi="仿宋" w:eastAsia="仿宋" w:cs="宋体"/>
                <w:color w:val="000000"/>
                <w:kern w:val="0"/>
                <w:sz w:val="22"/>
              </w:rPr>
            </w:pPr>
            <w:r>
              <w:rPr>
                <w:rFonts w:hint="eastAsia" w:ascii="仿宋" w:hAnsi="仿宋" w:eastAsia="仿宋" w:cs="宋体"/>
                <w:color w:val="000000"/>
                <w:kern w:val="0"/>
                <w:sz w:val="22"/>
              </w:rPr>
              <w:t>2</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B2收支管理</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B21收支管理制度健全性</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制度建立健全</w:t>
            </w:r>
          </w:p>
        </w:tc>
        <w:tc>
          <w:tcPr>
            <w:tcW w:w="2693" w:type="dxa"/>
            <w:tcBorders>
              <w:top w:val="nil"/>
              <w:left w:val="nil"/>
              <w:bottom w:val="single" w:color="auto" w:sz="8" w:space="0"/>
              <w:right w:val="single" w:color="auto" w:sz="4" w:space="0"/>
            </w:tcBorders>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制度建立健全</w:t>
            </w:r>
          </w:p>
        </w:tc>
        <w:tc>
          <w:tcPr>
            <w:tcW w:w="156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1</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B22收支管理是否按制度执行</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制度执行并运行有效</w:t>
            </w:r>
          </w:p>
        </w:tc>
        <w:tc>
          <w:tcPr>
            <w:tcW w:w="2693" w:type="dxa"/>
            <w:tcBorders>
              <w:top w:val="nil"/>
              <w:left w:val="nil"/>
              <w:bottom w:val="single" w:color="auto" w:sz="8" w:space="0"/>
              <w:right w:val="single" w:color="auto" w:sz="4" w:space="0"/>
            </w:tcBorders>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制度执行并运行有效</w:t>
            </w:r>
          </w:p>
        </w:tc>
        <w:tc>
          <w:tcPr>
            <w:tcW w:w="156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1</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B3资产管理</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B31资产管理制度健全性</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制度建立健全</w:t>
            </w:r>
          </w:p>
        </w:tc>
        <w:tc>
          <w:tcPr>
            <w:tcW w:w="2693" w:type="dxa"/>
            <w:tcBorders>
              <w:top w:val="nil"/>
              <w:left w:val="nil"/>
              <w:bottom w:val="single" w:color="auto" w:sz="8" w:space="0"/>
              <w:right w:val="single" w:color="auto" w:sz="4" w:space="0"/>
            </w:tcBorders>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制度是否建立健全</w:t>
            </w:r>
          </w:p>
        </w:tc>
        <w:tc>
          <w:tcPr>
            <w:tcW w:w="156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1</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B32资产管理是否按制度执行</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制度执行并运行有效</w:t>
            </w:r>
          </w:p>
        </w:tc>
        <w:tc>
          <w:tcPr>
            <w:tcW w:w="2693" w:type="dxa"/>
            <w:tcBorders>
              <w:top w:val="nil"/>
              <w:left w:val="nil"/>
              <w:bottom w:val="single" w:color="auto" w:sz="8" w:space="0"/>
              <w:right w:val="single" w:color="auto" w:sz="4" w:space="0"/>
            </w:tcBorders>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制度是否执行并运行有效</w:t>
            </w:r>
          </w:p>
        </w:tc>
        <w:tc>
          <w:tcPr>
            <w:tcW w:w="156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1</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B4政府采购管理</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B41政府采购管理制度健全性</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制度建立健全</w:t>
            </w:r>
          </w:p>
        </w:tc>
        <w:tc>
          <w:tcPr>
            <w:tcW w:w="2693" w:type="dxa"/>
            <w:tcBorders>
              <w:top w:val="nil"/>
              <w:left w:val="nil"/>
              <w:bottom w:val="single" w:color="auto" w:sz="8" w:space="0"/>
              <w:right w:val="single" w:color="auto" w:sz="4" w:space="0"/>
            </w:tcBorders>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制度是否建立健全</w:t>
            </w:r>
          </w:p>
        </w:tc>
        <w:tc>
          <w:tcPr>
            <w:tcW w:w="156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1</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B42政府采购管理是否按制度执行</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制度执行并运行有效</w:t>
            </w:r>
          </w:p>
        </w:tc>
        <w:tc>
          <w:tcPr>
            <w:tcW w:w="2693" w:type="dxa"/>
            <w:tcBorders>
              <w:top w:val="nil"/>
              <w:left w:val="nil"/>
              <w:bottom w:val="single" w:color="auto" w:sz="8" w:space="0"/>
              <w:right w:val="single" w:color="auto" w:sz="4" w:space="0"/>
            </w:tcBorders>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制度是否执行并运行有效</w:t>
            </w:r>
          </w:p>
        </w:tc>
        <w:tc>
          <w:tcPr>
            <w:tcW w:w="156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1</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B5建设项目管理（适用）</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B51建设项目管理制度健全性</w:t>
            </w:r>
          </w:p>
        </w:tc>
        <w:tc>
          <w:tcPr>
            <w:tcW w:w="2977"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此项指标根据各个单位具体职能选择是否适用</w:t>
            </w:r>
          </w:p>
        </w:tc>
        <w:tc>
          <w:tcPr>
            <w:tcW w:w="2693" w:type="dxa"/>
            <w:tcBorders>
              <w:top w:val="nil"/>
              <w:left w:val="nil"/>
              <w:bottom w:val="single" w:color="auto" w:sz="8" w:space="0"/>
              <w:right w:val="single" w:color="auto" w:sz="4" w:space="0"/>
            </w:tcBorders>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如不适用得满分</w:t>
            </w:r>
          </w:p>
        </w:tc>
        <w:tc>
          <w:tcPr>
            <w:tcW w:w="156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1</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B52建设项目管理是否按制度执行</w:t>
            </w:r>
          </w:p>
        </w:tc>
        <w:tc>
          <w:tcPr>
            <w:tcW w:w="297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2693" w:type="dxa"/>
            <w:tcBorders>
              <w:top w:val="single" w:color="auto" w:sz="4" w:space="0"/>
              <w:left w:val="nil"/>
              <w:bottom w:val="single" w:color="auto" w:sz="8" w:space="0"/>
              <w:right w:val="single" w:color="auto" w:sz="4" w:space="0"/>
            </w:tcBorders>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如不适用得满分</w:t>
            </w:r>
          </w:p>
        </w:tc>
        <w:tc>
          <w:tcPr>
            <w:tcW w:w="1560" w:type="dxa"/>
            <w:tcBorders>
              <w:top w:val="nil"/>
              <w:left w:val="single" w:color="auto" w:sz="4" w:space="0"/>
              <w:bottom w:val="single" w:color="auto" w:sz="8" w:space="0"/>
              <w:right w:val="single" w:color="auto" w:sz="8" w:space="0"/>
            </w:tcBorders>
            <w:shd w:val="clear" w:color="auto" w:fill="auto"/>
            <w:vAlign w:val="center"/>
          </w:tcPr>
          <w:p>
            <w:pPr>
              <w:widowControl/>
              <w:ind w:firstLine="240" w:firstLineChars="10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B6内部控制管理</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B61内部控制建设情况</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内部控制领导小组、工作小组的成立、内控制度设计、手册编制等</w:t>
            </w:r>
          </w:p>
        </w:tc>
        <w:tc>
          <w:tcPr>
            <w:tcW w:w="2693" w:type="dxa"/>
            <w:tcBorders>
              <w:top w:val="nil"/>
              <w:left w:val="nil"/>
              <w:bottom w:val="single" w:color="auto" w:sz="8" w:space="0"/>
              <w:right w:val="single" w:color="auto" w:sz="4" w:space="0"/>
            </w:tcBorders>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是否成立内控领导小组、工作小组，是否有内部控制制度落实在手册等文本上</w:t>
            </w:r>
          </w:p>
        </w:tc>
        <w:tc>
          <w:tcPr>
            <w:tcW w:w="1560" w:type="dxa"/>
            <w:tcBorders>
              <w:top w:val="nil"/>
              <w:left w:val="single" w:color="auto" w:sz="4" w:space="0"/>
              <w:bottom w:val="single" w:color="auto" w:sz="8" w:space="0"/>
              <w:right w:val="single" w:color="auto" w:sz="8" w:space="0"/>
            </w:tcBorders>
            <w:shd w:val="clear" w:color="auto" w:fill="auto"/>
            <w:vAlign w:val="center"/>
          </w:tcPr>
          <w:p>
            <w:pPr>
              <w:widowControl/>
              <w:ind w:firstLine="240" w:firstLineChars="10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B62内部控制执行情况</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内部控制执行并一贯执行</w:t>
            </w:r>
          </w:p>
        </w:tc>
        <w:tc>
          <w:tcPr>
            <w:tcW w:w="2693" w:type="dxa"/>
            <w:tcBorders>
              <w:top w:val="nil"/>
              <w:left w:val="nil"/>
              <w:bottom w:val="single" w:color="auto" w:sz="8" w:space="0"/>
              <w:right w:val="single" w:color="auto" w:sz="4" w:space="0"/>
            </w:tcBorders>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通过重新执行程序评价内控是否有效</w:t>
            </w:r>
          </w:p>
        </w:tc>
        <w:tc>
          <w:tcPr>
            <w:tcW w:w="1560" w:type="dxa"/>
            <w:tcBorders>
              <w:top w:val="nil"/>
              <w:left w:val="single" w:color="auto" w:sz="4" w:space="0"/>
              <w:bottom w:val="single" w:color="auto" w:sz="8" w:space="0"/>
              <w:right w:val="single" w:color="auto" w:sz="8" w:space="0"/>
            </w:tcBorders>
            <w:shd w:val="clear" w:color="auto" w:fill="auto"/>
            <w:vAlign w:val="center"/>
          </w:tcPr>
          <w:p>
            <w:pPr>
              <w:widowControl/>
              <w:ind w:firstLine="240" w:firstLineChars="100"/>
              <w:jc w:val="left"/>
              <w:rPr>
                <w:rFonts w:ascii="仿宋" w:hAnsi="仿宋" w:eastAsia="仿宋" w:cs="宋体"/>
                <w:color w:val="000000"/>
                <w:kern w:val="0"/>
                <w:sz w:val="24"/>
                <w:szCs w:val="24"/>
              </w:rPr>
            </w:pPr>
            <w:r>
              <w:rPr>
                <w:rFonts w:ascii="仿宋" w:hAnsi="仿宋" w:eastAsia="仿宋" w:cs="宋体"/>
                <w:color w:val="000000"/>
                <w:kern w:val="0"/>
                <w:sz w:val="24"/>
                <w:szCs w:val="24"/>
              </w:rPr>
              <w:t>1</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B63内部控制监督评价</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内部控制监督设计评价和运行评价</w:t>
            </w:r>
          </w:p>
        </w:tc>
        <w:tc>
          <w:tcPr>
            <w:tcW w:w="2693" w:type="dxa"/>
            <w:tcBorders>
              <w:top w:val="nil"/>
              <w:left w:val="nil"/>
              <w:bottom w:val="single" w:color="auto" w:sz="8" w:space="0"/>
              <w:right w:val="single" w:color="auto" w:sz="4" w:space="0"/>
            </w:tcBorders>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是否有单位内部内控评价报告</w:t>
            </w:r>
          </w:p>
        </w:tc>
        <w:tc>
          <w:tcPr>
            <w:tcW w:w="1560" w:type="dxa"/>
            <w:tcBorders>
              <w:top w:val="nil"/>
              <w:left w:val="single" w:color="auto" w:sz="4" w:space="0"/>
              <w:bottom w:val="single" w:color="auto" w:sz="8" w:space="0"/>
              <w:right w:val="single" w:color="auto" w:sz="8" w:space="0"/>
            </w:tcBorders>
            <w:shd w:val="clear" w:color="auto" w:fill="auto"/>
            <w:vAlign w:val="center"/>
          </w:tcPr>
          <w:p>
            <w:pPr>
              <w:widowControl/>
              <w:ind w:firstLine="240" w:firstLineChars="100"/>
              <w:jc w:val="left"/>
              <w:rPr>
                <w:rFonts w:ascii="仿宋" w:hAnsi="仿宋" w:eastAsia="仿宋" w:cs="宋体"/>
                <w:color w:val="000000"/>
                <w:kern w:val="0"/>
                <w:sz w:val="24"/>
                <w:szCs w:val="24"/>
              </w:rPr>
            </w:pPr>
            <w:r>
              <w:rPr>
                <w:rFonts w:ascii="仿宋" w:hAnsi="仿宋" w:eastAsia="仿宋" w:cs="宋体"/>
                <w:color w:val="000000"/>
                <w:kern w:val="0"/>
                <w:sz w:val="24"/>
                <w:szCs w:val="24"/>
              </w:rPr>
              <w:t>1</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B7预算绩效管理</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B71组织管理情况</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主要包含制度建设、职能配置、分行业的指标体系</w:t>
            </w:r>
          </w:p>
        </w:tc>
        <w:tc>
          <w:tcPr>
            <w:tcW w:w="2693" w:type="dxa"/>
            <w:tcBorders>
              <w:top w:val="nil"/>
              <w:left w:val="nil"/>
              <w:bottom w:val="single" w:color="auto" w:sz="8" w:space="0"/>
              <w:right w:val="single" w:color="auto" w:sz="4" w:space="0"/>
            </w:tcBorders>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是否有</w:t>
            </w:r>
            <w:r>
              <w:rPr>
                <w:rFonts w:ascii="仿宋" w:hAnsi="仿宋" w:eastAsia="仿宋" w:cs="宋体"/>
                <w:color w:val="000000"/>
                <w:kern w:val="0"/>
                <w:sz w:val="24"/>
                <w:szCs w:val="24"/>
              </w:rPr>
              <w:t>制度</w:t>
            </w:r>
            <w:r>
              <w:rPr>
                <w:rFonts w:hint="eastAsia" w:ascii="仿宋" w:hAnsi="仿宋" w:eastAsia="仿宋" w:cs="宋体"/>
                <w:color w:val="000000"/>
                <w:kern w:val="0"/>
                <w:sz w:val="24"/>
                <w:szCs w:val="24"/>
              </w:rPr>
              <w:t>建设，与职能配置情况，指标体系构成</w:t>
            </w:r>
          </w:p>
        </w:tc>
        <w:tc>
          <w:tcPr>
            <w:tcW w:w="1560" w:type="dxa"/>
            <w:tcBorders>
              <w:top w:val="nil"/>
              <w:left w:val="single" w:color="auto" w:sz="4" w:space="0"/>
              <w:bottom w:val="single" w:color="auto" w:sz="8" w:space="0"/>
              <w:right w:val="single" w:color="auto" w:sz="8" w:space="0"/>
            </w:tcBorders>
            <w:shd w:val="clear" w:color="auto" w:fill="auto"/>
            <w:vAlign w:val="center"/>
          </w:tcPr>
          <w:p>
            <w:pPr>
              <w:widowControl/>
              <w:ind w:firstLine="240" w:firstLineChars="10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B72工作开展情况</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包含事前评估、目标管理、跟踪评价、自评价和整改落实</w:t>
            </w:r>
          </w:p>
        </w:tc>
        <w:tc>
          <w:tcPr>
            <w:tcW w:w="2693" w:type="dxa"/>
            <w:tcBorders>
              <w:top w:val="nil"/>
              <w:left w:val="nil"/>
              <w:bottom w:val="single" w:color="auto" w:sz="8" w:space="0"/>
              <w:right w:val="single" w:color="auto" w:sz="4" w:space="0"/>
            </w:tcBorders>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考察政策（项目）是否有5个报告</w:t>
            </w:r>
          </w:p>
        </w:tc>
        <w:tc>
          <w:tcPr>
            <w:tcW w:w="1560" w:type="dxa"/>
            <w:tcBorders>
              <w:top w:val="nil"/>
              <w:left w:val="single" w:color="auto" w:sz="4" w:space="0"/>
              <w:bottom w:val="single" w:color="auto" w:sz="8" w:space="0"/>
              <w:right w:val="single" w:color="auto" w:sz="8" w:space="0"/>
            </w:tcBorders>
            <w:shd w:val="clear" w:color="auto" w:fill="auto"/>
            <w:vAlign w:val="center"/>
          </w:tcPr>
          <w:p>
            <w:pPr>
              <w:widowControl/>
              <w:ind w:firstLine="240" w:firstLineChars="10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B73绩效信息公开</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绩效信息是否按照规定的内容和时限在“双平台”进行公开</w:t>
            </w:r>
          </w:p>
        </w:tc>
        <w:tc>
          <w:tcPr>
            <w:tcW w:w="2693" w:type="dxa"/>
            <w:tcBorders>
              <w:top w:val="nil"/>
              <w:left w:val="nil"/>
              <w:bottom w:val="single" w:color="auto" w:sz="8" w:space="0"/>
              <w:right w:val="single" w:color="auto" w:sz="4" w:space="0"/>
            </w:tcBorders>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积极配合主管部门完成相关数据的提供</w:t>
            </w:r>
          </w:p>
        </w:tc>
        <w:tc>
          <w:tcPr>
            <w:tcW w:w="1560" w:type="dxa"/>
            <w:tcBorders>
              <w:top w:val="nil"/>
              <w:left w:val="single" w:color="auto" w:sz="4" w:space="0"/>
              <w:bottom w:val="single" w:color="auto" w:sz="8" w:space="0"/>
              <w:right w:val="single" w:color="auto" w:sz="8" w:space="0"/>
            </w:tcBorders>
            <w:shd w:val="clear" w:color="auto" w:fill="auto"/>
            <w:vAlign w:val="center"/>
          </w:tcPr>
          <w:p>
            <w:pPr>
              <w:widowControl/>
              <w:ind w:firstLine="240" w:firstLineChars="10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r>
      <w:tr>
        <w:tblPrEx>
          <w:tblCellMar>
            <w:top w:w="0" w:type="dxa"/>
            <w:left w:w="108" w:type="dxa"/>
            <w:bottom w:w="0" w:type="dxa"/>
            <w:right w:w="108" w:type="dxa"/>
          </w:tblCellMar>
        </w:tblPrEx>
        <w:trPr>
          <w:trHeight w:val="1162" w:hRule="atLeast"/>
        </w:trPr>
        <w:tc>
          <w:tcPr>
            <w:tcW w:w="1242"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C单位履职(可选方式1：重点工作完成情况)（30分）</w:t>
            </w:r>
          </w:p>
        </w:tc>
        <w:tc>
          <w:tcPr>
            <w:tcW w:w="156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C1重点工作数量完成率</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不设三级指标</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与年初计划相比较</w:t>
            </w:r>
          </w:p>
        </w:tc>
        <w:tc>
          <w:tcPr>
            <w:tcW w:w="2693" w:type="dxa"/>
            <w:tcBorders>
              <w:top w:val="nil"/>
              <w:left w:val="nil"/>
              <w:bottom w:val="single" w:color="auto" w:sz="8" w:space="0"/>
              <w:right w:val="single" w:color="auto" w:sz="4" w:space="0"/>
            </w:tcBorders>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检查数量完成情况</w:t>
            </w:r>
          </w:p>
        </w:tc>
        <w:tc>
          <w:tcPr>
            <w:tcW w:w="156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10</w:t>
            </w:r>
          </w:p>
        </w:tc>
      </w:tr>
      <w:tr>
        <w:tblPrEx>
          <w:tblCellMar>
            <w:top w:w="0" w:type="dxa"/>
            <w:left w:w="108" w:type="dxa"/>
            <w:bottom w:w="0" w:type="dxa"/>
            <w:right w:w="108" w:type="dxa"/>
          </w:tblCellMar>
        </w:tblPrEx>
        <w:trPr>
          <w:trHeight w:val="98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C2重点工作质量达标率</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不设三级指标</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与年初自定的绩效目标相比较</w:t>
            </w:r>
          </w:p>
        </w:tc>
        <w:tc>
          <w:tcPr>
            <w:tcW w:w="2693" w:type="dxa"/>
            <w:tcBorders>
              <w:top w:val="nil"/>
              <w:left w:val="nil"/>
              <w:bottom w:val="single" w:color="auto" w:sz="8" w:space="0"/>
              <w:right w:val="single" w:color="auto" w:sz="4" w:space="0"/>
            </w:tcBorders>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检查质量完成情况</w:t>
            </w:r>
          </w:p>
        </w:tc>
        <w:tc>
          <w:tcPr>
            <w:tcW w:w="156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10</w:t>
            </w:r>
          </w:p>
        </w:tc>
      </w:tr>
      <w:tr>
        <w:tblPrEx>
          <w:tblCellMar>
            <w:top w:w="0" w:type="dxa"/>
            <w:left w:w="108" w:type="dxa"/>
            <w:bottom w:w="0" w:type="dxa"/>
            <w:right w:w="108" w:type="dxa"/>
          </w:tblCellMar>
        </w:tblPrEx>
        <w:trPr>
          <w:trHeight w:val="1779"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C3重点工作完成及时率</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不设三级指标</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参照财政部门及主管部门规定的要求</w:t>
            </w:r>
          </w:p>
        </w:tc>
        <w:tc>
          <w:tcPr>
            <w:tcW w:w="2693" w:type="dxa"/>
            <w:tcBorders>
              <w:top w:val="nil"/>
              <w:left w:val="nil"/>
              <w:bottom w:val="single" w:color="auto" w:sz="8" w:space="0"/>
              <w:right w:val="single" w:color="auto" w:sz="4" w:space="0"/>
            </w:tcBorders>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检查比如资金的使用，审计报告、验收报告等完成情况</w:t>
            </w:r>
          </w:p>
        </w:tc>
        <w:tc>
          <w:tcPr>
            <w:tcW w:w="156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10</w:t>
            </w:r>
          </w:p>
        </w:tc>
      </w:tr>
      <w:tr>
        <w:tblPrEx>
          <w:tblCellMar>
            <w:top w:w="0" w:type="dxa"/>
            <w:left w:w="108" w:type="dxa"/>
            <w:bottom w:w="0" w:type="dxa"/>
            <w:right w:w="108" w:type="dxa"/>
          </w:tblCellMar>
        </w:tblPrEx>
        <w:trPr>
          <w:trHeight w:val="600" w:hRule="atLeast"/>
        </w:trPr>
        <w:tc>
          <w:tcPr>
            <w:tcW w:w="1242" w:type="dxa"/>
            <w:vMerge w:val="restart"/>
            <w:tcBorders>
              <w:top w:val="nil"/>
              <w:left w:val="single" w:color="auto" w:sz="8" w:space="0"/>
              <w:right w:val="single" w:color="auto" w:sz="8" w:space="0"/>
            </w:tcBorders>
            <w:shd w:val="clear" w:color="auto" w:fill="auto"/>
            <w:noWrap/>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D履职绩效（30分）</w:t>
            </w:r>
          </w:p>
        </w:tc>
        <w:tc>
          <w:tcPr>
            <w:tcW w:w="156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D1经济效益</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不设三级指标</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经济活动中取得的收益性成果</w:t>
            </w:r>
          </w:p>
        </w:tc>
        <w:tc>
          <w:tcPr>
            <w:tcW w:w="2693" w:type="dxa"/>
            <w:tcBorders>
              <w:top w:val="nil"/>
              <w:left w:val="nil"/>
              <w:bottom w:val="single" w:color="auto" w:sz="8" w:space="0"/>
              <w:right w:val="single" w:color="auto" w:sz="4" w:space="0"/>
            </w:tcBorders>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计算经济性成果</w:t>
            </w:r>
          </w:p>
        </w:tc>
        <w:tc>
          <w:tcPr>
            <w:tcW w:w="1560" w:type="dxa"/>
            <w:tcBorders>
              <w:top w:val="nil"/>
              <w:left w:val="single" w:color="auto" w:sz="4" w:space="0"/>
              <w:bottom w:val="single" w:color="auto" w:sz="8" w:space="0"/>
              <w:right w:val="single" w:color="auto" w:sz="8" w:space="0"/>
            </w:tcBorders>
            <w:shd w:val="clear" w:color="auto" w:fill="auto"/>
            <w:vAlign w:val="center"/>
          </w:tcPr>
          <w:p>
            <w:pPr>
              <w:widowControl/>
              <w:ind w:firstLine="240" w:firstLineChars="10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r>
      <w:tr>
        <w:tblPrEx>
          <w:tblCellMar>
            <w:top w:w="0" w:type="dxa"/>
            <w:left w:w="108" w:type="dxa"/>
            <w:bottom w:w="0" w:type="dxa"/>
            <w:right w:w="108" w:type="dxa"/>
          </w:tblCellMar>
        </w:tblPrEx>
        <w:trPr>
          <w:trHeight w:val="600" w:hRule="atLeast"/>
        </w:trPr>
        <w:tc>
          <w:tcPr>
            <w:tcW w:w="1242" w:type="dxa"/>
            <w:vMerge w:val="continue"/>
            <w:tcBorders>
              <w:left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D2社会效益</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不设三级指标</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　经济效益之外的对社会有益的效果 </w:t>
            </w:r>
          </w:p>
        </w:tc>
        <w:tc>
          <w:tcPr>
            <w:tcW w:w="2693" w:type="dxa"/>
            <w:tcBorders>
              <w:top w:val="nil"/>
              <w:left w:val="nil"/>
              <w:bottom w:val="single" w:color="auto" w:sz="8" w:space="0"/>
              <w:right w:val="single" w:color="auto" w:sz="4" w:space="0"/>
            </w:tcBorders>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评价社会性有益效果 </w:t>
            </w:r>
          </w:p>
        </w:tc>
        <w:tc>
          <w:tcPr>
            <w:tcW w:w="156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9</w:t>
            </w:r>
          </w:p>
        </w:tc>
      </w:tr>
      <w:tr>
        <w:tblPrEx>
          <w:tblCellMar>
            <w:top w:w="0" w:type="dxa"/>
            <w:left w:w="108" w:type="dxa"/>
            <w:bottom w:w="0" w:type="dxa"/>
            <w:right w:w="108" w:type="dxa"/>
          </w:tblCellMar>
        </w:tblPrEx>
        <w:trPr>
          <w:trHeight w:val="600" w:hRule="atLeast"/>
        </w:trPr>
        <w:tc>
          <w:tcPr>
            <w:tcW w:w="1242" w:type="dxa"/>
            <w:vMerge w:val="continue"/>
            <w:tcBorders>
              <w:left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D3生态效益</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不设三级指标</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生态平衡和生态系统的良性高效循环</w:t>
            </w:r>
          </w:p>
        </w:tc>
        <w:tc>
          <w:tcPr>
            <w:tcW w:w="2693" w:type="dxa"/>
            <w:tcBorders>
              <w:top w:val="nil"/>
              <w:left w:val="nil"/>
              <w:bottom w:val="single" w:color="auto" w:sz="8" w:space="0"/>
              <w:right w:val="single" w:color="auto" w:sz="4" w:space="0"/>
            </w:tcBorders>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评价生态平衡及系统循环情况</w:t>
            </w:r>
          </w:p>
        </w:tc>
        <w:tc>
          <w:tcPr>
            <w:tcW w:w="156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9</w:t>
            </w:r>
          </w:p>
        </w:tc>
      </w:tr>
      <w:tr>
        <w:tblPrEx>
          <w:tblCellMar>
            <w:top w:w="0" w:type="dxa"/>
            <w:left w:w="108" w:type="dxa"/>
            <w:bottom w:w="0" w:type="dxa"/>
            <w:right w:w="108" w:type="dxa"/>
          </w:tblCellMar>
        </w:tblPrEx>
        <w:trPr>
          <w:trHeight w:val="915" w:hRule="atLeast"/>
        </w:trPr>
        <w:tc>
          <w:tcPr>
            <w:tcW w:w="1242" w:type="dxa"/>
            <w:vMerge w:val="continue"/>
            <w:tcBorders>
              <w:left w:val="single" w:color="auto" w:sz="8" w:space="0"/>
              <w:bottom w:val="single" w:color="auto" w:sz="4"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tcBorders>
              <w:top w:val="nil"/>
              <w:left w:val="nil"/>
              <w:bottom w:val="single" w:color="auto" w:sz="4"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D4满意度</w:t>
            </w:r>
          </w:p>
        </w:tc>
        <w:tc>
          <w:tcPr>
            <w:tcW w:w="4110" w:type="dxa"/>
            <w:tcBorders>
              <w:top w:val="nil"/>
              <w:left w:val="nil"/>
              <w:bottom w:val="single" w:color="auto" w:sz="4"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不设三级指标</w:t>
            </w:r>
          </w:p>
        </w:tc>
        <w:tc>
          <w:tcPr>
            <w:tcW w:w="2977" w:type="dxa"/>
            <w:tcBorders>
              <w:top w:val="nil"/>
              <w:left w:val="nil"/>
              <w:bottom w:val="single" w:color="auto" w:sz="4"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包含服务对象（可选）、管理对象（可选）、间接受益对象（可选）等</w:t>
            </w:r>
          </w:p>
        </w:tc>
        <w:tc>
          <w:tcPr>
            <w:tcW w:w="2693"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涉及检查服务对象、管理对象、间接受益对象评价表；未涉及可得满分</w:t>
            </w:r>
          </w:p>
        </w:tc>
        <w:tc>
          <w:tcPr>
            <w:tcW w:w="1560" w:type="dxa"/>
            <w:tcBorders>
              <w:top w:val="nil"/>
              <w:left w:val="single" w:color="auto" w:sz="4" w:space="0"/>
              <w:bottom w:val="single" w:color="auto" w:sz="4" w:space="0"/>
              <w:right w:val="single" w:color="auto" w:sz="8" w:space="0"/>
            </w:tcBorders>
            <w:shd w:val="clear" w:color="auto" w:fill="auto"/>
            <w:vAlign w:val="center"/>
          </w:tcPr>
          <w:p>
            <w:pPr>
              <w:widowControl/>
              <w:ind w:firstLine="240" w:firstLineChars="10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9</w:t>
            </w:r>
          </w:p>
        </w:tc>
      </w:tr>
      <w:tr>
        <w:tblPrEx>
          <w:tblCellMar>
            <w:top w:w="0" w:type="dxa"/>
            <w:left w:w="108" w:type="dxa"/>
            <w:bottom w:w="0" w:type="dxa"/>
            <w:right w:w="108" w:type="dxa"/>
          </w:tblCellMar>
        </w:tblPrEx>
        <w:trPr>
          <w:trHeight w:val="600" w:hRule="atLeast"/>
        </w:trPr>
        <w:tc>
          <w:tcPr>
            <w:tcW w:w="1242" w:type="dxa"/>
            <w:vMerge w:val="restar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E可持续发展能力（5分）</w:t>
            </w:r>
          </w:p>
        </w:tc>
        <w:tc>
          <w:tcPr>
            <w:tcW w:w="1560"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E1信息化建设情况（可选）</w:t>
            </w:r>
          </w:p>
        </w:tc>
        <w:tc>
          <w:tcPr>
            <w:tcW w:w="4110"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不设三级指标</w:t>
            </w:r>
          </w:p>
        </w:tc>
        <w:tc>
          <w:tcPr>
            <w:tcW w:w="2977"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办公流程、业务开展是否能通过单位的信息系统实现</w:t>
            </w:r>
          </w:p>
        </w:tc>
        <w:tc>
          <w:tcPr>
            <w:tcW w:w="2693" w:type="dxa"/>
            <w:tcBorders>
              <w:top w:val="single" w:color="auto" w:sz="8" w:space="0"/>
              <w:left w:val="nil"/>
              <w:bottom w:val="single" w:color="auto" w:sz="8" w:space="0"/>
              <w:right w:val="single" w:color="auto" w:sz="4" w:space="0"/>
            </w:tcBorders>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检查或进行穿行测试</w:t>
            </w:r>
          </w:p>
        </w:tc>
        <w:tc>
          <w:tcPr>
            <w:tcW w:w="1560" w:type="dxa"/>
            <w:tcBorders>
              <w:top w:val="single" w:color="auto" w:sz="8" w:space="0"/>
              <w:left w:val="single" w:color="auto" w:sz="4" w:space="0"/>
              <w:bottom w:val="single" w:color="auto" w:sz="8" w:space="0"/>
              <w:right w:val="single" w:color="auto" w:sz="8" w:space="0"/>
            </w:tcBorders>
            <w:shd w:val="clear" w:color="auto" w:fill="auto"/>
            <w:vAlign w:val="center"/>
          </w:tcPr>
          <w:p>
            <w:pPr>
              <w:widowControl/>
              <w:ind w:firstLine="240" w:firstLineChars="100"/>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600" w:hRule="atLeast"/>
        </w:trPr>
        <w:tc>
          <w:tcPr>
            <w:tcW w:w="1242"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E2人力资源建设情况（可选）</w:t>
            </w:r>
          </w:p>
        </w:tc>
        <w:tc>
          <w:tcPr>
            <w:tcW w:w="4110" w:type="dxa"/>
            <w:tcBorders>
              <w:top w:val="nil"/>
              <w:left w:val="nil"/>
              <w:bottom w:val="single" w:color="auto" w:sz="8" w:space="0"/>
              <w:right w:val="single" w:color="auto" w:sz="8"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r>
              <w:rPr>
                <w:rFonts w:hint="eastAsia" w:ascii="仿宋" w:hAnsi="仿宋" w:eastAsia="仿宋" w:cs="宋体"/>
                <w:color w:val="000000"/>
                <w:kern w:val="0"/>
                <w:sz w:val="24"/>
                <w:szCs w:val="24"/>
              </w:rPr>
              <w:t>不设三级指标</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包含人才培养计划、人才选拔运用、激励措施等</w:t>
            </w:r>
          </w:p>
        </w:tc>
        <w:tc>
          <w:tcPr>
            <w:tcW w:w="2693" w:type="dxa"/>
            <w:tcBorders>
              <w:top w:val="nil"/>
              <w:left w:val="nil"/>
              <w:bottom w:val="single" w:color="auto" w:sz="8" w:space="0"/>
              <w:right w:val="single" w:color="auto" w:sz="4" w:space="0"/>
            </w:tcBorders>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适用检查是否有人才培养计划、人才选拔运用及激励措施方面形成的文件；不适用可得满分</w:t>
            </w:r>
          </w:p>
        </w:tc>
        <w:tc>
          <w:tcPr>
            <w:tcW w:w="1560" w:type="dxa"/>
            <w:tcBorders>
              <w:top w:val="nil"/>
              <w:left w:val="single" w:color="auto" w:sz="4" w:space="0"/>
              <w:bottom w:val="single" w:color="auto" w:sz="8" w:space="0"/>
              <w:right w:val="single" w:color="auto" w:sz="8" w:space="0"/>
            </w:tcBorders>
            <w:shd w:val="clear" w:color="auto" w:fill="auto"/>
            <w:noWrap/>
            <w:vAlign w:val="center"/>
          </w:tcPr>
          <w:p>
            <w:pPr>
              <w:widowControl/>
              <w:ind w:firstLine="220" w:firstLineChars="100"/>
              <w:jc w:val="left"/>
              <w:rPr>
                <w:rFonts w:ascii="等线" w:hAnsi="等线" w:eastAsia="等线" w:cs="宋体"/>
                <w:color w:val="000000"/>
                <w:kern w:val="0"/>
                <w:sz w:val="22"/>
              </w:rPr>
            </w:pPr>
            <w:r>
              <w:rPr>
                <w:rFonts w:hint="eastAsia" w:ascii="等线" w:hAnsi="等线" w:eastAsia="等线" w:cs="宋体"/>
                <w:color w:val="000000"/>
                <w:kern w:val="0"/>
                <w:sz w:val="22"/>
              </w:rPr>
              <w:t>1</w:t>
            </w:r>
          </w:p>
        </w:tc>
      </w:tr>
      <w:tr>
        <w:tblPrEx>
          <w:tblCellMar>
            <w:top w:w="0" w:type="dxa"/>
            <w:left w:w="108" w:type="dxa"/>
            <w:bottom w:w="0" w:type="dxa"/>
            <w:right w:w="108" w:type="dxa"/>
          </w:tblCellMar>
        </w:tblPrEx>
        <w:trPr>
          <w:trHeight w:val="600" w:hRule="atLeast"/>
        </w:trPr>
        <w:tc>
          <w:tcPr>
            <w:tcW w:w="1242"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E3部门创新情况（可选）</w:t>
            </w:r>
          </w:p>
        </w:tc>
        <w:tc>
          <w:tcPr>
            <w:tcW w:w="4110" w:type="dxa"/>
            <w:tcBorders>
              <w:top w:val="nil"/>
              <w:left w:val="nil"/>
              <w:bottom w:val="single" w:color="auto" w:sz="8" w:space="0"/>
              <w:right w:val="single" w:color="auto" w:sz="8" w:space="0"/>
            </w:tcBorders>
            <w:shd w:val="clear" w:color="auto" w:fill="auto"/>
            <w:noWrap/>
            <w:vAlign w:val="center"/>
          </w:tcPr>
          <w:p>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r>
              <w:rPr>
                <w:rFonts w:hint="eastAsia" w:ascii="仿宋" w:hAnsi="仿宋" w:eastAsia="仿宋" w:cs="宋体"/>
                <w:color w:val="000000"/>
                <w:kern w:val="0"/>
                <w:sz w:val="24"/>
                <w:szCs w:val="24"/>
              </w:rPr>
              <w:t>不设三级指标</w:t>
            </w:r>
          </w:p>
        </w:tc>
        <w:tc>
          <w:tcPr>
            <w:tcW w:w="2977" w:type="dxa"/>
            <w:tcBorders>
              <w:top w:val="nil"/>
              <w:left w:val="nil"/>
              <w:bottom w:val="single" w:color="auto" w:sz="8" w:space="0"/>
              <w:right w:val="single" w:color="auto" w:sz="8" w:space="0"/>
            </w:tcBorders>
            <w:shd w:val="clear" w:color="auto" w:fill="auto"/>
            <w:noWrap/>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包含制度创新、方法创新等</w:t>
            </w:r>
          </w:p>
        </w:tc>
        <w:tc>
          <w:tcPr>
            <w:tcW w:w="2693" w:type="dxa"/>
            <w:tcBorders>
              <w:top w:val="nil"/>
              <w:left w:val="nil"/>
              <w:bottom w:val="single" w:color="auto" w:sz="8" w:space="0"/>
              <w:right w:val="single" w:color="auto" w:sz="4" w:space="0"/>
            </w:tcBorders>
            <w:vAlign w:val="center"/>
          </w:tcPr>
          <w:p>
            <w:pPr>
              <w:widowControl/>
              <w:jc w:val="left"/>
              <w:rPr>
                <w:rFonts w:ascii="仿宋" w:hAnsi="仿宋" w:eastAsia="仿宋" w:cs="宋体"/>
                <w:color w:val="000000"/>
                <w:kern w:val="0"/>
                <w:sz w:val="22"/>
              </w:rPr>
            </w:pPr>
            <w:r>
              <w:rPr>
                <w:rFonts w:hint="eastAsia" w:ascii="仿宋" w:hAnsi="仿宋" w:eastAsia="仿宋" w:cs="宋体"/>
                <w:color w:val="000000"/>
                <w:kern w:val="0"/>
                <w:sz w:val="22"/>
              </w:rPr>
              <w:t>部门（单位）需提供创新案例被官方媒体报道的佐证材料</w:t>
            </w:r>
          </w:p>
        </w:tc>
        <w:tc>
          <w:tcPr>
            <w:tcW w:w="1560" w:type="dxa"/>
            <w:tcBorders>
              <w:top w:val="nil"/>
              <w:left w:val="single" w:color="auto" w:sz="4" w:space="0"/>
              <w:bottom w:val="single" w:color="auto" w:sz="8" w:space="0"/>
              <w:right w:val="single" w:color="auto" w:sz="8" w:space="0"/>
            </w:tcBorders>
            <w:shd w:val="clear" w:color="auto" w:fill="auto"/>
            <w:noWrap/>
            <w:vAlign w:val="center"/>
          </w:tcPr>
          <w:p>
            <w:pPr>
              <w:widowControl/>
              <w:ind w:firstLine="220" w:firstLineChars="100"/>
              <w:jc w:val="left"/>
              <w:rPr>
                <w:rFonts w:ascii="仿宋" w:hAnsi="仿宋" w:eastAsia="仿宋" w:cs="宋体"/>
                <w:color w:val="000000"/>
                <w:kern w:val="0"/>
                <w:sz w:val="22"/>
              </w:rPr>
            </w:pPr>
            <w:r>
              <w:rPr>
                <w:rFonts w:hint="eastAsia" w:ascii="仿宋" w:hAnsi="仿宋" w:eastAsia="仿宋" w:cs="宋体"/>
                <w:color w:val="000000"/>
                <w:kern w:val="0"/>
                <w:sz w:val="22"/>
              </w:rPr>
              <w:t>2</w:t>
            </w:r>
          </w:p>
        </w:tc>
      </w:tr>
      <w:tr>
        <w:tblPrEx>
          <w:tblCellMar>
            <w:top w:w="0" w:type="dxa"/>
            <w:left w:w="108" w:type="dxa"/>
            <w:bottom w:w="0" w:type="dxa"/>
            <w:right w:w="108" w:type="dxa"/>
          </w:tblCellMar>
        </w:tblPrEx>
        <w:trPr>
          <w:trHeight w:val="923" w:hRule="atLeast"/>
        </w:trPr>
        <w:tc>
          <w:tcPr>
            <w:tcW w:w="1242" w:type="dxa"/>
            <w:vMerge w:val="restart"/>
            <w:tcBorders>
              <w:top w:val="nil"/>
              <w:left w:val="single" w:color="auto" w:sz="8" w:space="0"/>
              <w:bottom w:val="single" w:color="auto" w:sz="8" w:space="0"/>
              <w:right w:val="single" w:color="auto" w:sz="8" w:space="0"/>
            </w:tcBorders>
            <w:shd w:val="clear" w:color="auto" w:fill="auto"/>
            <w:noWrap/>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F加减分项（≤5分）</w:t>
            </w:r>
          </w:p>
        </w:tc>
        <w:tc>
          <w:tcPr>
            <w:tcW w:w="156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F1加分项</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不设三级指标</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部门（单位）受到国务院、省级、市级嘉奖</w:t>
            </w:r>
          </w:p>
        </w:tc>
        <w:tc>
          <w:tcPr>
            <w:tcW w:w="2693" w:type="dxa"/>
            <w:tcBorders>
              <w:top w:val="nil"/>
              <w:left w:val="nil"/>
              <w:bottom w:val="single" w:color="auto" w:sz="8" w:space="0"/>
              <w:right w:val="single" w:color="auto" w:sz="4" w:space="0"/>
            </w:tcBorders>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受到国务院嘉奖加3分，受到省级嘉奖加2分，得到市级考核一等奖加1分，得到市级考核二等奖加0.5分；同一项工作不累计加分</w:t>
            </w:r>
          </w:p>
        </w:tc>
        <w:tc>
          <w:tcPr>
            <w:tcW w:w="1560" w:type="dxa"/>
            <w:tcBorders>
              <w:top w:val="nil"/>
              <w:left w:val="single" w:color="auto" w:sz="4" w:space="0"/>
              <w:bottom w:val="single" w:color="auto" w:sz="8" w:space="0"/>
              <w:right w:val="single" w:color="auto" w:sz="8" w:space="0"/>
            </w:tcBorders>
            <w:shd w:val="clear" w:color="auto" w:fill="auto"/>
            <w:vAlign w:val="center"/>
          </w:tcPr>
          <w:p>
            <w:pPr>
              <w:widowControl/>
              <w:ind w:firstLine="240" w:firstLineChars="10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nil"/>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tcBorders>
              <w:top w:val="nil"/>
              <w:left w:val="nil"/>
              <w:bottom w:val="nil"/>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F2减分项</w:t>
            </w:r>
          </w:p>
        </w:tc>
        <w:tc>
          <w:tcPr>
            <w:tcW w:w="4110" w:type="dxa"/>
            <w:tcBorders>
              <w:top w:val="nil"/>
              <w:left w:val="nil"/>
              <w:bottom w:val="nil"/>
              <w:right w:val="single" w:color="auto" w:sz="8"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r>
              <w:rPr>
                <w:rFonts w:hint="eastAsia" w:ascii="仿宋" w:hAnsi="仿宋" w:eastAsia="仿宋" w:cs="宋体"/>
                <w:color w:val="000000"/>
                <w:kern w:val="0"/>
                <w:sz w:val="24"/>
                <w:szCs w:val="24"/>
              </w:rPr>
              <w:t>不设三级指标</w:t>
            </w:r>
          </w:p>
        </w:tc>
        <w:tc>
          <w:tcPr>
            <w:tcW w:w="2977" w:type="dxa"/>
            <w:tcBorders>
              <w:top w:val="nil"/>
              <w:left w:val="nil"/>
              <w:bottom w:val="nil"/>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部门（单位）或工作人员违法违纪</w:t>
            </w:r>
          </w:p>
        </w:tc>
        <w:tc>
          <w:tcPr>
            <w:tcW w:w="2693" w:type="dxa"/>
            <w:tcBorders>
              <w:top w:val="nil"/>
              <w:left w:val="nil"/>
              <w:bottom w:val="nil"/>
              <w:right w:val="single" w:color="auto" w:sz="4" w:space="0"/>
            </w:tcBorders>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酌情扣分</w:t>
            </w:r>
          </w:p>
        </w:tc>
        <w:tc>
          <w:tcPr>
            <w:tcW w:w="1560" w:type="dxa"/>
            <w:tcBorders>
              <w:top w:val="nil"/>
              <w:left w:val="single" w:color="auto" w:sz="4" w:space="0"/>
              <w:bottom w:val="nil"/>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0</w:t>
            </w:r>
          </w:p>
        </w:tc>
      </w:tr>
      <w:tr>
        <w:tblPrEx>
          <w:tblCellMar>
            <w:top w:w="0" w:type="dxa"/>
            <w:left w:w="108" w:type="dxa"/>
            <w:bottom w:w="0" w:type="dxa"/>
            <w:right w:w="108" w:type="dxa"/>
          </w:tblCellMar>
        </w:tblPrEx>
        <w:trPr>
          <w:trHeight w:val="203" w:hRule="atLeast"/>
        </w:trPr>
        <w:tc>
          <w:tcPr>
            <w:tcW w:w="1242" w:type="dxa"/>
            <w:tcBorders>
              <w:top w:val="nil"/>
              <w:left w:val="single" w:color="auto" w:sz="8" w:space="0"/>
              <w:bottom w:val="single" w:color="auto" w:sz="4"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tcBorders>
              <w:top w:val="nil"/>
              <w:left w:val="nil"/>
              <w:bottom w:val="single" w:color="auto" w:sz="4"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p>
        </w:tc>
        <w:tc>
          <w:tcPr>
            <w:tcW w:w="4110" w:type="dxa"/>
            <w:tcBorders>
              <w:top w:val="nil"/>
              <w:left w:val="nil"/>
              <w:bottom w:val="single" w:color="auto" w:sz="4" w:space="0"/>
              <w:right w:val="single" w:color="auto" w:sz="8" w:space="0"/>
            </w:tcBorders>
            <w:shd w:val="clear" w:color="auto" w:fill="auto"/>
            <w:noWrap/>
            <w:vAlign w:val="center"/>
          </w:tcPr>
          <w:p>
            <w:pPr>
              <w:widowControl/>
              <w:jc w:val="left"/>
              <w:rPr>
                <w:rFonts w:ascii="等线" w:hAnsi="等线" w:eastAsia="等线" w:cs="宋体"/>
                <w:color w:val="000000"/>
                <w:kern w:val="0"/>
                <w:sz w:val="22"/>
              </w:rPr>
            </w:pPr>
          </w:p>
        </w:tc>
        <w:tc>
          <w:tcPr>
            <w:tcW w:w="2977" w:type="dxa"/>
            <w:tcBorders>
              <w:top w:val="nil"/>
              <w:left w:val="nil"/>
              <w:bottom w:val="single" w:color="auto" w:sz="4"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p>
        </w:tc>
        <w:tc>
          <w:tcPr>
            <w:tcW w:w="2693"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1560" w:type="dxa"/>
            <w:tcBorders>
              <w:top w:val="nil"/>
              <w:left w:val="single" w:color="auto" w:sz="4" w:space="0"/>
              <w:bottom w:val="single" w:color="auto" w:sz="4"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423" w:hRule="atLeast"/>
        </w:trPr>
        <w:tc>
          <w:tcPr>
            <w:tcW w:w="1242" w:type="dxa"/>
            <w:tcBorders>
              <w:top w:val="single" w:color="auto" w:sz="4" w:space="0"/>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tcBorders>
              <w:top w:val="single" w:color="auto" w:sz="4" w:space="0"/>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p>
        </w:tc>
        <w:tc>
          <w:tcPr>
            <w:tcW w:w="4110" w:type="dxa"/>
            <w:tcBorders>
              <w:top w:val="single" w:color="auto" w:sz="4" w:space="0"/>
              <w:left w:val="nil"/>
              <w:bottom w:val="single" w:color="auto" w:sz="8" w:space="0"/>
              <w:right w:val="single" w:color="auto" w:sz="8" w:space="0"/>
            </w:tcBorders>
            <w:shd w:val="clear" w:color="auto" w:fill="auto"/>
            <w:noWrap/>
            <w:vAlign w:val="center"/>
          </w:tcPr>
          <w:p>
            <w:pPr>
              <w:widowControl/>
              <w:jc w:val="left"/>
              <w:rPr>
                <w:rFonts w:ascii="等线" w:hAnsi="等线" w:eastAsia="等线" w:cs="宋体"/>
                <w:color w:val="000000"/>
                <w:kern w:val="0"/>
                <w:sz w:val="22"/>
              </w:rPr>
            </w:pPr>
          </w:p>
        </w:tc>
        <w:tc>
          <w:tcPr>
            <w:tcW w:w="2977" w:type="dxa"/>
            <w:tcBorders>
              <w:top w:val="single" w:color="auto" w:sz="4" w:space="0"/>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p>
        </w:tc>
        <w:tc>
          <w:tcPr>
            <w:tcW w:w="2693" w:type="dxa"/>
            <w:tcBorders>
              <w:top w:val="single" w:color="auto" w:sz="4" w:space="0"/>
              <w:left w:val="nil"/>
              <w:bottom w:val="single" w:color="auto" w:sz="8" w:space="0"/>
              <w:right w:val="single" w:color="auto" w:sz="4" w:space="0"/>
            </w:tcBorders>
            <w:vAlign w:val="center"/>
          </w:tcPr>
          <w:p>
            <w:pPr>
              <w:widowControl/>
              <w:jc w:val="left"/>
              <w:rPr>
                <w:rFonts w:ascii="仿宋" w:hAnsi="仿宋" w:eastAsia="仿宋" w:cs="宋体"/>
                <w:color w:val="000000"/>
                <w:kern w:val="0"/>
                <w:sz w:val="24"/>
                <w:szCs w:val="24"/>
              </w:rPr>
            </w:pPr>
          </w:p>
        </w:tc>
        <w:tc>
          <w:tcPr>
            <w:tcW w:w="1560" w:type="dxa"/>
            <w:tcBorders>
              <w:top w:val="single" w:color="auto" w:sz="4" w:space="0"/>
              <w:left w:val="single" w:color="auto" w:sz="4" w:space="0"/>
              <w:bottom w:val="single" w:color="auto" w:sz="8" w:space="0"/>
              <w:right w:val="single" w:color="auto" w:sz="8" w:space="0"/>
            </w:tcBorders>
            <w:shd w:val="clear" w:color="auto" w:fill="auto"/>
            <w:vAlign w:val="center"/>
          </w:tcPr>
          <w:p>
            <w:pPr>
              <w:widowControl/>
              <w:jc w:val="left"/>
              <w:rPr>
                <w:rFonts w:ascii="仿宋" w:hAnsi="仿宋" w:eastAsia="仿宋" w:cs="宋体"/>
                <w:b/>
                <w:color w:val="000000"/>
                <w:kern w:val="0"/>
                <w:sz w:val="24"/>
                <w:szCs w:val="24"/>
              </w:rPr>
            </w:pPr>
            <w:r>
              <w:rPr>
                <w:rFonts w:hint="eastAsia" w:ascii="仿宋" w:hAnsi="仿宋" w:eastAsia="仿宋" w:cs="宋体"/>
                <w:b/>
                <w:color w:val="000000"/>
                <w:kern w:val="0"/>
                <w:sz w:val="24"/>
                <w:szCs w:val="24"/>
              </w:rPr>
              <w:t>98分</w:t>
            </w:r>
          </w:p>
        </w:tc>
      </w:tr>
    </w:tbl>
    <w:p/>
    <w:p>
      <w:pPr>
        <w:spacing w:line="520" w:lineRule="exact"/>
        <w:ind w:right="300" w:firstLine="600" w:firstLineChars="200"/>
        <w:jc w:val="right"/>
        <w:rPr>
          <w:rFonts w:cs="宋体" w:asciiTheme="minorEastAsia" w:hAnsiTheme="minorEastAsia"/>
          <w:color w:val="000000"/>
          <w:kern w:val="0"/>
          <w:sz w:val="30"/>
          <w:szCs w:val="30"/>
        </w:rPr>
      </w:pPr>
    </w:p>
    <w:sectPr>
      <w:pgSz w:w="16838" w:h="11906" w:orient="landscape"/>
      <w:pgMar w:top="1474" w:right="1440" w:bottom="147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9308"/>
    </w:sdtPr>
    <w:sdtContent>
      <w:p>
        <w:pPr>
          <w:pStyle w:val="4"/>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EwZWEzNWZjZGI2NzhhNjljODdhMTAyODg3MmU4MTkifQ=="/>
  </w:docVars>
  <w:rsids>
    <w:rsidRoot w:val="001A3475"/>
    <w:rsid w:val="000245F5"/>
    <w:rsid w:val="0004182B"/>
    <w:rsid w:val="0004344F"/>
    <w:rsid w:val="00045084"/>
    <w:rsid w:val="000575DC"/>
    <w:rsid w:val="0007318B"/>
    <w:rsid w:val="000775A7"/>
    <w:rsid w:val="000874FF"/>
    <w:rsid w:val="000A03C1"/>
    <w:rsid w:val="000B1E93"/>
    <w:rsid w:val="000D0CC4"/>
    <w:rsid w:val="000D267B"/>
    <w:rsid w:val="000D70B9"/>
    <w:rsid w:val="000D7878"/>
    <w:rsid w:val="000D7F42"/>
    <w:rsid w:val="000E01FE"/>
    <w:rsid w:val="000E24C4"/>
    <w:rsid w:val="000F1A92"/>
    <w:rsid w:val="001065B6"/>
    <w:rsid w:val="00116F73"/>
    <w:rsid w:val="0013001B"/>
    <w:rsid w:val="001303D1"/>
    <w:rsid w:val="00133121"/>
    <w:rsid w:val="00136A23"/>
    <w:rsid w:val="001420EF"/>
    <w:rsid w:val="00142BCD"/>
    <w:rsid w:val="00146568"/>
    <w:rsid w:val="00146CB3"/>
    <w:rsid w:val="00147C9F"/>
    <w:rsid w:val="001552CC"/>
    <w:rsid w:val="00155DB4"/>
    <w:rsid w:val="001A2B1C"/>
    <w:rsid w:val="001A3475"/>
    <w:rsid w:val="001A4CBD"/>
    <w:rsid w:val="001B5064"/>
    <w:rsid w:val="001D17ED"/>
    <w:rsid w:val="001D519F"/>
    <w:rsid w:val="001D6738"/>
    <w:rsid w:val="001E283A"/>
    <w:rsid w:val="001E6FE8"/>
    <w:rsid w:val="001E7688"/>
    <w:rsid w:val="001E7901"/>
    <w:rsid w:val="0020162A"/>
    <w:rsid w:val="00204ABB"/>
    <w:rsid w:val="00204B33"/>
    <w:rsid w:val="00214749"/>
    <w:rsid w:val="002365EA"/>
    <w:rsid w:val="0025551D"/>
    <w:rsid w:val="0026555C"/>
    <w:rsid w:val="00271B20"/>
    <w:rsid w:val="00274E1B"/>
    <w:rsid w:val="0028698E"/>
    <w:rsid w:val="002A13A2"/>
    <w:rsid w:val="002B720B"/>
    <w:rsid w:val="002C0785"/>
    <w:rsid w:val="002C1A4C"/>
    <w:rsid w:val="002C4D2F"/>
    <w:rsid w:val="002D3457"/>
    <w:rsid w:val="002E7A2C"/>
    <w:rsid w:val="002F5990"/>
    <w:rsid w:val="00306469"/>
    <w:rsid w:val="00320245"/>
    <w:rsid w:val="0032351A"/>
    <w:rsid w:val="00337EA9"/>
    <w:rsid w:val="00347BA4"/>
    <w:rsid w:val="003510B9"/>
    <w:rsid w:val="00357152"/>
    <w:rsid w:val="00357456"/>
    <w:rsid w:val="003666C3"/>
    <w:rsid w:val="003667C8"/>
    <w:rsid w:val="00375C32"/>
    <w:rsid w:val="003A7442"/>
    <w:rsid w:val="003B5D0C"/>
    <w:rsid w:val="003B68E0"/>
    <w:rsid w:val="003C15F4"/>
    <w:rsid w:val="003C2AAE"/>
    <w:rsid w:val="003C3EE8"/>
    <w:rsid w:val="003C4EFC"/>
    <w:rsid w:val="003D3BF9"/>
    <w:rsid w:val="003D68AF"/>
    <w:rsid w:val="003E3B09"/>
    <w:rsid w:val="004040D6"/>
    <w:rsid w:val="00411AC8"/>
    <w:rsid w:val="004213FB"/>
    <w:rsid w:val="00432A68"/>
    <w:rsid w:val="00434BD6"/>
    <w:rsid w:val="004353FB"/>
    <w:rsid w:val="00436B6A"/>
    <w:rsid w:val="0044288E"/>
    <w:rsid w:val="004430A5"/>
    <w:rsid w:val="0045375F"/>
    <w:rsid w:val="0046119F"/>
    <w:rsid w:val="00461F1C"/>
    <w:rsid w:val="00463911"/>
    <w:rsid w:val="0046703B"/>
    <w:rsid w:val="004823E7"/>
    <w:rsid w:val="00482A53"/>
    <w:rsid w:val="004B3FDC"/>
    <w:rsid w:val="004D20CD"/>
    <w:rsid w:val="004E35F3"/>
    <w:rsid w:val="004E56E4"/>
    <w:rsid w:val="00514D76"/>
    <w:rsid w:val="00533B8D"/>
    <w:rsid w:val="0053413E"/>
    <w:rsid w:val="0054098A"/>
    <w:rsid w:val="0054409C"/>
    <w:rsid w:val="005546EE"/>
    <w:rsid w:val="0055560A"/>
    <w:rsid w:val="0055679E"/>
    <w:rsid w:val="005633C3"/>
    <w:rsid w:val="00564CFD"/>
    <w:rsid w:val="00567C0A"/>
    <w:rsid w:val="005A4AFB"/>
    <w:rsid w:val="005B5BD8"/>
    <w:rsid w:val="005D2494"/>
    <w:rsid w:val="006027AE"/>
    <w:rsid w:val="00607098"/>
    <w:rsid w:val="00610719"/>
    <w:rsid w:val="00610F18"/>
    <w:rsid w:val="00627661"/>
    <w:rsid w:val="00645D8A"/>
    <w:rsid w:val="0067013F"/>
    <w:rsid w:val="00672D13"/>
    <w:rsid w:val="0067543D"/>
    <w:rsid w:val="006802E1"/>
    <w:rsid w:val="00684CEF"/>
    <w:rsid w:val="006971F2"/>
    <w:rsid w:val="00697659"/>
    <w:rsid w:val="006B07D2"/>
    <w:rsid w:val="006B5DFA"/>
    <w:rsid w:val="006B76DB"/>
    <w:rsid w:val="006D1BA1"/>
    <w:rsid w:val="006F045A"/>
    <w:rsid w:val="00702B5C"/>
    <w:rsid w:val="007079B8"/>
    <w:rsid w:val="00710104"/>
    <w:rsid w:val="007329EF"/>
    <w:rsid w:val="00741A74"/>
    <w:rsid w:val="00766419"/>
    <w:rsid w:val="00767864"/>
    <w:rsid w:val="0079377D"/>
    <w:rsid w:val="007A055A"/>
    <w:rsid w:val="007C2D77"/>
    <w:rsid w:val="007C33D5"/>
    <w:rsid w:val="007C44BE"/>
    <w:rsid w:val="007D0421"/>
    <w:rsid w:val="007D43AE"/>
    <w:rsid w:val="007E54EE"/>
    <w:rsid w:val="007F0398"/>
    <w:rsid w:val="007F3DC6"/>
    <w:rsid w:val="0081278A"/>
    <w:rsid w:val="00817189"/>
    <w:rsid w:val="0084661E"/>
    <w:rsid w:val="00852037"/>
    <w:rsid w:val="008576FF"/>
    <w:rsid w:val="00860FD8"/>
    <w:rsid w:val="008613CB"/>
    <w:rsid w:val="00862F9B"/>
    <w:rsid w:val="00867C1C"/>
    <w:rsid w:val="0087094D"/>
    <w:rsid w:val="0089496E"/>
    <w:rsid w:val="008951A5"/>
    <w:rsid w:val="008C0461"/>
    <w:rsid w:val="008C0D73"/>
    <w:rsid w:val="008C7A3B"/>
    <w:rsid w:val="008D1C0A"/>
    <w:rsid w:val="008E2D17"/>
    <w:rsid w:val="008E45AA"/>
    <w:rsid w:val="008F0CCB"/>
    <w:rsid w:val="00905E15"/>
    <w:rsid w:val="00942958"/>
    <w:rsid w:val="00946C9B"/>
    <w:rsid w:val="0096035E"/>
    <w:rsid w:val="00987C78"/>
    <w:rsid w:val="00993E38"/>
    <w:rsid w:val="009C0B1E"/>
    <w:rsid w:val="009C0D2F"/>
    <w:rsid w:val="009C1655"/>
    <w:rsid w:val="009E2B01"/>
    <w:rsid w:val="009F1B1B"/>
    <w:rsid w:val="00A05FB2"/>
    <w:rsid w:val="00A134D5"/>
    <w:rsid w:val="00A1357F"/>
    <w:rsid w:val="00A13C41"/>
    <w:rsid w:val="00A16A7F"/>
    <w:rsid w:val="00A1793E"/>
    <w:rsid w:val="00A21C8F"/>
    <w:rsid w:val="00A41166"/>
    <w:rsid w:val="00A4626C"/>
    <w:rsid w:val="00A537E1"/>
    <w:rsid w:val="00A66122"/>
    <w:rsid w:val="00A73683"/>
    <w:rsid w:val="00A8439A"/>
    <w:rsid w:val="00AA0AE7"/>
    <w:rsid w:val="00AB0EDB"/>
    <w:rsid w:val="00AC3650"/>
    <w:rsid w:val="00AD3648"/>
    <w:rsid w:val="00B12027"/>
    <w:rsid w:val="00B20CAD"/>
    <w:rsid w:val="00B23A40"/>
    <w:rsid w:val="00B27D21"/>
    <w:rsid w:val="00B33718"/>
    <w:rsid w:val="00B40079"/>
    <w:rsid w:val="00B63180"/>
    <w:rsid w:val="00B751B5"/>
    <w:rsid w:val="00B75C37"/>
    <w:rsid w:val="00B91FEB"/>
    <w:rsid w:val="00BA4BF3"/>
    <w:rsid w:val="00BB226E"/>
    <w:rsid w:val="00BD5775"/>
    <w:rsid w:val="00BE629D"/>
    <w:rsid w:val="00C37B6B"/>
    <w:rsid w:val="00C41F14"/>
    <w:rsid w:val="00C53D2D"/>
    <w:rsid w:val="00C57380"/>
    <w:rsid w:val="00C60B1A"/>
    <w:rsid w:val="00C66C83"/>
    <w:rsid w:val="00C66F8B"/>
    <w:rsid w:val="00C91976"/>
    <w:rsid w:val="00CB5F8F"/>
    <w:rsid w:val="00CC0628"/>
    <w:rsid w:val="00CC1E02"/>
    <w:rsid w:val="00CC31A0"/>
    <w:rsid w:val="00CF0BF0"/>
    <w:rsid w:val="00CF6C99"/>
    <w:rsid w:val="00D10F26"/>
    <w:rsid w:val="00D1668E"/>
    <w:rsid w:val="00D430C7"/>
    <w:rsid w:val="00D50BCB"/>
    <w:rsid w:val="00D55539"/>
    <w:rsid w:val="00D55A74"/>
    <w:rsid w:val="00D75D8E"/>
    <w:rsid w:val="00D90AAC"/>
    <w:rsid w:val="00D90B76"/>
    <w:rsid w:val="00D9204A"/>
    <w:rsid w:val="00D9375F"/>
    <w:rsid w:val="00D93B5C"/>
    <w:rsid w:val="00DA1F8A"/>
    <w:rsid w:val="00DC0DCC"/>
    <w:rsid w:val="00DD376B"/>
    <w:rsid w:val="00DE7FBF"/>
    <w:rsid w:val="00E0273D"/>
    <w:rsid w:val="00E10CA2"/>
    <w:rsid w:val="00E14AF0"/>
    <w:rsid w:val="00E24B85"/>
    <w:rsid w:val="00E27772"/>
    <w:rsid w:val="00E35E3A"/>
    <w:rsid w:val="00E45F4E"/>
    <w:rsid w:val="00E57703"/>
    <w:rsid w:val="00E61194"/>
    <w:rsid w:val="00E613D0"/>
    <w:rsid w:val="00E66C6F"/>
    <w:rsid w:val="00E67F66"/>
    <w:rsid w:val="00E74DE2"/>
    <w:rsid w:val="00ED64FA"/>
    <w:rsid w:val="00EE732A"/>
    <w:rsid w:val="00EF00C0"/>
    <w:rsid w:val="00F24E4C"/>
    <w:rsid w:val="00F42AED"/>
    <w:rsid w:val="00F50E4F"/>
    <w:rsid w:val="00F649E8"/>
    <w:rsid w:val="00F72BBA"/>
    <w:rsid w:val="00F81893"/>
    <w:rsid w:val="00F835DD"/>
    <w:rsid w:val="00F95B23"/>
    <w:rsid w:val="00FA7D95"/>
    <w:rsid w:val="00FB4C20"/>
    <w:rsid w:val="00FC1595"/>
    <w:rsid w:val="00FC2F93"/>
    <w:rsid w:val="00FD0B86"/>
    <w:rsid w:val="00FD2FF6"/>
    <w:rsid w:val="00FD41C8"/>
    <w:rsid w:val="00FD65E8"/>
    <w:rsid w:val="00FF6A61"/>
    <w:rsid w:val="08607386"/>
    <w:rsid w:val="08801D70"/>
    <w:rsid w:val="0F930AB4"/>
    <w:rsid w:val="1004749A"/>
    <w:rsid w:val="20543579"/>
    <w:rsid w:val="225418B2"/>
    <w:rsid w:val="28732D14"/>
    <w:rsid w:val="2E277E7A"/>
    <w:rsid w:val="31984D21"/>
    <w:rsid w:val="49032219"/>
    <w:rsid w:val="614B5652"/>
    <w:rsid w:val="6C245C14"/>
    <w:rsid w:val="6DD12D5A"/>
    <w:rsid w:val="6E0E3C8F"/>
    <w:rsid w:val="7FF865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Balloon Text"/>
    <w:basedOn w:val="1"/>
    <w:link w:val="13"/>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paragraph" w:styleId="11">
    <w:name w:val="List Paragraph"/>
    <w:basedOn w:val="1"/>
    <w:qFormat/>
    <w:uiPriority w:val="99"/>
    <w:pPr>
      <w:ind w:firstLine="420" w:firstLineChars="200"/>
    </w:pPr>
    <w:rPr>
      <w:rFonts w:ascii="Calibri" w:hAnsi="Calibri" w:eastAsia="宋体" w:cs="Times New Roman"/>
    </w:rPr>
  </w:style>
  <w:style w:type="character" w:customStyle="1" w:styleId="12">
    <w:name w:val="日期 Char"/>
    <w:basedOn w:val="8"/>
    <w:link w:val="2"/>
    <w:semiHidden/>
    <w:qFormat/>
    <w:uiPriority w:val="99"/>
  </w:style>
  <w:style w:type="character" w:customStyle="1" w:styleId="13">
    <w:name w:val="批注框文本 Char"/>
    <w:basedOn w:val="8"/>
    <w:link w:val="3"/>
    <w:semiHidden/>
    <w:qFormat/>
    <w:uiPriority w:val="99"/>
    <w:rPr>
      <w:sz w:val="18"/>
      <w:szCs w:val="18"/>
    </w:rPr>
  </w:style>
  <w:style w:type="paragraph" w:customStyle="1" w:styleId="14">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5">
    <w:name w:val="BodyText"/>
    <w:basedOn w:val="1"/>
    <w:qFormat/>
    <w:uiPriority w:val="0"/>
    <w:pPr>
      <w:spacing w:line="500" w:lineRule="exact"/>
    </w:pPr>
    <w:rPr>
      <w:rFonts w:ascii="Calibri" w:hAnsi="Calibri" w:eastAsia="楷体_GB2312"/>
      <w:kern w:val="0"/>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FDA55-A86E-40D2-93DC-C29AA08AC21E}">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13</Pages>
  <Words>6046</Words>
  <Characters>6357</Characters>
  <Lines>37</Lines>
  <Paragraphs>10</Paragraphs>
  <TotalTime>189</TotalTime>
  <ScaleCrop>false</ScaleCrop>
  <LinksUpToDate>false</LinksUpToDate>
  <CharactersWithSpaces>6469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2022-12-12T02:36:00Z</dcterms:created>
  <dc:creator>lys</dc:creator>
  <cp:lastModifiedBy>萝卜超人</cp:lastModifiedBy>
  <dcterms:modified xsi:type="dcterms:W3CDTF">2023-06-28T06:44:52Z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36CC98CD3005446EADE16E8FDA380812</vt:lpwstr>
  </property>
</Properties>
</file>