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方正小标宋简体" w:hAnsi="FZXBSK--GBK1-0" w:eastAsia="方正小标宋简体" w:cs="宋体"/>
          <w:color w:val="000000"/>
          <w:kern w:val="0"/>
          <w:sz w:val="32"/>
          <w:szCs w:val="32"/>
        </w:rPr>
        <w:t>2022年度南京市农业技术推广站整体预算绩效自评价报告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、单位概况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（一）单位基本情况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京市农业技术推广站成立于1979年9月，单位性质为全额拨款事业单位，主管部门是南京市农业农村局，本单位的宗旨和业务范围包括：负责全市粮油、蔬菜、园艺作物生产技术指导，包括产前、产中、产后各个环节；负责引进国内外粮油、蔬菜、园艺作物先进农业技术，在本区域开展试验示范，筛选具有先进、实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用、安全的技术成果推广应用；负责组织开展农业生产情况调研，制定实施全市农业技术推广计划；负责粮油、蔬菜园艺作物生产农情动态监测，及时发布农情信息；负责做好政府、科研、农业协会及其它社会团体联系纽带，整合农业技术资源，组织实施重大农业技术示范推广；负责培训和指导下级农业技术推广机构、群众性科技组织和农民技术员开展农业技术推广服务活动。本单位编制人数44人，截止2022年12月31日实有在职人员29人，退休人员15人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（二）单位资金情况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本单位经费来源于市财政全额拨款，2022年度预算总收入1212.22万元，均为一般公共预算财政拨款收入，其中：社会保障和就业支出年初预算数88.87万元，农林水支出年初预算数534.55万元，住房保障支出年初预算数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267.52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万元。2022年初基本支出预算数937.19万元，项目支出预算数275.03万元，预算执行率100%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。2022年“三公”经费支出5.04万元，均为公务用车运行费，与上年基本持平。会议费支出3.96万元，与上年基本持平；培训费2.56万元，比上年减少23%，主要原因是培训改为线上进行，“三公”经费控制情况良好。</w:t>
      </w:r>
    </w:p>
    <w:p>
      <w:pPr>
        <w:pStyle w:val="10"/>
        <w:widowControl/>
        <w:numPr>
          <w:ilvl w:val="0"/>
          <w:numId w:val="1"/>
        </w:numPr>
        <w:spacing w:line="560" w:lineRule="exact"/>
        <w:ind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单位绩效目标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度，根据部门职责与预算安排，主要完成绩效目标为：1、加强粮食绿色高质高效创建示范工作；2、推进现代茶主导产业发展；3、促进多功能油菜主导产业发展；4、持续推动耕地（稻油）轮作工作；5、推进优质稻米产业化发展；6、积极推进废旧农膜回收利用工作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二、评价结论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（一）评价的对象、范围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进一步推进财政预算科学化、精细化，提高财政资金使用效益和效率，规范资金的使用管理，提升部门整体绩效评价的科学性、规范性，根据《2022年度南京市市级预算绩效管理工作计划》要求，参照财政重点评价报告格式和部门整体绩效评价指标框架，组织实施本单位部门整体绩效自评价工作，做好前期准备和现场核查，收集相关信息汇总，进行评价分析，并通过充分的沟通和及时的反馈，最后出具报告。本单位在实施过程中严格落实绩效管理责任，确保各项工作按要求落到实处。评价内容主要包括：本单位部门决策、部门管理、部门履职、履职绩效情况和2022年度部门预算和专项资金执行情况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（二）评价结论、评分结果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根据部门整体绩效评价指标框架和自评价打分情况，本单位部门整体绩效综合评价自评得分95分。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三、部门履职成效</w:t>
      </w:r>
    </w:p>
    <w:p>
      <w:pPr>
        <w:widowControl/>
        <w:numPr>
          <w:ilvl w:val="0"/>
          <w:numId w:val="2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部门决策方面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本单位决策制度规范，决策流程科学，决策执行实现了监督制衡；制定的中长期规划明确，与部门职能相匹配；年度工作计划明确，与部门职能相匹配；部门预算编制科学规范，与重点工作任务相匹配。</w:t>
      </w:r>
    </w:p>
    <w:p>
      <w:pPr>
        <w:widowControl/>
        <w:numPr>
          <w:ilvl w:val="0"/>
          <w:numId w:val="2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部门管理方面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预算执行：严格按照市财政批复的部门预算，严格遵守政府会计制度及各项开支定额标准，编制分月用款计划，由主管部门及财政部门逐级审批。预算执行中注重执行均衡性，提高预算执行率及资金使用效率，禁止发生违反法律、法规和财经纪律的支出事项。2022年基本支出预算执行率100%， 2022年度部门预算项目支出预算执行率100%。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2.收支管理：本单位参照执行的收支管理制度健全，严格按照南京市农业农村局下发的《南京市农业农村局财务报销相关规定》和《关于进一步加强局属事业单位财务管理的意见》执行；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3.资产管理：本单位参照执行的资产管理制度健全，严格按照南京市农业农村局下发的《南京市农业农村局固定资产管理办法》执行；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4.政府采购管理：本单位参照执行的政府采购管理制度健全，严格按照南京市农业农村局下发的《南京市农业农村局政府采购管理暂行办法》执行；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5.内部控制：本单位内部控制建设情况良好，严格按照《南京市农业农村局内部控制手册》执行，完成了2022年度单位内部控制评价报告。</w:t>
      </w:r>
    </w:p>
    <w:p>
      <w:pPr>
        <w:widowControl/>
        <w:numPr>
          <w:ilvl w:val="0"/>
          <w:numId w:val="2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部门履职成效有公众满意度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2022年，本单位积极开展各项农业技术推广服务，为我市农业高质量发展提供了有力保障，重点工作质量达标率100%，重点工作完成及时率100%，完成了年度绩效目标，得到了服务对象的认可，满意度较高。</w:t>
      </w:r>
    </w:p>
    <w:p>
      <w:pPr>
        <w:pStyle w:val="10"/>
        <w:adjustRightInd w:val="0"/>
        <w:snapToGrid w:val="0"/>
        <w:spacing w:line="54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量质并举，全面夯实粮油生产基础。一是先后制定《2022年南京市粮油种植高效行动方案》等技术意见。二是强化小麦促弱转壮技术服务，实现夏粮丰产丰收。三是强化水稻抗旱防灾技术指导，确保大旱之年无大荒。</w:t>
      </w:r>
    </w:p>
    <w:p>
      <w:pPr>
        <w:pStyle w:val="10"/>
        <w:adjustRightInd w:val="0"/>
        <w:snapToGrid w:val="0"/>
        <w:spacing w:line="54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现代茶产业链高质量发展情况。克服新冠疫情和不利天气的影响，服务春茶生产，实现上半年春茶开采面积11.79万亩，春茶总产1163吨，产值7.31亿元，确保一产产值减产不减收，三产综合产值11.21亿元，同比增加3.8%。成功举办江苏省手工制茶暨南京市手工雨花茶炒制大赛、全省茶树种苗产业发展研讨会等，提升南京茶产业影响力。加快推广新茶园快速成园、茶园生草覆盖等“四新”技术，并在全省产业技术体系年度考评中排名第一。首次以全网直播的形式成功举办现代茶主导产业“科金兴农”服务日活动，取得了良好的社会反响。牵头、召集国内知名涉茶科研院所、在苏在宁行业社团、全市重点茶叶经营主体等40余家单位组建了南京现代茶产业振兴联盟。</w:t>
      </w:r>
    </w:p>
    <w:p>
      <w:pPr>
        <w:pStyle w:val="10"/>
        <w:adjustRightInd w:val="0"/>
        <w:snapToGrid w:val="0"/>
        <w:spacing w:line="54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多功能油菜产业链高质量发展情况。以农技服务为抓手，提升油菜冬后田管，实现油菜收获面积30.95万亩，总产5.05万吨，单产163.32公斤/亩，同比增长7.43%、12.26%和4.5%。加大优质“双低”油菜品种推广，实现秋播占比99%以上，扩大以宁杂1838和宁杂1818为代表的省内“双低、优质”自主油菜品种示范面积，开展优新油菜品种示范。指导组建全省首个多功能油菜产业联盟。</w:t>
      </w:r>
    </w:p>
    <w:p>
      <w:pPr>
        <w:pStyle w:val="10"/>
        <w:adjustRightInd w:val="0"/>
        <w:snapToGrid w:val="0"/>
        <w:spacing w:line="54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全力服务招商引资工作。根据局统一布置要求，积极联系对接区、镇和相关企业，及时掌握相关招商信息，主动服务招商企业，跟踪招商进度等，今年共发布“东坝街道油菜籽加工生产线建设”、“平山森林公园茶旅康养项目”等9个招商引资项目。</w:t>
      </w:r>
    </w:p>
    <w:p>
      <w:pPr>
        <w:pStyle w:val="10"/>
        <w:adjustRightInd w:val="0"/>
        <w:snapToGrid w:val="0"/>
        <w:spacing w:line="54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推进优质稻米产业化发展。年初在中国工程院万建民院士召开的优质食味粳稻产业化座谈会上，就宁香粳9号在南京示范推广情况做了专项发言。持续推广育秧“五改”技术，鼓励硬地育秧，实现商品化集中育、供秧比例进一步提升，全市集中育供秧比例达85%以上。稳步推进水稻绿色高质高效创建示范片工作。全年建设水稻绿色高质高效创建片共28个，面积6.008万亩。</w:t>
      </w:r>
    </w:p>
    <w:p>
      <w:pPr>
        <w:pStyle w:val="10"/>
        <w:adjustRightInd w:val="0"/>
        <w:snapToGrid w:val="0"/>
        <w:spacing w:line="54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持续推动耕地（稻油）轮作工作。完成了2021-2022年度国家耕地（稻油）轮作任务24.47万亩，完成率达104.13%，超额完成省定任务。落实2022-2023年度国家耕地（稻油）轮作任务27.09万亩，占油菜播栽面积的84.31%，同比提高5.25个百分点。落实2022-2023年度省级油菜绿色高质高效创建项目7个，鼓励相关地区参加部、省级油菜高产竞赛活动。</w:t>
      </w:r>
    </w:p>
    <w:p>
      <w:pPr>
        <w:pStyle w:val="10"/>
        <w:adjustRightInd w:val="0"/>
        <w:snapToGrid w:val="0"/>
        <w:spacing w:line="54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积极推进废旧农膜回收工作。目前已建成市级回收站75家，形成覆盖全市的市、区、街（镇）三级回收体系。积极探索废旧地膜协同处置方式。全生物降解地膜示范工作全面展开。据摸底调查，我市三年内全生物降解地膜示范面积将超过３万亩。</w:t>
      </w:r>
    </w:p>
    <w:p>
      <w:pPr>
        <w:pStyle w:val="10"/>
        <w:adjustRightInd w:val="0"/>
        <w:snapToGrid w:val="0"/>
        <w:spacing w:line="540" w:lineRule="exact"/>
        <w:ind w:firstLine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做好蔬菜生产技术服务与产业壮大工作。一是稳定蔬菜生产为蔬菜保供做好技术服务。针对疫情期间蔬菜稳产保供，积极组织动员蔬菜生产单位尤其是绿叶菜生产基地利用空闲、换茬地做好速生叶菜播种、移栽。二是培优规模主体，扩大品牌效应。举办“2022年南京市优质西瓜评比大赛”，推荐优质品牌在学习强国、南京日报等媒体进行宣传推介，扩大了南京市地产果蔬品牌影响力。上半年，蔬菜产业链新增11个蔬菜主体荣获“食礼秦淮”品牌授权。</w:t>
      </w:r>
    </w:p>
    <w:p>
      <w:pPr>
        <w:pStyle w:val="10"/>
        <w:adjustRightInd w:val="0"/>
        <w:snapToGrid w:val="0"/>
        <w:spacing w:line="540" w:lineRule="exact"/>
        <w:ind w:firstLine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做好花卉、果树技术示范推广服务工作。做好省葡萄产业技术体系南京推广示范基地建设，先后开展了萌芽展叶期、花前、花后和套袋前化学防治工作，推广示范了性诱剂诱杀技术、色板诱杀技术等，并结合生产实际，以核心基地、示范点等为基础举办现场观摩会3次，切实带动科技示范户及周边农户掌握实用技术。和南京农业大学联合举办了全市荷花新品种示范推广观摩会，以好品种引领、推动产业创新和技术集成。</w:t>
      </w:r>
    </w:p>
    <w:p>
      <w:pPr>
        <w:pStyle w:val="10"/>
        <w:adjustRightInd w:val="0"/>
        <w:snapToGrid w:val="0"/>
        <w:spacing w:line="540" w:lineRule="exact"/>
        <w:ind w:firstLine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以评比品鉴加强地产优质农产品品牌建设。举办了稻米、草莓、葡萄和西瓜共4场市级农产品评比大赛，加强了地产优质品牌宣传。同时推荐市级优质农产品参加全省评比，在粮油、特粮特经、茶叶和瓜果等11场活动中共获得各类奖项荣誉105个，全面提升了“宁”字品牌农产品在全省的影响力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加强农村科技人才队伍和技术推广队伍建设。发挥好桥梁作用，将南京农业大学、江苏省农科院等科研院所“四新”成果及新方法、新观念、新信息等推广、引导、传递给基层科技人员、种植户。另外，站内技术骨干也重视相互学习、相互借鉴，提高自身技术水平，今年先后获得“全国农牧渔业丰收奖农业技术推广贡献奖”1人和江苏省第六期“333高层次人才培养工程”第三层次培养对象1人。</w:t>
      </w:r>
    </w:p>
    <w:p>
      <w:pPr>
        <w:widowControl/>
        <w:spacing w:line="560" w:lineRule="exact"/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以宣传报道加强主导产业及农技推广工作影响力。2022年全站在市级以上媒体发布宣传报道183篇，其中学习强国10篇，省级及以上平台34篇，两办信息5篇，市级平台134篇，展示了南京农业、农产和农人的良好形象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四、问题建议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水稻季在田时间长，麦油适期高质量播栽比例不高，影响周年总效益。建议优化水稻品种结构，早熟、中熟、晚熟品种合理搭配，从水稻品种开发利用着手，提高麦油适期高质量播栽比重，实现周年绿色高质高效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(二)随着国内劳动力价格逐年上升，我市果树生产机械化水平较低，果树生产成本不断提高，影响效益提升。建议做好果树重大技术推广工作，围绕果树轻简化栽培，重点推广全省花果茶主推品种、主推技术和主推模式，并根据南京实际，不断消化吸收与创新省主推品种、技术和模式，积极组织开展示范推广和指导培训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蔬菜种植户多，技术推广人员有限，服务辐射度不够，只关注重点家庭农场和大户;蔬菜品种繁多，技术推广只关注主导蔬菜。建议强化新优品种技术的宣传推介，联合科研单位和相关协会，以市、省组织的蔬菜质量评比为导向，突出南京地产优质蔬菜品牌效应，多渠道做好好品种、好技术以及优秀生产主体的宣传推介，激发生产主体创新活力，使技术推广工作由被动接受到主动要求。</w:t>
      </w:r>
    </w:p>
    <w:p>
      <w:pPr>
        <w:widowControl/>
        <w:spacing w:line="560" w:lineRule="exact"/>
        <w:ind w:firstLine="600" w:firstLineChars="200"/>
        <w:jc w:val="lef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附件:南京市农业技术推广站部门整体绩效自评表</w:t>
      </w:r>
    </w:p>
    <w:p>
      <w:pPr>
        <w:widowControl/>
        <w:spacing w:line="560" w:lineRule="exact"/>
        <w:ind w:firstLine="600" w:firstLineChars="200"/>
        <w:jc w:val="right"/>
        <w:rPr>
          <w:rFonts w:ascii="楷体" w:hAnsi="楷体" w:eastAsia="楷体"/>
          <w:sz w:val="30"/>
          <w:szCs w:val="30"/>
        </w:rPr>
      </w:pPr>
    </w:p>
    <w:p>
      <w:pPr>
        <w:widowControl/>
        <w:spacing w:line="560" w:lineRule="exact"/>
        <w:ind w:right="640" w:firstLine="600" w:firstLineChars="200"/>
        <w:jc w:val="right"/>
        <w:rPr>
          <w:rFonts w:ascii="楷体" w:hAnsi="楷体" w:eastAsia="楷体"/>
          <w:sz w:val="30"/>
          <w:szCs w:val="30"/>
        </w:rPr>
      </w:pPr>
    </w:p>
    <w:p>
      <w:pPr>
        <w:widowControl/>
        <w:spacing w:line="560" w:lineRule="exact"/>
        <w:ind w:firstLine="600" w:firstLineChars="200"/>
        <w:jc w:val="righ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南京市农业技术推广站</w:t>
      </w:r>
    </w:p>
    <w:p>
      <w:pPr>
        <w:widowControl/>
        <w:spacing w:line="560" w:lineRule="exact"/>
        <w:ind w:firstLine="600" w:firstLineChars="200"/>
        <w:jc w:val="righ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0"/>
          <w:szCs w:val="30"/>
        </w:rPr>
        <w:t>2023年6月28日</w:t>
      </w:r>
    </w:p>
    <w:p>
      <w:pPr>
        <w:widowControl/>
        <w:spacing w:line="560" w:lineRule="exact"/>
        <w:ind w:firstLine="640" w:firstLineChars="200"/>
        <w:jc w:val="left"/>
        <w:rPr>
          <w:rFonts w:ascii="楷体" w:hAnsi="楷体" w:eastAsia="楷体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楷体" w:hAnsi="楷体" w:eastAsia="楷体"/>
          <w:sz w:val="32"/>
          <w:szCs w:val="32"/>
        </w:rPr>
        <w:sectPr>
          <w:pgSz w:w="11906" w:h="16838"/>
          <w:pgMar w:top="1440" w:right="1706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560" w:lineRule="exact"/>
        <w:ind w:firstLine="640" w:firstLineChars="200"/>
        <w:jc w:val="left"/>
        <w:rPr>
          <w:rFonts w:ascii="楷体" w:hAnsi="楷体" w:eastAsia="楷体"/>
          <w:sz w:val="32"/>
          <w:szCs w:val="32"/>
        </w:rPr>
      </w:pPr>
    </w:p>
    <w:tbl>
      <w:tblPr>
        <w:tblStyle w:val="4"/>
        <w:tblW w:w="15067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620"/>
        <w:gridCol w:w="2299"/>
        <w:gridCol w:w="640"/>
        <w:gridCol w:w="1040"/>
        <w:gridCol w:w="2856"/>
        <w:gridCol w:w="4252"/>
        <w:gridCol w:w="1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06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RANGE!A1:H44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2022年度南京市农业技术推广站部门整体支出绩效评价评分表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指标说明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评分标准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自评价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部门决策（18分）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决策机制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决策制度的规范性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考量部门（单位）决策制度是否明确、合理、规范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①符合国家和地区的发展目标和规划；②合法、合规、完整；③与单位的工作职能相关。①②③三项齐全得满分；①缺失不得分；②③缺失一项扣权重分的30%。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决策流程的科学性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考量部门（单位）决策流程是否规范、科学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①符合规定程序；②可行性论证充分。①②两项齐全得满分；①缺失不得分；②缺失扣权重分的50%。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决策执行监督制衡机制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健全有效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考量部门（单位）决策权、执行权、监督权“权力三分”机制是否建立并有效执行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①建立科学的内部管控体系；②决策权、执行权、监督权相互制约、协调运行。以上两项各占权重分的1/2，符合得该项权重分，不符合不得分。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中长期规划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中长期规划明确性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考量部门（单位）中长期规划是否明确、科学、合理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①符合市级中长期发展目标；②合法、合理、科学。以上两项各占权重分的1/2，符合得该项权重分，不符合不得分。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中长期规划与部门职能的匹配性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匹配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考量部门（单位）中长期规划是否与其部门职能相匹配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与单位的工作职能相关。符合得该项权重分，不符合不得分。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年度工作计划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年度工作计划明确性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考量部门（单位）年度工作计划是否明确、科学、合理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①符合市级本年度工作任务；②合法、合理、科学。以上两项各占权重分的1/2，符合得该项权重分，不符合不得分。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年度工作计划与部门职能的匹配性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匹配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考量部门（单位）年度工作计划是否与其部门职能相匹配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与单位的工作职能相关。符合得该项权重分，不符合不得分。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部门预算编制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预算编制科学规范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科学规范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考量部门（单位）预算编制是否科学、合理，预算审批是否合法、合规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①预算编制方法符合《预算法》的相关规定；②预算填报方式规范，填报内容合理、科学、完整；③预算审批流程合法、合规。以上三项各占权重分的1/3，符合得该项权重分，不符合不得分。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预算编制与重点工作任务的匹配性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匹配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考量部门（单位）预算编制是否与重点工作任务相匹配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与重点工作任务相关。符合得该项权重分，不符合不得分。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部门管理（20分）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预算执行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部门预算执行率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考量部门（单位）本年度预算完成数与预算数的比率，用以反映和考核部门（单位）预算完成程度。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预算执行率=（预算完成数/预算数）×100%；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预算完成数：部门（单位）本年度实际完成的预算数；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预算数：财政部门批复的本年度部门（单位）预算数。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预算执行率达到或超过100%，计2分；在100%以下则按预算执行率与目标值的比值，乘以2分计分。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专项资金执行率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考量部门（单位）本年度专项资金实际使用数与专项资金预算数的比率，用以反映和考核部门（单位）专项资金完成程度。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专项资金执行率=（专项资金实际使用数/专项资金预算数）×100%；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专项资金实际使用数：部门（单位）本年度实际使用（支付）的专项资金；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专项资金预算数：财政部门批复的本年度部门（单位）专项资金预算数。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专项资金执行率达到或超过100%，计2分；在100%以下则按专项资金执行率与目标值的比值，乘以2分计分。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“三公”经费控制率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考量部门（单位）本年度“三公经费”实际支出数与预算安排数的比率，用以反映和考核部门（单位）对“三公经费”的实际控制程度。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“三公经费”控制率=（“三公经费”实际支出数/“三公经费”预算安排数）×100%。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“三公经费”控制率低于或达到100%，计2分；在100%以上的，每超过一个百分点扣减权重分的5%，扣完即止。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预决算信息公开情况 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公开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考量部门（单位）预决算信息是否在“双平台”进行公开，内容和时限是否符合要求。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①预决算信息在“双平台”公示；②公示内容和时限符合规定；③能够提供截图或者照片等资料进行佐证。以上三项各占权重分的1/3，符合得该项权重分，不符合不得分。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收支管理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收支管理制度健全性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建立健全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考量部门（单位）本年度收支管理制度是否建立、健全。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①建立了收支管理制度；②收支管理制度内容完整、详细、健全。①②两项齐全得满分；①缺失不得分；②缺失扣权重分的50%。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收支管理是否按制度执行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考量部门（单位）本年度收支管理制度是否有效执行。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收支管理制度有效执行。符合得该项权重分，不符合不得分。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资产管理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资产管理制度健全性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建立健全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考量部门（单位）本年度资产管理制度是否建立、健全。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①建立了资产管理制度；②资产管理制度内容完整、详细、健全。①②两项齐全得满分；①缺失不得分；②缺失扣权重分的50%。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资产管理是否按制度执行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考量部门（单位）本年度资产管理制度是否有效执行。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资产管理制度有效执行。符合得该项权重分，不符合不得分。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部门管理（22分）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政府采购管理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政府采购管理制度健全性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建立健全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考量部门（单位）本年度政府采购管理制度是否建立、健全。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①建立了政府采购管理制度；②政府采购管理制度内容完整、详细、健全。①②两项齐全得满分；①缺失不得分；②缺失扣权重分的50%。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政府采购管理是否按制度执行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考量部门（单位）本年度政府采购管理制度是否有效执行。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政府采购管理制度有效执行。符合得该项权重分，不符合不得分。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建设项目管理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建设项目管理制度健全性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建立健全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考量部门（单位）本年度建设项目管理制度是否建立、健全。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①建立了建设项目管理制度；②建设项目管理制度内容完整、详细、健全。①②两项齐全得满分；①缺失不得分；②缺失扣权重分的50%。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建设项目管理是否按制度执行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考量部门（单位）本年度建设项目管理制度是否有效执行。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建设项目管理制度有效执行。符合得该项权重分，不符合不得分。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内部控制管理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内部控制建设情况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建立健全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考量部门（单位）本年度内部控制制度是否建立、健全。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①建立了内部控制制度，并形成内部控制制度手册等文本；②内部控制制度内容合法、合规、完整。①②两项齐全得满分；①缺失不得分；②缺失扣权重分的50%。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内部控制执行情况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规范有效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考量部门（单位）本年度内部控制制度是否有效执行。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①相关内部控制制度得到有效执行；②内部控制制度执行机构健全。以上两项各占权重分的1/2，符合得该项权重分，不符合不得分。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内部控制监督评价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建立执行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考量部门（单位）本年度内部控制监督评价体系是否建立有效。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①建立了有效的内部监督机制；②内部监督机制运行有效；③有单位内部内控评价报告。①②③三项齐全得满分；①缺失不得分；②③缺失一项扣权重分的30%。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预算绩效管理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组织管理情况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建立执行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考量部门（单位）本年度预算绩效管理组织架构、制度建设、职能配置、分行业指标体系的建立和执行情况。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①合理设置管理组织架构；②职能配置完整、权责划分清晰；③管理制度健全有效；④建立适当的分行业指标体系，上述四项各占权重分的1/4，符合即得分，不符合不得分。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工作开展情况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考量部门（单位）本年度预算绩效管理的事前评估、目标管理、跟踪评价、自评价、整改落实情况。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对事前评估、目标管理、跟踪评价、自评价、整改落实等5个报告进行考察，上述五项各占权重分的1/5，符合即得分，不符合不得分。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绩效信息公开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公开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考量部门（单位）绩效信息是否在“双平台”进行公开，内容和时限是否符合要求。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①绩效信息在“双平台”公示；②公示内容和时限符合规定。以上两项各占权重分的1/2，符合得该项权重分，不符合不得分。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部门履职（35分）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重点项目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茶产业技术体系南京推广示范基地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资金预算执行率≥95%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考量部门（单位）本年度推推广茶叶新品种、新技术、新设施完成情况。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资金预算执行率=（实际支出资金/预算资金）×100%；预算执行率达到或超过95%，计5分；在95%以下则按预算执行率与目标值的比值，乘以5分计分。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2022南京茶叶高质高效新技术试验示范点建设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建立技术应用示范区≥5个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考量部门（单位）本年度茶叶高质高效新技术试验示范点建设建设情况。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达到目标值得满分，每降低1片扣权重分的20%，扣完为止。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农作物种质资源普查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建立种质资源保种点≥2个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考量部门（单位）种质资源保种点建设完成情况。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达到目标值得满分，每减少1个扣权重分的20%，扣完为止。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南京市多功能油菜产业科普宣传及文创开发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研制开发油菜产业文创产品≥5种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考量部门（单位）油菜产业文创产品研制开发完成情况。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达到目标值得满分，每减少1种扣权重分的20%，扣完为止。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雨花茶品牌宣传推介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媒体宣传、报道、推介≥5篇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考量部门（单位）雨花茶公共区域品牌宣传及推介情况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达到目标值得满分，每减少1篇扣权重分的20%，扣完为止。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履职管理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验收程序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规范、遵照执行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考量部门（单位）部门履职项目是否建立了验收制度及验收制度的执行情况。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①根据履职项目实际情况建立了合理的验收制度；②遵照验收制度约定的条款执行。①②两项齐全得满分；①缺失不得分；②缺失扣权重分的50%。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档案管理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考量部门（单位）部门履职项目档案是否及时归档，档案内容是否完整、准确。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①履职项目档案及时归档；②档案内容完整、准确。以上两项各占权重分的1/2，符合得该项权重分，不符合不得分。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履职绩效（20分）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促进经济发展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不低于上一年度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考量部门（单位）本年度部门履职对经济发展所带来的直接或间接影响。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①农业生产上旱涝保收,高产稳产,优质高效,增加产量产值,对农民群众增收致富;对社会增加农产品的有效供给,对国家增强经济实力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加大宣传力度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不低于上一年度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考量部门（单位）本年度部门履职的宣传力度，使更多的市民能够参与文化娱乐、旅游休闲活动。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①政策和产品的知晓率高于85%；②项目（活动）宣传资料齐全；③项目（活动）参与人数不得低于上一年度。以上三项各占权重分的1/3，符合得该项权重分，不符合不得分。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生态效益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保护和改善农业生态环境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不低于上一年度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考量部门（单位）开展或组织市民美丽乡村休闲活动，丰富市民生活，提高人民群众生活幸福感。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①保护和改善农业生态环境②组织开展的美丽乡村休闲活动取得了预期的效果。以上两项各占权重分的1/2，符合得该项权重分，不符合不得分。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满意度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社会公众满意程度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≥90%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考量部门（单位）本年度部门履职效果的社会公众满意程度。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①问卷调查3分，问卷得分满意度高于90%得满分，问卷得分满意度在80%以上得权重分的50%，问卷得分满意度低于80%不得分；②社会公众投诉处理满意率2分，社会公众投诉处理满意率100%得满分，每降低五个百分点扣1分，扣完为止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可持续发展能力（5分）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信息化建设情况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办公流程、业务开展信息系统建设水平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完善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考量部门（单位）本年度办公流程、业务开展是否能通过单位的信息系统实现。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信息系统建立、内容完备且使用正常得满分，未建立信息系统不得分，信息系统建立、但内容缺失或未正常使用，扣权重分的50%。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人力资源建设情况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人员培训、人才培养、人才选拔等措施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完善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考量部门（单位）本年度人员培训机制、人才培养计划、人才选拔运用、激励措施等制度的建立和执行情况。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人力资源制度建立、内容完备且遵照执行得满分，未建立人力资源制度不得分，人力资源制度建立、但内容缺失或遵照执行，扣权重分的50%。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部门创新情况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制度创新、方法创新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创新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考量部门（单位）本年度是否有制度创新、方法创新等事项。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提供创新案例被官方媒体报道的佐证材料得满分，不符合不得分。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95</w:t>
            </w:r>
          </w:p>
        </w:tc>
      </w:tr>
    </w:tbl>
    <w:p>
      <w:pPr>
        <w:spacing w:line="560" w:lineRule="exact"/>
        <w:rPr>
          <w:rFonts w:ascii="楷体" w:hAnsi="楷体" w:eastAsia="楷体"/>
          <w:sz w:val="44"/>
          <w:szCs w:val="44"/>
        </w:rPr>
      </w:pPr>
    </w:p>
    <w:sectPr>
      <w:pgSz w:w="16838" w:h="11906" w:orient="landscape"/>
      <w:pgMar w:top="1797" w:right="1440" w:bottom="170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FB2D0E"/>
    <w:multiLevelType w:val="multilevel"/>
    <w:tmpl w:val="05FB2D0E"/>
    <w:lvl w:ilvl="0" w:tentative="0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D4EE6BA"/>
    <w:multiLevelType w:val="singleLevel"/>
    <w:tmpl w:val="1D4EE6B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yNWJhODhkMjQ3YzMxNDE1ODYyM2YwMWM1ZmZjMjAifQ=="/>
  </w:docVars>
  <w:rsids>
    <w:rsidRoot w:val="001A3475"/>
    <w:rsid w:val="000A236E"/>
    <w:rsid w:val="000B15BB"/>
    <w:rsid w:val="000C6122"/>
    <w:rsid w:val="000E2B83"/>
    <w:rsid w:val="001267BD"/>
    <w:rsid w:val="00154990"/>
    <w:rsid w:val="001A3475"/>
    <w:rsid w:val="001B6763"/>
    <w:rsid w:val="001D2199"/>
    <w:rsid w:val="001D480E"/>
    <w:rsid w:val="00210581"/>
    <w:rsid w:val="00260F08"/>
    <w:rsid w:val="002A74FB"/>
    <w:rsid w:val="00327878"/>
    <w:rsid w:val="00333CD0"/>
    <w:rsid w:val="0033493C"/>
    <w:rsid w:val="00385336"/>
    <w:rsid w:val="003B3F0E"/>
    <w:rsid w:val="0046247F"/>
    <w:rsid w:val="004857B0"/>
    <w:rsid w:val="004A7627"/>
    <w:rsid w:val="004B0867"/>
    <w:rsid w:val="00515060"/>
    <w:rsid w:val="005176DC"/>
    <w:rsid w:val="005249B9"/>
    <w:rsid w:val="005546EE"/>
    <w:rsid w:val="00565F83"/>
    <w:rsid w:val="005700E7"/>
    <w:rsid w:val="005A1D5F"/>
    <w:rsid w:val="005A4AFB"/>
    <w:rsid w:val="005C16C4"/>
    <w:rsid w:val="005C1959"/>
    <w:rsid w:val="005C21B7"/>
    <w:rsid w:val="005F3A30"/>
    <w:rsid w:val="00623DEF"/>
    <w:rsid w:val="00685E41"/>
    <w:rsid w:val="00697116"/>
    <w:rsid w:val="006F4119"/>
    <w:rsid w:val="0072763E"/>
    <w:rsid w:val="00770308"/>
    <w:rsid w:val="007A37B9"/>
    <w:rsid w:val="007C1678"/>
    <w:rsid w:val="00831821"/>
    <w:rsid w:val="00834E2B"/>
    <w:rsid w:val="008423F9"/>
    <w:rsid w:val="0085099E"/>
    <w:rsid w:val="008722A6"/>
    <w:rsid w:val="008A3BDA"/>
    <w:rsid w:val="008F067D"/>
    <w:rsid w:val="009245B8"/>
    <w:rsid w:val="00953636"/>
    <w:rsid w:val="009872AD"/>
    <w:rsid w:val="009912D6"/>
    <w:rsid w:val="009919DA"/>
    <w:rsid w:val="009C1816"/>
    <w:rsid w:val="009E6C85"/>
    <w:rsid w:val="00A022EB"/>
    <w:rsid w:val="00A54F2F"/>
    <w:rsid w:val="00AF2EAF"/>
    <w:rsid w:val="00B053BA"/>
    <w:rsid w:val="00B169C3"/>
    <w:rsid w:val="00B4166F"/>
    <w:rsid w:val="00B86AEB"/>
    <w:rsid w:val="00B93AD0"/>
    <w:rsid w:val="00B95FCA"/>
    <w:rsid w:val="00BB0E0B"/>
    <w:rsid w:val="00BE6CA6"/>
    <w:rsid w:val="00C07FFC"/>
    <w:rsid w:val="00C160D3"/>
    <w:rsid w:val="00C22BB3"/>
    <w:rsid w:val="00C540D7"/>
    <w:rsid w:val="00C86F8A"/>
    <w:rsid w:val="00CE7C86"/>
    <w:rsid w:val="00CF5455"/>
    <w:rsid w:val="00D250F2"/>
    <w:rsid w:val="00D270EC"/>
    <w:rsid w:val="00D81261"/>
    <w:rsid w:val="00DE2CE9"/>
    <w:rsid w:val="00DF036A"/>
    <w:rsid w:val="00E02A75"/>
    <w:rsid w:val="00E07B3F"/>
    <w:rsid w:val="00E7146D"/>
    <w:rsid w:val="00ED5CBA"/>
    <w:rsid w:val="00EE5DE6"/>
    <w:rsid w:val="00F1188F"/>
    <w:rsid w:val="00F44DDF"/>
    <w:rsid w:val="00F46615"/>
    <w:rsid w:val="00F56E52"/>
    <w:rsid w:val="00F876E5"/>
    <w:rsid w:val="00F917CE"/>
    <w:rsid w:val="00FC7922"/>
    <w:rsid w:val="04296160"/>
    <w:rsid w:val="0973750E"/>
    <w:rsid w:val="0A775FD5"/>
    <w:rsid w:val="13592FEE"/>
    <w:rsid w:val="1EAE1923"/>
    <w:rsid w:val="267906B2"/>
    <w:rsid w:val="286667A8"/>
    <w:rsid w:val="2FB13DA3"/>
    <w:rsid w:val="31286F3F"/>
    <w:rsid w:val="36C211A8"/>
    <w:rsid w:val="3A674D84"/>
    <w:rsid w:val="3D9B7F3D"/>
    <w:rsid w:val="53000F83"/>
    <w:rsid w:val="68C2395E"/>
    <w:rsid w:val="72D8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15</Pages>
  <Words>1352</Words>
  <Characters>7712</Characters>
  <Lines>64</Lines>
  <Paragraphs>18</Paragraphs>
  <TotalTime>1351</TotalTime>
  <ScaleCrop>false</ScaleCrop>
  <LinksUpToDate>false</LinksUpToDate>
  <CharactersWithSpaces>9046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2021-10-28T08:28:00Z</dcterms:created>
  <dc:creator>lys</dc:creator>
  <cp:lastModifiedBy>lenovo</cp:lastModifiedBy>
  <cp:lastPrinted>2021-10-28T08:27:00Z</cp:lastPrinted>
  <dcterms:modified xsi:type="dcterms:W3CDTF">2023-11-14T02:27:39Z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632248F361204DBCA445D28F0BF24C9D_12</vt:lpwstr>
  </property>
</Properties>
</file>