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206" w:rsidRDefault="00676206">
      <w:pPr>
        <w:rPr>
          <w:rFonts w:ascii="黑体" w:eastAsia="黑体" w:hAnsi="黑体" w:hint="eastAsia"/>
          <w:sz w:val="36"/>
          <w:szCs w:val="40"/>
        </w:rPr>
      </w:pPr>
    </w:p>
    <w:p w:rsidR="00676206" w:rsidRDefault="0089086D">
      <w:pPr>
        <w:jc w:val="center"/>
        <w:rPr>
          <w:rFonts w:ascii="方正小标宋简体" w:eastAsia="方正小标宋简体" w:hAnsi="方正小标宋简体" w:cs="方正小标宋简体"/>
          <w:sz w:val="36"/>
          <w:szCs w:val="40"/>
        </w:rPr>
      </w:pPr>
      <w:r>
        <w:rPr>
          <w:rFonts w:ascii="方正小标宋简体" w:eastAsia="方正小标宋简体" w:hAnsi="方正小标宋简体" w:cs="方正小标宋简体" w:hint="eastAsia"/>
          <w:sz w:val="36"/>
          <w:szCs w:val="40"/>
        </w:rPr>
        <w:t xml:space="preserve"> 2022年度南京市农业农村局</w:t>
      </w:r>
      <w:r w:rsidR="00E17BAD" w:rsidRPr="00E17BAD">
        <w:rPr>
          <w:rFonts w:ascii="方正小标宋简体" w:eastAsia="方正小标宋简体" w:hAnsi="方正小标宋简体" w:cs="方正小标宋简体" w:hint="eastAsia"/>
          <w:sz w:val="36"/>
          <w:szCs w:val="40"/>
        </w:rPr>
        <w:t>现代农业发展</w:t>
      </w:r>
      <w:r w:rsidR="00E17BAD" w:rsidRPr="00E17BAD">
        <w:rPr>
          <w:rFonts w:ascii="方正小标宋简体" w:eastAsia="方正小标宋简体" w:hAnsi="方正小标宋简体" w:cs="方正小标宋简体"/>
          <w:sz w:val="36"/>
          <w:szCs w:val="40"/>
        </w:rPr>
        <w:t>-</w:t>
      </w:r>
      <w:r>
        <w:rPr>
          <w:rFonts w:ascii="方正小标宋简体" w:eastAsia="方正小标宋简体" w:hAnsi="方正小标宋简体" w:cs="方正小标宋简体" w:hint="eastAsia"/>
          <w:sz w:val="36"/>
          <w:szCs w:val="40"/>
        </w:rPr>
        <w:t>农业机械化</w:t>
      </w:r>
      <w:bookmarkStart w:id="0" w:name="_GoBack"/>
      <w:bookmarkEnd w:id="0"/>
      <w:r>
        <w:rPr>
          <w:rFonts w:ascii="方正小标宋简体" w:eastAsia="方正小标宋简体" w:hAnsi="方正小标宋简体" w:cs="方正小标宋简体" w:hint="eastAsia"/>
          <w:sz w:val="36"/>
          <w:szCs w:val="40"/>
        </w:rPr>
        <w:t>绩效评价报告</w:t>
      </w:r>
    </w:p>
    <w:p w:rsidR="00676206" w:rsidRDefault="00676206">
      <w:pPr>
        <w:rPr>
          <w:rFonts w:ascii="黑体" w:eastAsia="黑体" w:hAnsi="黑体"/>
          <w:sz w:val="36"/>
          <w:szCs w:val="40"/>
        </w:rPr>
      </w:pPr>
    </w:p>
    <w:p w:rsidR="00676206" w:rsidRDefault="0089086D">
      <w:pPr>
        <w:spacing w:line="560" w:lineRule="exact"/>
        <w:ind w:firstLineChars="200" w:firstLine="640"/>
        <w:rPr>
          <w:rFonts w:ascii="仿宋" w:eastAsia="仿宋" w:hAnsi="仿宋"/>
          <w:sz w:val="32"/>
          <w:szCs w:val="32"/>
        </w:rPr>
      </w:pPr>
      <w:bookmarkStart w:id="1" w:name="_Toc139007052"/>
      <w:r>
        <w:rPr>
          <w:rFonts w:ascii="仿宋" w:eastAsia="仿宋" w:hAnsi="仿宋" w:hint="eastAsia"/>
          <w:sz w:val="32"/>
          <w:szCs w:val="32"/>
        </w:rPr>
        <w:t>为了全面了解专项资金使用绩效，我们对全市辖区内的江北新区、江宁区、六合区、溧水区、高淳区、浦口区和市本级共计7个区域的2022年市级农业机械化项目实施和资金使用情况进行绩效评价。我们结合项目实际情况，请第三方机构实施了数据和资料收集、现场核查等必要的评价程序，形成了 2022 年市级农业机械化专项资金绩效自评价报告，绩效自评价得分 97.62 分。现将评价情况汇报如下：</w:t>
      </w:r>
    </w:p>
    <w:p w:rsidR="00676206" w:rsidRDefault="0089086D">
      <w:pPr>
        <w:spacing w:line="560" w:lineRule="exact"/>
        <w:ind w:firstLineChars="200" w:firstLine="640"/>
        <w:rPr>
          <w:rFonts w:ascii="黑体" w:eastAsia="黑体" w:hAnsi="黑体"/>
          <w:kern w:val="44"/>
          <w:sz w:val="32"/>
          <w:szCs w:val="32"/>
        </w:rPr>
      </w:pPr>
      <w:r>
        <w:rPr>
          <w:rFonts w:ascii="黑体" w:eastAsia="黑体" w:hAnsi="黑体" w:hint="eastAsia"/>
          <w:kern w:val="44"/>
          <w:sz w:val="32"/>
          <w:szCs w:val="32"/>
        </w:rPr>
        <w:t>一、项目基本情况</w:t>
      </w:r>
      <w:bookmarkEnd w:id="1"/>
    </w:p>
    <w:p w:rsidR="00676206" w:rsidRDefault="0089086D">
      <w:pPr>
        <w:pStyle w:val="2"/>
        <w:ind w:firstLine="643"/>
        <w:rPr>
          <w:rFonts w:ascii="仿宋" w:eastAsia="仿宋" w:hAnsi="仿宋"/>
          <w:sz w:val="32"/>
        </w:rPr>
      </w:pPr>
      <w:bookmarkStart w:id="2" w:name="_Toc139007053"/>
      <w:r>
        <w:rPr>
          <w:rFonts w:ascii="仿宋" w:eastAsia="仿宋" w:hAnsi="仿宋" w:hint="eastAsia"/>
          <w:sz w:val="32"/>
        </w:rPr>
        <w:t>1、项目背景</w:t>
      </w:r>
      <w:bookmarkEnd w:id="2"/>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根据江苏省、南京市“十四五”农机化发展规划定位，南京市主动适应推进乡村振兴战略，围绕“全程全面、智能绿色”的农机化发展总体思路，扎实推进农业生产全程全面机械化、智能化绿色化农机装备应用提升两大行动，巩固和提升粮食全程机械化生产能力，全面发展特色农业机械化，重点推广智能绿色高效农机装备与技术。积极培育新型农机服务主体，提升农机社会化服务水平。</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依据《省政府关于加快推进农业机械化和农机装备产业转型升级的实施意见》（苏政发〔</w:t>
      </w:r>
      <w:r>
        <w:rPr>
          <w:rFonts w:ascii="仿宋" w:eastAsia="仿宋" w:hAnsi="仿宋"/>
          <w:sz w:val="32"/>
          <w:szCs w:val="32"/>
        </w:rPr>
        <w:t>2019〕46号）</w:t>
      </w:r>
      <w:r>
        <w:rPr>
          <w:rFonts w:ascii="仿宋" w:eastAsia="仿宋" w:hAnsi="仿宋" w:hint="eastAsia"/>
          <w:sz w:val="32"/>
          <w:szCs w:val="32"/>
        </w:rPr>
        <w:t>、《市政府关于加快推进农业机械化和农机装备产业转型升级的实施意见》（宁政发〔</w:t>
      </w:r>
      <w:r>
        <w:rPr>
          <w:rFonts w:ascii="仿宋" w:eastAsia="仿宋" w:hAnsi="仿宋"/>
          <w:sz w:val="32"/>
          <w:szCs w:val="32"/>
        </w:rPr>
        <w:t>2019〕225号</w:t>
      </w:r>
      <w:r>
        <w:rPr>
          <w:rFonts w:ascii="仿宋" w:eastAsia="仿宋" w:hAnsi="仿宋" w:hint="eastAsia"/>
          <w:sz w:val="32"/>
          <w:szCs w:val="32"/>
        </w:rPr>
        <w:t>）、《市政府关于促进乡村产业振</w:t>
      </w:r>
      <w:r>
        <w:rPr>
          <w:rFonts w:ascii="仿宋" w:eastAsia="仿宋" w:hAnsi="仿宋" w:hint="eastAsia"/>
          <w:sz w:val="32"/>
          <w:szCs w:val="32"/>
        </w:rPr>
        <w:lastRenderedPageBreak/>
        <w:t>兴</w:t>
      </w:r>
      <w:r>
        <w:rPr>
          <w:rFonts w:ascii="仿宋" w:eastAsia="仿宋" w:hAnsi="仿宋"/>
          <w:sz w:val="32"/>
          <w:szCs w:val="32"/>
        </w:rPr>
        <w:t xml:space="preserve"> 推动农村一二三产业融合发展走在前列的实施意见》（宁政发〔2020〕23号）</w:t>
      </w:r>
      <w:r>
        <w:rPr>
          <w:rFonts w:ascii="仿宋" w:eastAsia="仿宋" w:hAnsi="仿宋" w:hint="eastAsia"/>
          <w:sz w:val="32"/>
          <w:szCs w:val="32"/>
        </w:rPr>
        <w:t>、省农业农村厅、省财政厅、省商务厅《关于印发〈江苏省农业机械报废更新补贴实施意见〉的通知》（苏农规〔</w:t>
      </w:r>
      <w:r>
        <w:rPr>
          <w:rFonts w:ascii="仿宋" w:eastAsia="仿宋" w:hAnsi="仿宋"/>
          <w:sz w:val="32"/>
          <w:szCs w:val="32"/>
        </w:rPr>
        <w:t>2020〕10 号）</w:t>
      </w:r>
      <w:r>
        <w:rPr>
          <w:rFonts w:ascii="仿宋" w:eastAsia="仿宋" w:hAnsi="仿宋" w:hint="eastAsia"/>
          <w:sz w:val="32"/>
          <w:szCs w:val="32"/>
        </w:rPr>
        <w:t>、《市政府关于印发南京市打赢蓝天保卫战实施方案的通知》（宁政发〔</w:t>
      </w:r>
      <w:r>
        <w:rPr>
          <w:rFonts w:ascii="仿宋" w:eastAsia="仿宋" w:hAnsi="仿宋"/>
          <w:sz w:val="32"/>
          <w:szCs w:val="32"/>
        </w:rPr>
        <w:t>2019〕7号）</w:t>
      </w:r>
      <w:r>
        <w:rPr>
          <w:rFonts w:ascii="仿宋" w:eastAsia="仿宋" w:hAnsi="仿宋" w:hint="eastAsia"/>
          <w:sz w:val="32"/>
          <w:szCs w:val="32"/>
        </w:rPr>
        <w:t>、省农业农村厅《关于加快推进“全程机械化</w:t>
      </w:r>
      <w:r>
        <w:rPr>
          <w:rFonts w:ascii="仿宋" w:eastAsia="仿宋" w:hAnsi="仿宋"/>
          <w:sz w:val="32"/>
          <w:szCs w:val="32"/>
        </w:rPr>
        <w:t>+综合农事”服务中心建设的指导意见》（苏农机〔2020〕11号）</w:t>
      </w:r>
      <w:r>
        <w:rPr>
          <w:rFonts w:ascii="仿宋" w:eastAsia="仿宋" w:hAnsi="仿宋" w:hint="eastAsia"/>
          <w:sz w:val="32"/>
          <w:szCs w:val="32"/>
        </w:rPr>
        <w:t>等文件精神，并结合南京市农机化发展实际，设立市级农机化项目专项资金，主要通过农机化项目的建设，不断推动我市主要农作物生产全程机械化和特色农业主导产业生产机械化，切实加快农机与农艺融合，提升农机公共服务能力与社会化服务体系建设水平，逐步实现农机装备总量稳定增长，农机作业水平稳步提升，农机服务能力显著增强，农机科技水平逐渐提高。</w:t>
      </w:r>
    </w:p>
    <w:p w:rsidR="00676206" w:rsidRDefault="0089086D">
      <w:pPr>
        <w:pStyle w:val="2"/>
        <w:ind w:firstLine="643"/>
        <w:rPr>
          <w:rFonts w:ascii="仿宋" w:eastAsia="仿宋" w:hAnsi="仿宋"/>
          <w:sz w:val="32"/>
        </w:rPr>
      </w:pPr>
      <w:bookmarkStart w:id="3" w:name="_Toc139007054"/>
      <w:r>
        <w:rPr>
          <w:rFonts w:ascii="仿宋" w:eastAsia="仿宋" w:hAnsi="仿宋" w:hint="eastAsia"/>
          <w:sz w:val="32"/>
        </w:rPr>
        <w:t>2、立项依据</w:t>
      </w:r>
      <w:bookmarkEnd w:id="3"/>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①《省政府关于加快推进农业机械化和农机装备产业转型升级的实施意见》（苏政发〔</w:t>
      </w:r>
      <w:r>
        <w:rPr>
          <w:rFonts w:ascii="仿宋" w:eastAsia="仿宋" w:hAnsi="仿宋"/>
          <w:sz w:val="32"/>
          <w:szCs w:val="32"/>
        </w:rPr>
        <w:t>2019〕46号）</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②《市政府关于加快推进农业机械化和农机装备产业转型升级的实施意见》（宁政发〔</w:t>
      </w:r>
      <w:r>
        <w:rPr>
          <w:rFonts w:ascii="仿宋" w:eastAsia="仿宋" w:hAnsi="仿宋"/>
          <w:sz w:val="32"/>
          <w:szCs w:val="32"/>
        </w:rPr>
        <w:t>2019〕225号</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③《市政府关于促进乡村产业振兴</w:t>
      </w:r>
      <w:r>
        <w:rPr>
          <w:rFonts w:ascii="仿宋" w:eastAsia="仿宋" w:hAnsi="仿宋"/>
          <w:sz w:val="32"/>
          <w:szCs w:val="32"/>
        </w:rPr>
        <w:t xml:space="preserve"> 推动农村一二三产业融合发展走在前列的实施意见》（宁政发〔2020〕23号）</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④省农业农村厅、省财政厅、省商务厅《关于印发〈江苏省农业机械报废更新补贴实施意见〉的通知》（苏农规〔</w:t>
      </w:r>
      <w:r>
        <w:rPr>
          <w:rFonts w:ascii="仿宋" w:eastAsia="仿宋" w:hAnsi="仿宋"/>
          <w:sz w:val="32"/>
          <w:szCs w:val="32"/>
        </w:rPr>
        <w:t>2020〕10 号）</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⑤《市政府关于印发南京市打赢蓝天保卫战实施方案的通知》（宁政发〔</w:t>
      </w:r>
      <w:r>
        <w:rPr>
          <w:rFonts w:ascii="仿宋" w:eastAsia="仿宋" w:hAnsi="仿宋"/>
          <w:sz w:val="32"/>
          <w:szCs w:val="32"/>
        </w:rPr>
        <w:t>2019〕7号）</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⑥省农业农村厅《关于加快推进“全程机械化</w:t>
      </w:r>
      <w:r>
        <w:rPr>
          <w:rFonts w:ascii="仿宋" w:eastAsia="仿宋" w:hAnsi="仿宋"/>
          <w:sz w:val="32"/>
          <w:szCs w:val="32"/>
        </w:rPr>
        <w:t>+综合农事”服务中心建设的指导意见》（苏农机〔2020〕11号）</w:t>
      </w:r>
    </w:p>
    <w:p w:rsidR="00676206" w:rsidRDefault="0089086D">
      <w:pPr>
        <w:pStyle w:val="2"/>
        <w:ind w:firstLine="643"/>
        <w:rPr>
          <w:rFonts w:ascii="仿宋" w:eastAsia="仿宋" w:hAnsi="仿宋"/>
          <w:sz w:val="32"/>
        </w:rPr>
      </w:pPr>
      <w:bookmarkStart w:id="4" w:name="_Toc139007055"/>
      <w:r>
        <w:rPr>
          <w:rFonts w:ascii="仿宋" w:eastAsia="仿宋" w:hAnsi="仿宋" w:hint="eastAsia"/>
          <w:sz w:val="32"/>
        </w:rPr>
        <w:t>3、主管部门（单位）职能</w:t>
      </w:r>
      <w:bookmarkEnd w:id="4"/>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南京市农业农村局负责按项目管理要求提出任务清单，做好各区切块资金分配，对专项资金适时开展项目督查，并做好市级单位专项资金项目的立项、督察和验收等工作。各区农业农村局按分级管理要求，负责专项资金项目管理和具体实施，包括做好辖区内专项资金项目的申报、立项、实施、督查、验收及监管等工作。</w:t>
      </w:r>
    </w:p>
    <w:p w:rsidR="00676206" w:rsidRDefault="0089086D">
      <w:pPr>
        <w:pStyle w:val="2"/>
        <w:ind w:firstLine="643"/>
        <w:rPr>
          <w:rFonts w:ascii="仿宋" w:eastAsia="仿宋" w:hAnsi="仿宋"/>
          <w:sz w:val="32"/>
        </w:rPr>
      </w:pPr>
      <w:bookmarkStart w:id="5" w:name="_Toc139007056"/>
      <w:r>
        <w:rPr>
          <w:rFonts w:ascii="仿宋" w:eastAsia="仿宋" w:hAnsi="仿宋" w:hint="eastAsia"/>
          <w:sz w:val="32"/>
        </w:rPr>
        <w:t>4、资金管理情况</w:t>
      </w:r>
      <w:bookmarkEnd w:id="5"/>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sz w:val="32"/>
          <w:szCs w:val="32"/>
        </w:rPr>
        <w:t>2022年度市级农业机械化专项资金</w:t>
      </w:r>
      <w:r>
        <w:rPr>
          <w:rFonts w:ascii="仿宋" w:eastAsia="仿宋" w:hAnsi="仿宋" w:hint="eastAsia"/>
          <w:sz w:val="32"/>
          <w:szCs w:val="32"/>
        </w:rPr>
        <w:t>支持农业生产经营服务组织（含农机合作社、家庭农场及相关企业等）开展粮食生产全程机械化示范推广基地、特色农业生产机械化示范推广基地、粮食烘干中心等建设，实施粮食烘干机燃煤热风炉环保升级；扶持“全程机械化</w:t>
      </w:r>
      <w:r>
        <w:rPr>
          <w:rFonts w:ascii="仿宋" w:eastAsia="仿宋" w:hAnsi="仿宋"/>
          <w:sz w:val="32"/>
          <w:szCs w:val="32"/>
        </w:rPr>
        <w:t>+综合农事”服务中心建设、农机库房建设、农机维修点建设、“平安农机”示范社创建等；实施农机报废市级累加补助；支持市农业装备推广中心分别开展市级蔬菜生产农机装备示范推广基地建设、市级粮食生产农机装备示范推广基地建设，并围绕重点农业产业链，开展特色农业装备体系发展调研；支持特色农业产业（螃蟹、茶、水芹）生产</w:t>
      </w:r>
      <w:r>
        <w:rPr>
          <w:rFonts w:ascii="仿宋" w:eastAsia="仿宋" w:hAnsi="仿宋" w:hint="eastAsia"/>
          <w:sz w:val="32"/>
          <w:szCs w:val="32"/>
        </w:rPr>
        <w:t>机械装备的研发、改进；支持南京新农集团开展“嘀地农机”智慧农机服务平台建设与运营等。分配到</w:t>
      </w:r>
      <w:r>
        <w:rPr>
          <w:rFonts w:ascii="仿宋" w:eastAsia="仿宋" w:hAnsi="仿宋" w:hint="eastAsia"/>
          <w:sz w:val="32"/>
          <w:szCs w:val="32"/>
        </w:rPr>
        <w:lastRenderedPageBreak/>
        <w:t>区的资金以“大专项</w:t>
      </w:r>
      <w:r>
        <w:rPr>
          <w:rFonts w:ascii="仿宋" w:eastAsia="仿宋" w:hAnsi="仿宋"/>
          <w:sz w:val="32"/>
          <w:szCs w:val="32"/>
        </w:rPr>
        <w:t>+任</w:t>
      </w:r>
      <w:r>
        <w:rPr>
          <w:rFonts w:ascii="仿宋" w:eastAsia="仿宋" w:hAnsi="仿宋" w:hint="eastAsia"/>
          <w:sz w:val="32"/>
          <w:szCs w:val="32"/>
        </w:rPr>
        <w:t>务清单”形式切块下达，具体项目的组织申报、立项、实施、验收等工作由各区根据实际情况统筹安排。</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年市级农业机械化项目资金涉及江北新区、六合、溧水、高淳、浦口、江宁6个区及市本级，根据各区及市级有关批复文件统计项目计划投资总额8,070.4</w:t>
      </w:r>
      <w:r>
        <w:rPr>
          <w:rFonts w:ascii="仿宋" w:eastAsia="仿宋" w:hAnsi="仿宋"/>
          <w:sz w:val="32"/>
          <w:szCs w:val="32"/>
        </w:rPr>
        <w:t>1</w:t>
      </w:r>
      <w:r>
        <w:rPr>
          <w:rFonts w:ascii="仿宋" w:eastAsia="仿宋" w:hAnsi="仿宋" w:hint="eastAsia"/>
          <w:sz w:val="32"/>
          <w:szCs w:val="32"/>
        </w:rPr>
        <w:t>万元，当年计划财政补助金额3</w:t>
      </w:r>
      <w:r>
        <w:rPr>
          <w:rFonts w:ascii="仿宋" w:eastAsia="仿宋" w:hAnsi="仿宋"/>
          <w:sz w:val="32"/>
          <w:szCs w:val="32"/>
        </w:rPr>
        <w:t>,</w:t>
      </w:r>
      <w:r>
        <w:rPr>
          <w:rFonts w:ascii="仿宋" w:eastAsia="仿宋" w:hAnsi="仿宋" w:hint="eastAsia"/>
          <w:sz w:val="32"/>
          <w:szCs w:val="32"/>
        </w:rPr>
        <w:t>999.82万元（其中市本级终止了一个2</w:t>
      </w:r>
      <w:r>
        <w:rPr>
          <w:rFonts w:ascii="仿宋" w:eastAsia="仿宋" w:hAnsi="仿宋"/>
          <w:sz w:val="32"/>
          <w:szCs w:val="32"/>
        </w:rPr>
        <w:t>0</w:t>
      </w:r>
      <w:r>
        <w:rPr>
          <w:rFonts w:ascii="仿宋" w:eastAsia="仿宋" w:hAnsi="仿宋" w:hint="eastAsia"/>
          <w:sz w:val="32"/>
          <w:szCs w:val="32"/>
        </w:rPr>
        <w:t>万元的项目）。</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南京市本级、各区农业主管部门均制定了农业项目管理办法，各区对下达的市级财政补助资金，专款专用，支付补助资金审批手续齐全。市级财政补助资金能及时下拨至各区，各区均实行“先建后补”的政策，待建设项目验收合格后再</w:t>
      </w:r>
      <w:r>
        <w:rPr>
          <w:rFonts w:ascii="仿宋" w:eastAsia="仿宋" w:hAnsi="仿宋"/>
          <w:sz w:val="32"/>
          <w:szCs w:val="32"/>
        </w:rPr>
        <w:t>100%</w:t>
      </w:r>
      <w:r>
        <w:rPr>
          <w:rFonts w:ascii="仿宋" w:eastAsia="仿宋" w:hAnsi="仿宋" w:hint="eastAsia"/>
          <w:sz w:val="32"/>
          <w:szCs w:val="32"/>
        </w:rPr>
        <w:t>拨付财政资金。</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各区资金具体如下（单位：人民币万元）：</w:t>
      </w:r>
    </w:p>
    <w:tbl>
      <w:tblPr>
        <w:tblW w:w="8180" w:type="dxa"/>
        <w:tblLook w:val="04A0" w:firstRow="1" w:lastRow="0" w:firstColumn="1" w:lastColumn="0" w:noHBand="0" w:noVBand="1"/>
      </w:tblPr>
      <w:tblGrid>
        <w:gridCol w:w="1780"/>
        <w:gridCol w:w="3145"/>
        <w:gridCol w:w="3255"/>
      </w:tblGrid>
      <w:tr w:rsidR="00676206">
        <w:trPr>
          <w:trHeight w:val="473"/>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b/>
                <w:bCs/>
                <w:color w:val="000000"/>
                <w:kern w:val="0"/>
                <w:sz w:val="22"/>
              </w:rPr>
            </w:pPr>
            <w:r>
              <w:rPr>
                <w:rFonts w:ascii="宋体" w:eastAsia="宋体" w:hAnsi="宋体" w:cs="宋体" w:hint="eastAsia"/>
                <w:b/>
                <w:bCs/>
                <w:color w:val="000000"/>
                <w:kern w:val="0"/>
                <w:sz w:val="22"/>
              </w:rPr>
              <w:t>区属</w:t>
            </w:r>
          </w:p>
        </w:tc>
        <w:tc>
          <w:tcPr>
            <w:tcW w:w="3145" w:type="dxa"/>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b/>
                <w:bCs/>
                <w:color w:val="000000"/>
                <w:kern w:val="0"/>
                <w:sz w:val="22"/>
              </w:rPr>
            </w:pPr>
            <w:r>
              <w:rPr>
                <w:rFonts w:ascii="宋体" w:eastAsia="宋体" w:hAnsi="宋体" w:cs="宋体" w:hint="eastAsia"/>
                <w:b/>
                <w:bCs/>
                <w:color w:val="000000"/>
                <w:kern w:val="0"/>
                <w:sz w:val="22"/>
              </w:rPr>
              <w:t>项目计划投资总额</w:t>
            </w:r>
          </w:p>
        </w:tc>
        <w:tc>
          <w:tcPr>
            <w:tcW w:w="3255" w:type="dxa"/>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b/>
                <w:bCs/>
                <w:color w:val="000000"/>
                <w:kern w:val="0"/>
                <w:sz w:val="22"/>
              </w:rPr>
            </w:pPr>
            <w:r>
              <w:rPr>
                <w:rFonts w:ascii="宋体" w:eastAsia="宋体" w:hAnsi="宋体" w:cs="宋体" w:hint="eastAsia"/>
                <w:b/>
                <w:bCs/>
                <w:color w:val="000000"/>
                <w:kern w:val="0"/>
                <w:sz w:val="22"/>
              </w:rPr>
              <w:t>市级资金补助计划</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江北新区</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114.09</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40.00</w:t>
            </w:r>
          </w:p>
        </w:tc>
      </w:tr>
      <w:tr w:rsidR="00676206">
        <w:trPr>
          <w:trHeight w:val="373"/>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溧水</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1,607.71</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hint="eastAsia"/>
                <w:color w:val="000000"/>
                <w:kern w:val="0"/>
                <w:sz w:val="22"/>
              </w:rPr>
              <w:t>779.30</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高淳</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1,043.45</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592.44</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六合</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2,076.15</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955.50</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浦口</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872.06</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hint="eastAsia"/>
                <w:color w:val="000000"/>
                <w:kern w:val="0"/>
                <w:sz w:val="22"/>
              </w:rPr>
              <w:t>3</w:t>
            </w:r>
            <w:r>
              <w:rPr>
                <w:rFonts w:ascii="Times New Roman" w:eastAsia="等线" w:hAnsi="Times New Roman" w:cs="Times New Roman"/>
                <w:color w:val="000000"/>
                <w:kern w:val="0"/>
                <w:sz w:val="22"/>
              </w:rPr>
              <w:t>46.58</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江宁</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1,456.15</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665.00</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color w:val="000000"/>
                <w:kern w:val="0"/>
                <w:sz w:val="22"/>
              </w:rPr>
            </w:pPr>
            <w:r>
              <w:rPr>
                <w:rFonts w:ascii="宋体" w:eastAsia="宋体" w:hAnsi="宋体" w:cs="宋体" w:hint="eastAsia"/>
                <w:color w:val="000000"/>
                <w:kern w:val="0"/>
                <w:sz w:val="22"/>
              </w:rPr>
              <w:t>市本级</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900.80</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621.00</w:t>
            </w:r>
          </w:p>
        </w:tc>
      </w:tr>
      <w:tr w:rsidR="00676206">
        <w:trPr>
          <w:trHeight w:val="280"/>
        </w:trPr>
        <w:tc>
          <w:tcPr>
            <w:tcW w:w="1780"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宋体" w:eastAsia="宋体" w:hAnsi="宋体" w:cs="宋体"/>
                <w:b/>
                <w:bCs/>
                <w:color w:val="000000"/>
                <w:kern w:val="0"/>
                <w:sz w:val="22"/>
              </w:rPr>
            </w:pPr>
            <w:r>
              <w:rPr>
                <w:rFonts w:ascii="宋体" w:eastAsia="宋体" w:hAnsi="宋体" w:cs="宋体" w:hint="eastAsia"/>
                <w:b/>
                <w:bCs/>
                <w:color w:val="000000"/>
                <w:kern w:val="0"/>
                <w:sz w:val="22"/>
              </w:rPr>
              <w:t>合计</w:t>
            </w:r>
          </w:p>
        </w:tc>
        <w:tc>
          <w:tcPr>
            <w:tcW w:w="314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8,070.41</w:t>
            </w:r>
          </w:p>
        </w:tc>
        <w:tc>
          <w:tcPr>
            <w:tcW w:w="3255" w:type="dxa"/>
            <w:tcBorders>
              <w:top w:val="nil"/>
              <w:left w:val="nil"/>
              <w:bottom w:val="single" w:sz="4" w:space="0" w:color="auto"/>
              <w:right w:val="single" w:sz="4" w:space="0" w:color="auto"/>
            </w:tcBorders>
            <w:shd w:val="clear" w:color="auto" w:fill="auto"/>
            <w:noWrap/>
            <w:vAlign w:val="center"/>
          </w:tcPr>
          <w:p w:rsidR="00676206" w:rsidRDefault="0089086D">
            <w:pPr>
              <w:widowControl/>
              <w:spacing w:line="360" w:lineRule="auto"/>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3,999.82</w:t>
            </w:r>
          </w:p>
        </w:tc>
      </w:tr>
    </w:tbl>
    <w:p w:rsidR="00676206" w:rsidRDefault="0089086D" w:rsidP="00963D36">
      <w:pPr>
        <w:pStyle w:val="1"/>
        <w:ind w:firstLine="640"/>
        <w:rPr>
          <w:rFonts w:ascii="黑体" w:eastAsia="黑体" w:hAnsi="黑体"/>
          <w:b w:val="0"/>
          <w:bCs w:val="0"/>
          <w:szCs w:val="32"/>
        </w:rPr>
      </w:pPr>
      <w:bookmarkStart w:id="6" w:name="_Toc139007057"/>
      <w:r>
        <w:rPr>
          <w:rFonts w:ascii="黑体" w:eastAsia="黑体" w:hAnsi="黑体" w:hint="eastAsia"/>
          <w:b w:val="0"/>
          <w:bCs w:val="0"/>
          <w:szCs w:val="32"/>
        </w:rPr>
        <w:lastRenderedPageBreak/>
        <w:t>二、专项资金绩效目标</w:t>
      </w:r>
      <w:bookmarkEnd w:id="6"/>
    </w:p>
    <w:p w:rsidR="00676206" w:rsidRDefault="0089086D">
      <w:pPr>
        <w:pStyle w:val="2"/>
        <w:ind w:firstLine="643"/>
        <w:rPr>
          <w:rFonts w:ascii="仿宋" w:eastAsia="仿宋" w:hAnsi="仿宋"/>
          <w:sz w:val="32"/>
        </w:rPr>
      </w:pPr>
      <w:bookmarkStart w:id="7" w:name="_Toc139007058"/>
      <w:r>
        <w:rPr>
          <w:rFonts w:ascii="仿宋" w:eastAsia="仿宋" w:hAnsi="仿宋" w:hint="eastAsia"/>
          <w:sz w:val="32"/>
        </w:rPr>
        <w:t>1、绩效总体目标（中长期目标）</w:t>
      </w:r>
      <w:bookmarkEnd w:id="7"/>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①支持建设市级粮食生产智能化装备示范推广基地、市级蔬菜生产机械化示范推广基地；建设</w:t>
      </w:r>
      <w:r>
        <w:rPr>
          <w:rFonts w:ascii="仿宋" w:eastAsia="仿宋" w:hAnsi="仿宋"/>
          <w:sz w:val="32"/>
          <w:szCs w:val="32"/>
        </w:rPr>
        <w:t>10个以上特色农业机械化示范推广基地；围绕重点农业主导产业，研究制定有关生产机械化技术规范</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②主要粮食耕种收机械化率≥</w:t>
      </w:r>
      <w:r>
        <w:rPr>
          <w:rFonts w:ascii="仿宋" w:eastAsia="仿宋" w:hAnsi="仿宋"/>
          <w:sz w:val="32"/>
          <w:szCs w:val="32"/>
        </w:rPr>
        <w:t>97%</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③加快绿色环保农机装备与技术示范应用，实施烘干机燃煤热风炉改造；</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④实施农机报废更新市级累加补助，鼓励报废老旧农业机械；</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⑤建设</w:t>
      </w:r>
      <w:r>
        <w:rPr>
          <w:rFonts w:ascii="仿宋" w:eastAsia="仿宋" w:hAnsi="仿宋"/>
          <w:sz w:val="32"/>
          <w:szCs w:val="32"/>
        </w:rPr>
        <w:t>10个以上“全程机械化+综合农事”服务中心</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⑥建设</w:t>
      </w:r>
      <w:r>
        <w:rPr>
          <w:rFonts w:ascii="仿宋" w:eastAsia="仿宋" w:hAnsi="仿宋"/>
          <w:sz w:val="32"/>
          <w:szCs w:val="32"/>
        </w:rPr>
        <w:t>5个以上“平安农机”示范社</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⑦扶持建设农机库房</w:t>
      </w:r>
      <w:r>
        <w:rPr>
          <w:rFonts w:ascii="仿宋" w:eastAsia="仿宋" w:hAnsi="仿宋"/>
          <w:sz w:val="32"/>
          <w:szCs w:val="32"/>
        </w:rPr>
        <w:t>2000平方米以上，扶持建设农机维修点2个以上</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⑧支持“嘀地农机”智慧农机服务平台建设并运营。</w:t>
      </w:r>
    </w:p>
    <w:p w:rsidR="00676206" w:rsidRDefault="0089086D">
      <w:pPr>
        <w:pStyle w:val="2"/>
        <w:ind w:firstLine="643"/>
        <w:rPr>
          <w:rFonts w:ascii="仿宋" w:eastAsia="仿宋" w:hAnsi="仿宋"/>
          <w:sz w:val="32"/>
        </w:rPr>
      </w:pPr>
      <w:bookmarkStart w:id="8" w:name="_Toc139007059"/>
      <w:r>
        <w:rPr>
          <w:rFonts w:ascii="仿宋" w:eastAsia="仿宋" w:hAnsi="仿宋" w:hint="eastAsia"/>
          <w:sz w:val="32"/>
        </w:rPr>
        <w:t>2、项目年度目标</w:t>
      </w:r>
      <w:bookmarkEnd w:id="8"/>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①</w:t>
      </w:r>
      <w:r>
        <w:rPr>
          <w:rFonts w:ascii="仿宋" w:eastAsia="仿宋" w:hAnsi="仿宋"/>
          <w:sz w:val="32"/>
          <w:szCs w:val="32"/>
        </w:rPr>
        <w:t>全市主要粮食耕种收机械化率稳定在97%以上，特色农业机械化水平较上年提高2个百分点以上；</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②</w:t>
      </w:r>
      <w:r>
        <w:rPr>
          <w:rFonts w:ascii="仿宋" w:eastAsia="仿宋" w:hAnsi="仿宋"/>
          <w:sz w:val="32"/>
          <w:szCs w:val="32"/>
        </w:rPr>
        <w:t>围绕农业主导产业链，开展粮食生产全程机械化示范推广基地、特色农业机械化示范推广基地建设；</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③</w:t>
      </w:r>
      <w:r>
        <w:rPr>
          <w:rFonts w:ascii="仿宋" w:eastAsia="仿宋" w:hAnsi="仿宋"/>
          <w:sz w:val="32"/>
          <w:szCs w:val="32"/>
        </w:rPr>
        <w:t>研究制定农业主导产业生产机械化技术规范，支持市农业装备推广中心、市农科所实施有关农业装备推广应用示范项目</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④</w:t>
      </w:r>
      <w:r>
        <w:rPr>
          <w:rFonts w:ascii="仿宋" w:eastAsia="仿宋" w:hAnsi="仿宋"/>
          <w:sz w:val="32"/>
          <w:szCs w:val="32"/>
        </w:rPr>
        <w:t>支持“嘀地农机”智慧农机服务平台建设与运营；</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⑤</w:t>
      </w:r>
      <w:r>
        <w:rPr>
          <w:rFonts w:ascii="仿宋" w:eastAsia="仿宋" w:hAnsi="仿宋"/>
          <w:sz w:val="32"/>
          <w:szCs w:val="32"/>
        </w:rPr>
        <w:t>扶持建设“全程机械化+综合农事”服务中心；</w:t>
      </w:r>
    </w:p>
    <w:p w:rsidR="00676206" w:rsidRDefault="0089086D">
      <w:pPr>
        <w:widowControl/>
        <w:spacing w:line="560" w:lineRule="exact"/>
        <w:ind w:firstLineChars="200" w:firstLine="640"/>
        <w:rPr>
          <w:rFonts w:ascii="宋体" w:eastAsia="宋体" w:hAnsi="宋体"/>
          <w:sz w:val="32"/>
          <w:szCs w:val="32"/>
        </w:rPr>
      </w:pPr>
      <w:r>
        <w:rPr>
          <w:rFonts w:ascii="仿宋" w:eastAsia="仿宋" w:hAnsi="仿宋" w:hint="eastAsia"/>
          <w:sz w:val="32"/>
          <w:szCs w:val="32"/>
        </w:rPr>
        <w:t>⑥</w:t>
      </w:r>
      <w:r>
        <w:rPr>
          <w:rFonts w:ascii="仿宋" w:eastAsia="仿宋" w:hAnsi="仿宋"/>
          <w:sz w:val="32"/>
          <w:szCs w:val="32"/>
        </w:rPr>
        <w:t>扶持农机报废更新，实施烘干中心热源环保转型升级，促进农业绿色发展。</w:t>
      </w:r>
    </w:p>
    <w:p w:rsidR="00676206" w:rsidRDefault="0089086D">
      <w:pPr>
        <w:pStyle w:val="1"/>
        <w:ind w:firstLine="643"/>
        <w:rPr>
          <w:rFonts w:ascii="黑体" w:eastAsia="黑体" w:hAnsi="黑体"/>
          <w:szCs w:val="32"/>
        </w:rPr>
      </w:pPr>
      <w:bookmarkStart w:id="9" w:name="_Toc139007060"/>
      <w:r>
        <w:rPr>
          <w:rFonts w:ascii="黑体" w:eastAsia="黑体" w:hAnsi="黑体" w:hint="eastAsia"/>
          <w:szCs w:val="32"/>
        </w:rPr>
        <w:t>三、绩效评价组织实施</w:t>
      </w:r>
      <w:bookmarkEnd w:id="9"/>
    </w:p>
    <w:p w:rsidR="00676206" w:rsidRDefault="0089086D">
      <w:pPr>
        <w:pStyle w:val="2"/>
        <w:ind w:firstLine="643"/>
        <w:rPr>
          <w:rFonts w:ascii="仿宋" w:eastAsia="仿宋" w:hAnsi="仿宋"/>
          <w:sz w:val="32"/>
        </w:rPr>
      </w:pPr>
      <w:bookmarkStart w:id="10" w:name="_Toc139007061"/>
      <w:r>
        <w:rPr>
          <w:rFonts w:ascii="仿宋" w:eastAsia="仿宋" w:hAnsi="仿宋"/>
          <w:sz w:val="32"/>
        </w:rPr>
        <w:t>1、基本情况</w:t>
      </w:r>
      <w:bookmarkEnd w:id="10"/>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1）评价目的</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通过开展绩效评价工作，对2</w:t>
      </w:r>
      <w:r>
        <w:rPr>
          <w:rFonts w:ascii="仿宋" w:eastAsia="仿宋" w:hAnsi="仿宋"/>
          <w:sz w:val="32"/>
          <w:szCs w:val="32"/>
        </w:rPr>
        <w:t>022</w:t>
      </w:r>
      <w:r>
        <w:rPr>
          <w:rFonts w:ascii="仿宋" w:eastAsia="仿宋" w:hAnsi="仿宋" w:hint="eastAsia"/>
          <w:sz w:val="32"/>
          <w:szCs w:val="32"/>
        </w:rPr>
        <w:t>年度市级农业机械化项目决策、管理、产出及效果情况进行综合评价，分析资金使用是否达到预期目标，项目管理是否规范，总结经验、发现问题，进一步改进和加强项目管理，提高财政资金的使用效益。</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（2）评价原则</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对2</w:t>
      </w:r>
      <w:r>
        <w:rPr>
          <w:rFonts w:ascii="仿宋" w:eastAsia="仿宋" w:hAnsi="仿宋"/>
          <w:sz w:val="32"/>
          <w:szCs w:val="32"/>
        </w:rPr>
        <w:t>022</w:t>
      </w:r>
      <w:r>
        <w:rPr>
          <w:rFonts w:ascii="仿宋" w:eastAsia="仿宋" w:hAnsi="仿宋" w:hint="eastAsia"/>
          <w:sz w:val="32"/>
          <w:szCs w:val="32"/>
        </w:rPr>
        <w:t>年度市级农业机械化项目专项资金的绩效评价，评价组根据绩效评价的基本原理，坚持公平、公正、公开的原则，以专业的指标体系分析，对项目做出有理可循、有据可依的评价和建议。</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（3）评价方法</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本次绩效评价的范围为</w:t>
      </w:r>
      <w:r>
        <w:rPr>
          <w:rFonts w:ascii="仿宋" w:eastAsia="仿宋" w:hAnsi="仿宋"/>
          <w:sz w:val="32"/>
          <w:szCs w:val="32"/>
        </w:rPr>
        <w:t>2022年度市级农业机械化专项</w:t>
      </w:r>
      <w:r>
        <w:rPr>
          <w:rFonts w:ascii="仿宋" w:eastAsia="仿宋" w:hAnsi="仿宋" w:hint="eastAsia"/>
          <w:sz w:val="32"/>
          <w:szCs w:val="32"/>
        </w:rPr>
        <w:t>资金</w:t>
      </w: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999.82万元的使用情况及其效益分析。在评价过程</w:t>
      </w:r>
      <w:r>
        <w:rPr>
          <w:rFonts w:ascii="仿宋" w:eastAsia="仿宋" w:hAnsi="仿宋" w:hint="eastAsia"/>
          <w:sz w:val="32"/>
          <w:szCs w:val="32"/>
        </w:rPr>
        <w:t>中，主要通过对专项资金的使用情况、项目管理等情况查看和复核，运用比较、成本效益分析等方法进行评价。</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（4）评价指标体系</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评价指标体系共五个部分：项目决策指标、项目管理指标、项目产出指标、项目效益指标及满意度指标。</w:t>
      </w:r>
    </w:p>
    <w:p w:rsidR="00676206" w:rsidRDefault="0089086D">
      <w:pPr>
        <w:pStyle w:val="2"/>
        <w:ind w:firstLine="643"/>
        <w:rPr>
          <w:rFonts w:ascii="仿宋" w:eastAsia="仿宋" w:hAnsi="仿宋"/>
          <w:sz w:val="32"/>
        </w:rPr>
      </w:pPr>
      <w:bookmarkStart w:id="11" w:name="_Toc139007062"/>
      <w:r>
        <w:rPr>
          <w:rFonts w:ascii="仿宋" w:eastAsia="仿宋" w:hAnsi="仿宋"/>
          <w:sz w:val="32"/>
        </w:rPr>
        <w:t>2</w:t>
      </w:r>
      <w:r>
        <w:rPr>
          <w:rFonts w:ascii="仿宋" w:eastAsia="仿宋" w:hAnsi="仿宋" w:hint="eastAsia"/>
          <w:sz w:val="32"/>
        </w:rPr>
        <w:t>、组织评价实施</w:t>
      </w:r>
      <w:bookmarkEnd w:id="11"/>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1</w:t>
      </w:r>
      <w:r>
        <w:rPr>
          <w:rFonts w:ascii="仿宋" w:eastAsia="仿宋" w:hAnsi="仿宋" w:hint="eastAsia"/>
          <w:sz w:val="32"/>
          <w:szCs w:val="32"/>
        </w:rPr>
        <w:t>）</w:t>
      </w:r>
      <w:r>
        <w:rPr>
          <w:rFonts w:ascii="仿宋" w:eastAsia="仿宋" w:hAnsi="仿宋"/>
          <w:sz w:val="32"/>
          <w:szCs w:val="32"/>
        </w:rPr>
        <w:t>前期准备</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成立评价组并积极进行前期准备工作，确定了评价的目的、范围、评价的原则及绩效评价的指标体系。</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w:t>
      </w:r>
      <w:r>
        <w:rPr>
          <w:rFonts w:ascii="仿宋" w:eastAsia="仿宋" w:hAnsi="仿宋"/>
          <w:sz w:val="32"/>
          <w:szCs w:val="32"/>
        </w:rPr>
        <w:t>数据采集、现场核查</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评价工作进入实施阶段，收集完善评价基础资料，对基础数据进行查验，就项目的目标及实施效果等做深入了解，并组织开展问卷、访谈等社会调查。</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3</w:t>
      </w:r>
      <w:r>
        <w:rPr>
          <w:rFonts w:ascii="仿宋" w:eastAsia="仿宋" w:hAnsi="仿宋" w:hint="eastAsia"/>
          <w:sz w:val="32"/>
          <w:szCs w:val="32"/>
        </w:rPr>
        <w:t>）</w:t>
      </w:r>
      <w:r>
        <w:rPr>
          <w:rFonts w:ascii="仿宋" w:eastAsia="仿宋" w:hAnsi="仿宋"/>
          <w:sz w:val="32"/>
          <w:szCs w:val="32"/>
        </w:rPr>
        <w:t>资料汇总、评价分析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实地调研取数完成后，评价组按照绩效评价的原则和规范，对数据进行汇总、对比、分析，对专项资金绩效进行量化打分。</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4</w:t>
      </w:r>
      <w:r>
        <w:rPr>
          <w:rFonts w:ascii="仿宋" w:eastAsia="仿宋" w:hAnsi="仿宋" w:hint="eastAsia"/>
          <w:sz w:val="32"/>
          <w:szCs w:val="32"/>
        </w:rPr>
        <w:t>）</w:t>
      </w:r>
      <w:r>
        <w:rPr>
          <w:rFonts w:ascii="仿宋" w:eastAsia="仿宋" w:hAnsi="仿宋"/>
          <w:sz w:val="32"/>
          <w:szCs w:val="32"/>
        </w:rPr>
        <w:t>沟通反馈、报告撰写</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评价组内部经过反复讨论及意见交换，最终完成评价报告的撰写。</w:t>
      </w:r>
    </w:p>
    <w:p w:rsidR="00676206" w:rsidRDefault="0089086D" w:rsidP="00963D36">
      <w:pPr>
        <w:pStyle w:val="1"/>
        <w:ind w:firstLine="640"/>
        <w:rPr>
          <w:rFonts w:ascii="黑体" w:eastAsia="黑体" w:hAnsi="黑体"/>
          <w:b w:val="0"/>
          <w:bCs w:val="0"/>
          <w:szCs w:val="32"/>
        </w:rPr>
      </w:pPr>
      <w:bookmarkStart w:id="12" w:name="_Toc139007063"/>
      <w:r>
        <w:rPr>
          <w:rFonts w:ascii="黑体" w:eastAsia="黑体" w:hAnsi="黑体" w:hint="eastAsia"/>
          <w:b w:val="0"/>
          <w:bCs w:val="0"/>
          <w:szCs w:val="32"/>
        </w:rPr>
        <w:t>四、评价结论与绩效分析</w:t>
      </w:r>
      <w:bookmarkEnd w:id="12"/>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本次绩效评价通过设置绩效评价指标体系及评分标准，运用资料查阅、数据采集、访谈、项目抽查、满意度调查、实地走访等方式，对</w:t>
      </w:r>
      <w:r>
        <w:rPr>
          <w:rFonts w:ascii="仿宋" w:eastAsia="仿宋" w:hAnsi="仿宋"/>
          <w:sz w:val="32"/>
          <w:szCs w:val="32"/>
        </w:rPr>
        <w:t>2022年度</w:t>
      </w:r>
      <w:r>
        <w:rPr>
          <w:rFonts w:ascii="仿宋" w:eastAsia="仿宋" w:hAnsi="仿宋" w:hint="eastAsia"/>
          <w:sz w:val="32"/>
          <w:szCs w:val="32"/>
        </w:rPr>
        <w:t>市级农业机械化项目专项</w:t>
      </w:r>
      <w:r>
        <w:rPr>
          <w:rFonts w:ascii="仿宋" w:eastAsia="仿宋" w:hAnsi="仿宋"/>
          <w:sz w:val="32"/>
          <w:szCs w:val="32"/>
        </w:rPr>
        <w:t>资金进行</w:t>
      </w:r>
      <w:r>
        <w:rPr>
          <w:rFonts w:ascii="仿宋" w:eastAsia="仿宋" w:hAnsi="仿宋" w:hint="eastAsia"/>
          <w:sz w:val="32"/>
          <w:szCs w:val="32"/>
        </w:rPr>
        <w:t>了独立</w:t>
      </w:r>
      <w:r>
        <w:rPr>
          <w:rFonts w:ascii="仿宋" w:eastAsia="仿宋" w:hAnsi="仿宋"/>
          <w:sz w:val="32"/>
          <w:szCs w:val="32"/>
        </w:rPr>
        <w:t>客观</w:t>
      </w:r>
      <w:r>
        <w:rPr>
          <w:rFonts w:ascii="仿宋" w:eastAsia="仿宋" w:hAnsi="仿宋" w:hint="eastAsia"/>
          <w:sz w:val="32"/>
          <w:szCs w:val="32"/>
        </w:rPr>
        <w:t>的综合</w:t>
      </w:r>
      <w:r>
        <w:rPr>
          <w:rFonts w:ascii="仿宋" w:eastAsia="仿宋" w:hAnsi="仿宋"/>
          <w:sz w:val="32"/>
          <w:szCs w:val="32"/>
        </w:rPr>
        <w:t>评价</w:t>
      </w:r>
      <w:r>
        <w:rPr>
          <w:rFonts w:ascii="仿宋" w:eastAsia="仿宋" w:hAnsi="仿宋" w:hint="eastAsia"/>
          <w:sz w:val="32"/>
          <w:szCs w:val="32"/>
        </w:rPr>
        <w:t>。</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经评价组现场核查，2</w:t>
      </w:r>
      <w:r>
        <w:rPr>
          <w:rFonts w:ascii="仿宋" w:eastAsia="仿宋" w:hAnsi="仿宋"/>
          <w:sz w:val="32"/>
          <w:szCs w:val="32"/>
        </w:rPr>
        <w:t>022</w:t>
      </w:r>
      <w:r>
        <w:rPr>
          <w:rFonts w:ascii="仿宋" w:eastAsia="仿宋" w:hAnsi="仿宋" w:hint="eastAsia"/>
          <w:sz w:val="32"/>
          <w:szCs w:val="32"/>
        </w:rPr>
        <w:t>年度市级农业机械化项目部分建设内容已按相关要求批复。</w:t>
      </w:r>
      <w:r>
        <w:rPr>
          <w:rFonts w:ascii="仿宋" w:eastAsia="仿宋" w:hAnsi="仿宋"/>
          <w:sz w:val="32"/>
          <w:szCs w:val="32"/>
        </w:rPr>
        <w:t>2022年度市级农业</w:t>
      </w:r>
      <w:r>
        <w:rPr>
          <w:rFonts w:ascii="仿宋" w:eastAsia="仿宋" w:hAnsi="仿宋" w:hint="eastAsia"/>
          <w:sz w:val="32"/>
          <w:szCs w:val="32"/>
        </w:rPr>
        <w:t>机械化项目</w:t>
      </w:r>
      <w:r>
        <w:rPr>
          <w:rFonts w:ascii="仿宋" w:eastAsia="仿宋" w:hAnsi="仿宋" w:hint="eastAsia"/>
          <w:sz w:val="32"/>
          <w:szCs w:val="32"/>
        </w:rPr>
        <w:lastRenderedPageBreak/>
        <w:t>资金切块至区，各区根据申报指南要求，经实地考察、材料审核和集中评审，并对项目实施方案进行批复，市本级及6个区经批复并建设的项目共计9</w:t>
      </w:r>
      <w:r>
        <w:rPr>
          <w:rFonts w:ascii="仿宋" w:eastAsia="仿宋" w:hAnsi="仿宋"/>
          <w:sz w:val="32"/>
          <w:szCs w:val="32"/>
        </w:rPr>
        <w:t>8</w:t>
      </w:r>
      <w:r>
        <w:rPr>
          <w:rFonts w:ascii="仿宋" w:eastAsia="仿宋" w:hAnsi="仿宋" w:hint="eastAsia"/>
          <w:sz w:val="32"/>
          <w:szCs w:val="32"/>
        </w:rPr>
        <w:t>个。其中：市本级1</w:t>
      </w:r>
      <w:r>
        <w:rPr>
          <w:rFonts w:ascii="仿宋" w:eastAsia="仿宋" w:hAnsi="仿宋"/>
          <w:sz w:val="32"/>
          <w:szCs w:val="32"/>
        </w:rPr>
        <w:t>8</w:t>
      </w:r>
      <w:r>
        <w:rPr>
          <w:rFonts w:ascii="仿宋" w:eastAsia="仿宋" w:hAnsi="仿宋" w:hint="eastAsia"/>
          <w:sz w:val="32"/>
          <w:szCs w:val="32"/>
        </w:rPr>
        <w:t>个（包含已终止的1个项目）、六合区2</w:t>
      </w:r>
      <w:r>
        <w:rPr>
          <w:rFonts w:ascii="仿宋" w:eastAsia="仿宋" w:hAnsi="仿宋"/>
          <w:sz w:val="32"/>
          <w:szCs w:val="32"/>
        </w:rPr>
        <w:t>4</w:t>
      </w:r>
      <w:r>
        <w:rPr>
          <w:rFonts w:ascii="仿宋" w:eastAsia="仿宋" w:hAnsi="仿宋" w:hint="eastAsia"/>
          <w:sz w:val="32"/>
          <w:szCs w:val="32"/>
        </w:rPr>
        <w:t>个、江北新区1个、江宁区1</w:t>
      </w:r>
      <w:r>
        <w:rPr>
          <w:rFonts w:ascii="仿宋" w:eastAsia="仿宋" w:hAnsi="仿宋"/>
          <w:sz w:val="32"/>
          <w:szCs w:val="32"/>
        </w:rPr>
        <w:t>2</w:t>
      </w:r>
      <w:r>
        <w:rPr>
          <w:rFonts w:ascii="仿宋" w:eastAsia="仿宋" w:hAnsi="仿宋" w:hint="eastAsia"/>
          <w:sz w:val="32"/>
          <w:szCs w:val="32"/>
        </w:rPr>
        <w:t>个、浦口区9个、高淳区1</w:t>
      </w:r>
      <w:r>
        <w:rPr>
          <w:rFonts w:ascii="仿宋" w:eastAsia="仿宋" w:hAnsi="仿宋"/>
          <w:sz w:val="32"/>
          <w:szCs w:val="32"/>
        </w:rPr>
        <w:t>4</w:t>
      </w:r>
      <w:r>
        <w:rPr>
          <w:rFonts w:ascii="仿宋" w:eastAsia="仿宋" w:hAnsi="仿宋" w:hint="eastAsia"/>
          <w:sz w:val="32"/>
          <w:szCs w:val="32"/>
        </w:rPr>
        <w:t>个、溧水区2</w:t>
      </w:r>
      <w:r>
        <w:rPr>
          <w:rFonts w:ascii="仿宋" w:eastAsia="仿宋" w:hAnsi="仿宋"/>
          <w:sz w:val="32"/>
          <w:szCs w:val="32"/>
        </w:rPr>
        <w:t>0</w:t>
      </w:r>
      <w:r>
        <w:rPr>
          <w:rFonts w:ascii="仿宋" w:eastAsia="仿宋" w:hAnsi="仿宋" w:hint="eastAsia"/>
          <w:sz w:val="32"/>
          <w:szCs w:val="32"/>
        </w:rPr>
        <w:t>个。区级财政已下拨项目实施单位市级专项资金的项目数量计</w:t>
      </w:r>
      <w:r>
        <w:rPr>
          <w:rFonts w:ascii="仿宋" w:eastAsia="仿宋" w:hAnsi="仿宋"/>
          <w:sz w:val="32"/>
          <w:szCs w:val="32"/>
        </w:rPr>
        <w:t>42</w:t>
      </w:r>
      <w:r>
        <w:rPr>
          <w:rFonts w:ascii="仿宋" w:eastAsia="仿宋" w:hAnsi="仿宋" w:hint="eastAsia"/>
          <w:sz w:val="32"/>
          <w:szCs w:val="32"/>
        </w:rPr>
        <w:t>个，已下拨金额合计</w:t>
      </w:r>
      <w:r>
        <w:rPr>
          <w:rFonts w:ascii="仿宋" w:eastAsia="仿宋" w:hAnsi="仿宋"/>
          <w:sz w:val="32"/>
          <w:szCs w:val="32"/>
        </w:rPr>
        <w:t>1,751.98</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评价结论及结果：2</w:t>
      </w:r>
      <w:r>
        <w:rPr>
          <w:rFonts w:ascii="仿宋" w:eastAsia="仿宋" w:hAnsi="仿宋"/>
          <w:sz w:val="32"/>
          <w:szCs w:val="32"/>
        </w:rPr>
        <w:t>022</w:t>
      </w:r>
      <w:r>
        <w:rPr>
          <w:rFonts w:ascii="仿宋" w:eastAsia="仿宋" w:hAnsi="仿宋" w:hint="eastAsia"/>
          <w:sz w:val="32"/>
          <w:szCs w:val="32"/>
        </w:rPr>
        <w:t>年市级农业机械化项目取得了良好的经济效益、社会效益和生态效益。提高了人民的收入，极大调动了农业生产的积极性。综合评价分值为97.62分</w:t>
      </w:r>
      <w:r>
        <w:rPr>
          <w:rFonts w:ascii="仿宋" w:eastAsia="仿宋" w:hAnsi="仿宋"/>
          <w:sz w:val="32"/>
          <w:szCs w:val="32"/>
        </w:rPr>
        <w:t>，整体评价等级“优”。</w:t>
      </w:r>
      <w:r>
        <w:rPr>
          <w:rFonts w:ascii="仿宋" w:eastAsia="仿宋" w:hAnsi="仿宋" w:hint="eastAsia"/>
          <w:sz w:val="32"/>
          <w:szCs w:val="32"/>
        </w:rPr>
        <w:t>具体分值详见附件一。</w:t>
      </w:r>
    </w:p>
    <w:p w:rsidR="00676206" w:rsidRDefault="0089086D" w:rsidP="00963D36">
      <w:pPr>
        <w:pStyle w:val="1"/>
        <w:ind w:firstLine="640"/>
        <w:rPr>
          <w:rFonts w:ascii="黑体" w:eastAsia="黑体" w:hAnsi="黑体"/>
          <w:b w:val="0"/>
          <w:bCs w:val="0"/>
          <w:szCs w:val="32"/>
        </w:rPr>
      </w:pPr>
      <w:bookmarkStart w:id="13" w:name="_Toc139007064"/>
      <w:r>
        <w:rPr>
          <w:rFonts w:ascii="黑体" w:eastAsia="黑体" w:hAnsi="黑体" w:hint="eastAsia"/>
          <w:b w:val="0"/>
          <w:bCs w:val="0"/>
          <w:szCs w:val="32"/>
        </w:rPr>
        <w:t>五、绩效评价分析</w:t>
      </w:r>
      <w:bookmarkEnd w:id="13"/>
    </w:p>
    <w:p w:rsidR="00676206" w:rsidRDefault="0089086D">
      <w:pPr>
        <w:pStyle w:val="2"/>
        <w:ind w:firstLine="643"/>
        <w:rPr>
          <w:rFonts w:ascii="仿宋" w:eastAsia="仿宋" w:hAnsi="仿宋"/>
          <w:sz w:val="32"/>
        </w:rPr>
      </w:pPr>
      <w:bookmarkStart w:id="14" w:name="_Toc139007065"/>
      <w:r>
        <w:rPr>
          <w:rFonts w:ascii="仿宋" w:eastAsia="仿宋" w:hAnsi="仿宋" w:hint="eastAsia"/>
          <w:sz w:val="32"/>
        </w:rPr>
        <w:t>1、项目绩效目标评价分析</w:t>
      </w:r>
      <w:bookmarkEnd w:id="14"/>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（1）目标明确性分析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南京市级、各区农业主管部门对项目实施方案进行了严格的审查，并聘请专家或农业科室专业人员对项目申报单位的实施方案以及项目建设完成后是否有明确的经济效益进行公开评审，通过专家的专业评审结果确定项目实施方案的批复。项目实施方案批复后，南京市级、各区农业主管部门均严格按批复的实施方案监督项目实施单位进行建设。</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（2）目标合理性分析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年度市级农业机械化项目部分实施主体已按照实施方案完成了建设内容，已建设完成的特色农机装备应用示范基地、蔬菜生产机械化示范推广基地、粮食生产全程机械</w:t>
      </w:r>
      <w:r>
        <w:rPr>
          <w:rFonts w:ascii="仿宋" w:eastAsia="仿宋" w:hAnsi="仿宋" w:hint="eastAsia"/>
          <w:sz w:val="32"/>
          <w:szCs w:val="32"/>
        </w:rPr>
        <w:lastRenderedPageBreak/>
        <w:t>化示范基地、特色农业“机器换人”、智能农机装备示范项目等均已投入使用。项目的建设对项目实施单位在统筹管理农业生产、提高农业产出效率等方面起到了省工节本的效用，提高了项目实施单位的经济效益。</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（3）目标细化程度分析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南京市农业农村局、南京市财政局《关于下达2</w:t>
      </w:r>
      <w:r>
        <w:rPr>
          <w:rFonts w:ascii="仿宋" w:eastAsia="仿宋" w:hAnsi="仿宋"/>
          <w:sz w:val="32"/>
          <w:szCs w:val="32"/>
        </w:rPr>
        <w:t>022</w:t>
      </w:r>
      <w:r>
        <w:rPr>
          <w:rFonts w:ascii="仿宋" w:eastAsia="仿宋" w:hAnsi="仿宋" w:hint="eastAsia"/>
          <w:sz w:val="32"/>
          <w:szCs w:val="32"/>
        </w:rPr>
        <w:t>年第一批市级单位农业专项资金补助计划的通知》</w:t>
      </w:r>
      <w:r>
        <w:rPr>
          <w:rFonts w:ascii="仿宋" w:eastAsia="仿宋" w:hAnsi="仿宋"/>
          <w:sz w:val="32"/>
          <w:szCs w:val="32"/>
        </w:rPr>
        <w:t>(宁农计</w:t>
      </w:r>
      <w:r>
        <w:rPr>
          <w:rFonts w:ascii="仿宋" w:eastAsia="仿宋" w:hAnsi="仿宋" w:hint="eastAsia"/>
          <w:sz w:val="32"/>
          <w:szCs w:val="32"/>
        </w:rPr>
        <w:t>〔</w:t>
      </w:r>
      <w:r>
        <w:rPr>
          <w:rFonts w:ascii="仿宋" w:eastAsia="仿宋" w:hAnsi="仿宋"/>
          <w:sz w:val="32"/>
          <w:szCs w:val="32"/>
        </w:rPr>
        <w:t>2022</w:t>
      </w:r>
      <w:r>
        <w:rPr>
          <w:rFonts w:ascii="仿宋" w:eastAsia="仿宋" w:hAnsi="仿宋" w:hint="eastAsia"/>
          <w:sz w:val="32"/>
          <w:szCs w:val="32"/>
        </w:rPr>
        <w:t>〕</w:t>
      </w:r>
      <w:r>
        <w:rPr>
          <w:rFonts w:ascii="仿宋" w:eastAsia="仿宋" w:hAnsi="仿宋"/>
          <w:sz w:val="32"/>
          <w:szCs w:val="32"/>
        </w:rPr>
        <w:t>5号）、</w:t>
      </w:r>
      <w:r>
        <w:rPr>
          <w:rFonts w:ascii="仿宋" w:eastAsia="仿宋" w:hAnsi="仿宋" w:hint="eastAsia"/>
          <w:sz w:val="32"/>
          <w:szCs w:val="32"/>
        </w:rPr>
        <w:t>《关于下达2</w:t>
      </w:r>
      <w:r>
        <w:rPr>
          <w:rFonts w:ascii="仿宋" w:eastAsia="仿宋" w:hAnsi="仿宋"/>
          <w:sz w:val="32"/>
          <w:szCs w:val="32"/>
        </w:rPr>
        <w:t>022</w:t>
      </w:r>
      <w:r>
        <w:rPr>
          <w:rFonts w:ascii="仿宋" w:eastAsia="仿宋" w:hAnsi="仿宋" w:hint="eastAsia"/>
          <w:sz w:val="32"/>
          <w:szCs w:val="32"/>
        </w:rPr>
        <w:t>年第一批市级农业专项资金计划的通知》</w:t>
      </w:r>
      <w:r>
        <w:rPr>
          <w:rFonts w:ascii="仿宋" w:eastAsia="仿宋" w:hAnsi="仿宋"/>
          <w:sz w:val="32"/>
          <w:szCs w:val="32"/>
        </w:rPr>
        <w:t>(宁农计</w:t>
      </w:r>
      <w:r>
        <w:rPr>
          <w:rFonts w:ascii="仿宋" w:eastAsia="仿宋" w:hAnsi="仿宋" w:hint="eastAsia"/>
          <w:sz w:val="32"/>
          <w:szCs w:val="32"/>
        </w:rPr>
        <w:t>〔</w:t>
      </w:r>
      <w:r>
        <w:rPr>
          <w:rFonts w:ascii="仿宋" w:eastAsia="仿宋" w:hAnsi="仿宋"/>
          <w:sz w:val="32"/>
          <w:szCs w:val="32"/>
        </w:rPr>
        <w:t>2022</w:t>
      </w:r>
      <w:r>
        <w:rPr>
          <w:rFonts w:ascii="仿宋" w:eastAsia="仿宋" w:hAnsi="仿宋" w:hint="eastAsia"/>
          <w:sz w:val="32"/>
          <w:szCs w:val="32"/>
        </w:rPr>
        <w:t>〕</w:t>
      </w:r>
      <w:r>
        <w:rPr>
          <w:rFonts w:ascii="仿宋" w:eastAsia="仿宋" w:hAnsi="仿宋"/>
          <w:sz w:val="32"/>
          <w:szCs w:val="32"/>
        </w:rPr>
        <w:t>6号）</w:t>
      </w:r>
      <w:r>
        <w:rPr>
          <w:rFonts w:ascii="仿宋" w:eastAsia="仿宋" w:hAnsi="仿宋" w:hint="eastAsia"/>
          <w:sz w:val="32"/>
          <w:szCs w:val="32"/>
        </w:rPr>
        <w:t>、《关于下达 2022 年第四批市级农业专项资金计划的通知》</w:t>
      </w:r>
      <w:r>
        <w:rPr>
          <w:rFonts w:ascii="仿宋" w:eastAsia="仿宋" w:hAnsi="仿宋"/>
          <w:sz w:val="32"/>
          <w:szCs w:val="32"/>
        </w:rPr>
        <w:t>(宁农计</w:t>
      </w:r>
      <w:r>
        <w:rPr>
          <w:rFonts w:ascii="仿宋" w:eastAsia="仿宋" w:hAnsi="仿宋" w:hint="eastAsia"/>
          <w:sz w:val="32"/>
          <w:szCs w:val="32"/>
        </w:rPr>
        <w:t>〔</w:t>
      </w:r>
      <w:r>
        <w:rPr>
          <w:rFonts w:ascii="仿宋" w:eastAsia="仿宋" w:hAnsi="仿宋"/>
          <w:sz w:val="32"/>
          <w:szCs w:val="32"/>
        </w:rPr>
        <w:t>2022</w:t>
      </w:r>
      <w:r>
        <w:rPr>
          <w:rFonts w:ascii="仿宋" w:eastAsia="仿宋" w:hAnsi="仿宋" w:hint="eastAsia"/>
          <w:sz w:val="32"/>
          <w:szCs w:val="32"/>
        </w:rPr>
        <w:t>〕47</w:t>
      </w:r>
      <w:r>
        <w:rPr>
          <w:rFonts w:ascii="仿宋" w:eastAsia="仿宋" w:hAnsi="仿宋"/>
          <w:sz w:val="32"/>
          <w:szCs w:val="32"/>
        </w:rPr>
        <w:t>号）</w:t>
      </w:r>
      <w:r>
        <w:rPr>
          <w:rFonts w:ascii="仿宋" w:eastAsia="仿宋" w:hAnsi="仿宋" w:hint="eastAsia"/>
          <w:sz w:val="32"/>
          <w:szCs w:val="32"/>
        </w:rPr>
        <w:t>明确建设内容大致为：粮食生产“无人化农场”、特色农业机械化示范基地、市级粮食生产全程机械化示范推广基地、农机库房、农机维修点、“平安农机”示范合作社、市级现代农机装备与技术创新示范项目等。根据各项目单位目标的不同批复相应的实施内容，因需建设，促进了农业机械化的转型升级，提升了农作物耕种收机械化率、特色农业机械化水平。</w:t>
      </w:r>
    </w:p>
    <w:p w:rsidR="00676206" w:rsidRDefault="0089086D">
      <w:pPr>
        <w:pStyle w:val="2"/>
        <w:ind w:firstLine="643"/>
        <w:rPr>
          <w:rFonts w:ascii="仿宋" w:eastAsia="仿宋" w:hAnsi="仿宋"/>
          <w:sz w:val="32"/>
        </w:rPr>
      </w:pPr>
      <w:bookmarkStart w:id="15" w:name="_Toc139007066"/>
      <w:r>
        <w:rPr>
          <w:rFonts w:ascii="仿宋" w:eastAsia="仿宋" w:hAnsi="仿宋"/>
          <w:sz w:val="32"/>
        </w:rPr>
        <w:t>2</w:t>
      </w:r>
      <w:r>
        <w:rPr>
          <w:rFonts w:ascii="仿宋" w:eastAsia="仿宋" w:hAnsi="仿宋" w:hint="eastAsia"/>
          <w:sz w:val="32"/>
        </w:rPr>
        <w:t>、项目绩效控制评价分析</w:t>
      </w:r>
      <w:bookmarkEnd w:id="15"/>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（1）资金使用及管理情况分析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南京市级、各区农业主管部门均制定了农业项目管理办法，同时各区也制定了农业项目资金管理办法，各区收取的财政补助资金，专款专用，支付补助资金审批手续齐全。市级财政补助资金能及时下拨至各区，各区均实行“先建后补”的政策，待建设项目验收合格后再</w:t>
      </w:r>
      <w:r>
        <w:rPr>
          <w:rFonts w:ascii="仿宋" w:eastAsia="仿宋" w:hAnsi="仿宋"/>
          <w:sz w:val="32"/>
          <w:szCs w:val="32"/>
        </w:rPr>
        <w:t>100%拨付财政资金。</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2</w:t>
      </w:r>
      <w:r>
        <w:rPr>
          <w:rFonts w:ascii="仿宋" w:eastAsia="仿宋" w:hAnsi="仿宋"/>
          <w:sz w:val="32"/>
          <w:szCs w:val="32"/>
        </w:rPr>
        <w:t>022</w:t>
      </w:r>
      <w:r>
        <w:rPr>
          <w:rFonts w:ascii="仿宋" w:eastAsia="仿宋" w:hAnsi="仿宋" w:hint="eastAsia"/>
          <w:sz w:val="32"/>
          <w:szCs w:val="32"/>
        </w:rPr>
        <w:t>年度市级农业机械化项目专项财政补助资金支付情况如下：</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年市级农业机械化项目由各区根据实际情况进行批复，涉及高淳、溧水、江北新区、江宁、六合、浦口6个区及市本级，计划投资总额8</w:t>
      </w:r>
      <w:r>
        <w:rPr>
          <w:rFonts w:ascii="仿宋" w:eastAsia="仿宋" w:hAnsi="仿宋"/>
          <w:sz w:val="32"/>
          <w:szCs w:val="32"/>
        </w:rPr>
        <w:t>,070.41</w:t>
      </w:r>
      <w:r>
        <w:rPr>
          <w:rFonts w:ascii="仿宋" w:eastAsia="仿宋" w:hAnsi="仿宋" w:hint="eastAsia"/>
          <w:sz w:val="32"/>
          <w:szCs w:val="32"/>
        </w:rPr>
        <w:t>万元，计划财政补助金额</w:t>
      </w:r>
      <w:r>
        <w:rPr>
          <w:rFonts w:ascii="仿宋" w:eastAsia="仿宋" w:hAnsi="仿宋"/>
          <w:sz w:val="32"/>
          <w:szCs w:val="32"/>
        </w:rPr>
        <w:t>3,999.82</w:t>
      </w:r>
      <w:r>
        <w:rPr>
          <w:rFonts w:ascii="仿宋" w:eastAsia="仿宋" w:hAnsi="仿宋" w:hint="eastAsia"/>
          <w:sz w:val="32"/>
          <w:szCs w:val="32"/>
        </w:rPr>
        <w:t>万元。市本级及区级财政对完成验收的2</w:t>
      </w:r>
      <w:r>
        <w:rPr>
          <w:rFonts w:ascii="仿宋" w:eastAsia="仿宋" w:hAnsi="仿宋"/>
          <w:sz w:val="32"/>
          <w:szCs w:val="32"/>
        </w:rPr>
        <w:t>4</w:t>
      </w:r>
      <w:r>
        <w:rPr>
          <w:rFonts w:ascii="仿宋" w:eastAsia="仿宋" w:hAnsi="仿宋" w:hint="eastAsia"/>
          <w:sz w:val="32"/>
          <w:szCs w:val="32"/>
        </w:rPr>
        <w:t>个项目已拨付市级专项资金共计1,</w:t>
      </w:r>
      <w:r>
        <w:rPr>
          <w:rFonts w:ascii="仿宋" w:eastAsia="仿宋" w:hAnsi="仿宋"/>
          <w:sz w:val="32"/>
          <w:szCs w:val="32"/>
        </w:rPr>
        <w:t>133.25</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市本级及6个区共计批复立项项目9</w:t>
      </w:r>
      <w:r>
        <w:rPr>
          <w:rFonts w:ascii="仿宋" w:eastAsia="仿宋" w:hAnsi="仿宋"/>
          <w:sz w:val="32"/>
          <w:szCs w:val="32"/>
        </w:rPr>
        <w:t>8</w:t>
      </w:r>
      <w:r>
        <w:rPr>
          <w:rFonts w:ascii="仿宋" w:eastAsia="仿宋" w:hAnsi="仿宋" w:hint="eastAsia"/>
          <w:sz w:val="32"/>
          <w:szCs w:val="32"/>
        </w:rPr>
        <w:t>个；市本级1</w:t>
      </w:r>
      <w:r>
        <w:rPr>
          <w:rFonts w:ascii="仿宋" w:eastAsia="仿宋" w:hAnsi="仿宋"/>
          <w:sz w:val="32"/>
          <w:szCs w:val="32"/>
        </w:rPr>
        <w:t>8</w:t>
      </w:r>
      <w:r>
        <w:rPr>
          <w:rFonts w:ascii="仿宋" w:eastAsia="仿宋" w:hAnsi="仿宋" w:hint="eastAsia"/>
          <w:sz w:val="32"/>
          <w:szCs w:val="32"/>
        </w:rPr>
        <w:t>个、六合区2</w:t>
      </w:r>
      <w:r>
        <w:rPr>
          <w:rFonts w:ascii="仿宋" w:eastAsia="仿宋" w:hAnsi="仿宋"/>
          <w:sz w:val="32"/>
          <w:szCs w:val="32"/>
        </w:rPr>
        <w:t>4</w:t>
      </w:r>
      <w:r>
        <w:rPr>
          <w:rFonts w:ascii="仿宋" w:eastAsia="仿宋" w:hAnsi="仿宋" w:hint="eastAsia"/>
          <w:sz w:val="32"/>
          <w:szCs w:val="32"/>
        </w:rPr>
        <w:t>个、江北新区1个、江宁区1</w:t>
      </w:r>
      <w:r>
        <w:rPr>
          <w:rFonts w:ascii="仿宋" w:eastAsia="仿宋" w:hAnsi="仿宋"/>
          <w:sz w:val="32"/>
          <w:szCs w:val="32"/>
        </w:rPr>
        <w:t>2</w:t>
      </w:r>
      <w:r>
        <w:rPr>
          <w:rFonts w:ascii="仿宋" w:eastAsia="仿宋" w:hAnsi="仿宋" w:hint="eastAsia"/>
          <w:sz w:val="32"/>
          <w:szCs w:val="32"/>
        </w:rPr>
        <w:t>个、浦口区9个、高淳区1</w:t>
      </w:r>
      <w:r>
        <w:rPr>
          <w:rFonts w:ascii="仿宋" w:eastAsia="仿宋" w:hAnsi="仿宋"/>
          <w:sz w:val="32"/>
          <w:szCs w:val="32"/>
        </w:rPr>
        <w:t>4</w:t>
      </w:r>
      <w:r>
        <w:rPr>
          <w:rFonts w:ascii="仿宋" w:eastAsia="仿宋" w:hAnsi="仿宋" w:hint="eastAsia"/>
          <w:sz w:val="32"/>
          <w:szCs w:val="32"/>
        </w:rPr>
        <w:t>个、溧水区2</w:t>
      </w:r>
      <w:r>
        <w:rPr>
          <w:rFonts w:ascii="仿宋" w:eastAsia="仿宋" w:hAnsi="仿宋"/>
          <w:sz w:val="32"/>
          <w:szCs w:val="32"/>
        </w:rPr>
        <w:t>0</w:t>
      </w:r>
      <w:r>
        <w:rPr>
          <w:rFonts w:ascii="仿宋" w:eastAsia="仿宋" w:hAnsi="仿宋" w:hint="eastAsia"/>
          <w:sz w:val="32"/>
          <w:szCs w:val="32"/>
        </w:rPr>
        <w:t>个。市本级及各区总计实际完成且通过验收的项目2</w:t>
      </w:r>
      <w:r>
        <w:rPr>
          <w:rFonts w:ascii="仿宋" w:eastAsia="仿宋" w:hAnsi="仿宋"/>
          <w:sz w:val="32"/>
          <w:szCs w:val="32"/>
        </w:rPr>
        <w:t>4</w:t>
      </w:r>
      <w:r>
        <w:rPr>
          <w:rFonts w:ascii="仿宋" w:eastAsia="仿宋" w:hAnsi="仿宋" w:hint="eastAsia"/>
          <w:sz w:val="32"/>
          <w:szCs w:val="32"/>
        </w:rPr>
        <w:t>个，已经实施完工但未验收的项目5</w:t>
      </w:r>
      <w:r>
        <w:rPr>
          <w:rFonts w:ascii="仿宋" w:eastAsia="仿宋" w:hAnsi="仿宋"/>
          <w:sz w:val="32"/>
          <w:szCs w:val="32"/>
        </w:rPr>
        <w:t>7</w:t>
      </w:r>
      <w:r>
        <w:rPr>
          <w:rFonts w:ascii="仿宋" w:eastAsia="仿宋" w:hAnsi="仿宋" w:hint="eastAsia"/>
          <w:sz w:val="32"/>
          <w:szCs w:val="32"/>
        </w:rPr>
        <w:t>个，已经实施暂未完工项目1</w:t>
      </w:r>
      <w:r>
        <w:rPr>
          <w:rFonts w:ascii="仿宋" w:eastAsia="仿宋" w:hAnsi="仿宋"/>
          <w:sz w:val="32"/>
          <w:szCs w:val="32"/>
        </w:rPr>
        <w:t>5</w:t>
      </w:r>
      <w:r>
        <w:rPr>
          <w:rFonts w:ascii="仿宋" w:eastAsia="仿宋" w:hAnsi="仿宋" w:hint="eastAsia"/>
          <w:sz w:val="32"/>
          <w:szCs w:val="32"/>
        </w:rPr>
        <w:t>个，1个项目暂未实施，1个项目已终止。9</w:t>
      </w:r>
      <w:r>
        <w:rPr>
          <w:rFonts w:ascii="仿宋" w:eastAsia="仿宋" w:hAnsi="仿宋"/>
          <w:sz w:val="32"/>
          <w:szCs w:val="32"/>
        </w:rPr>
        <w:t>8</w:t>
      </w:r>
      <w:r>
        <w:rPr>
          <w:rFonts w:ascii="仿宋" w:eastAsia="仿宋" w:hAnsi="仿宋" w:hint="eastAsia"/>
          <w:sz w:val="32"/>
          <w:szCs w:val="32"/>
        </w:rPr>
        <w:t>个项目分别为：粮食烘干中心建设项目5个；农机库房和农机维修点建设项目1</w:t>
      </w:r>
      <w:r>
        <w:rPr>
          <w:rFonts w:ascii="仿宋" w:eastAsia="仿宋" w:hAnsi="仿宋"/>
          <w:sz w:val="32"/>
          <w:szCs w:val="32"/>
        </w:rPr>
        <w:t>2</w:t>
      </w:r>
      <w:r>
        <w:rPr>
          <w:rFonts w:ascii="仿宋" w:eastAsia="仿宋" w:hAnsi="仿宋" w:hint="eastAsia"/>
          <w:sz w:val="32"/>
          <w:szCs w:val="32"/>
        </w:rPr>
        <w:t>个；“嘀地农机”智慧农机服务平台建设项目1个；“全程机械化</w:t>
      </w:r>
      <w:r>
        <w:rPr>
          <w:rFonts w:ascii="仿宋" w:eastAsia="仿宋" w:hAnsi="仿宋"/>
          <w:sz w:val="32"/>
          <w:szCs w:val="32"/>
        </w:rPr>
        <w:t>+综合农事”服务中心</w:t>
      </w:r>
      <w:r>
        <w:rPr>
          <w:rFonts w:ascii="仿宋" w:eastAsia="仿宋" w:hAnsi="仿宋" w:hint="eastAsia"/>
          <w:sz w:val="32"/>
          <w:szCs w:val="32"/>
        </w:rPr>
        <w:t>建设项目</w:t>
      </w:r>
      <w:r>
        <w:rPr>
          <w:rFonts w:ascii="仿宋" w:eastAsia="仿宋" w:hAnsi="仿宋"/>
          <w:sz w:val="32"/>
          <w:szCs w:val="32"/>
        </w:rPr>
        <w:t>3</w:t>
      </w:r>
      <w:r>
        <w:rPr>
          <w:rFonts w:ascii="仿宋" w:eastAsia="仿宋" w:hAnsi="仿宋" w:hint="eastAsia"/>
          <w:sz w:val="32"/>
          <w:szCs w:val="32"/>
        </w:rPr>
        <w:t>个；平安农机标准示范合作社建设项目9个；特色农业装备的研发、改进项目（市级现代农机装备与技术创新示范项目）1</w:t>
      </w:r>
      <w:r>
        <w:rPr>
          <w:rFonts w:ascii="仿宋" w:eastAsia="仿宋" w:hAnsi="仿宋"/>
          <w:sz w:val="32"/>
          <w:szCs w:val="32"/>
        </w:rPr>
        <w:t>2</w:t>
      </w:r>
      <w:r>
        <w:rPr>
          <w:rFonts w:ascii="仿宋" w:eastAsia="仿宋" w:hAnsi="仿宋" w:hint="eastAsia"/>
          <w:sz w:val="32"/>
          <w:szCs w:val="32"/>
        </w:rPr>
        <w:t>个；特色产业链装备体系发展调研3个；特色农业机械化示范推广基地建设项目6个；机器换人示范基地建设项目8个；粮食生产全程机械化示范基地建设项目2</w:t>
      </w:r>
      <w:r>
        <w:rPr>
          <w:rFonts w:ascii="仿宋" w:eastAsia="仿宋" w:hAnsi="仿宋"/>
          <w:sz w:val="32"/>
          <w:szCs w:val="32"/>
        </w:rPr>
        <w:t>0</w:t>
      </w:r>
      <w:r>
        <w:rPr>
          <w:rFonts w:ascii="仿宋" w:eastAsia="仿宋" w:hAnsi="仿宋" w:hint="eastAsia"/>
          <w:sz w:val="32"/>
          <w:szCs w:val="32"/>
        </w:rPr>
        <w:t>个；绿色环保农机装备与技术应用示范基地建设项目3个；市级蔬菜生产智能装备示范推广基地建设项目1个；市级粮食生产智能装备示范推广基地建设项目1个；粮食生产“无人化农场</w:t>
      </w:r>
      <w:r>
        <w:rPr>
          <w:rFonts w:ascii="仿宋" w:eastAsia="仿宋" w:hAnsi="仿宋"/>
          <w:sz w:val="32"/>
          <w:szCs w:val="32"/>
        </w:rPr>
        <w:t>”建设</w:t>
      </w:r>
      <w:r>
        <w:rPr>
          <w:rFonts w:ascii="仿宋" w:eastAsia="仿宋" w:hAnsi="仿宋" w:hint="eastAsia"/>
          <w:sz w:val="32"/>
          <w:szCs w:val="32"/>
        </w:rPr>
        <w:t>项目3个；特色农业农机装备应用示范基地</w:t>
      </w:r>
      <w:r>
        <w:rPr>
          <w:rFonts w:ascii="仿宋" w:eastAsia="仿宋" w:hAnsi="仿宋" w:hint="eastAsia"/>
          <w:sz w:val="32"/>
          <w:szCs w:val="32"/>
        </w:rPr>
        <w:lastRenderedPageBreak/>
        <w:t>建设项目4个；农机报废更新市级累加补助项目1个；农机驾校农机驾驶员培训补助项目1个；农机驾驶人标准化考试场地建设项目1个；农机报废更新补贴项目2个；玉米、草莓生产机械化以及废弃物原位肥料化处理装置应用集成示范项目</w:t>
      </w:r>
      <w:r>
        <w:rPr>
          <w:rFonts w:ascii="仿宋" w:eastAsia="仿宋" w:hAnsi="仿宋"/>
          <w:sz w:val="32"/>
          <w:szCs w:val="32"/>
        </w:rPr>
        <w:t>1</w:t>
      </w:r>
      <w:r>
        <w:rPr>
          <w:rFonts w:ascii="仿宋" w:eastAsia="仿宋" w:hAnsi="仿宋" w:hint="eastAsia"/>
          <w:sz w:val="32"/>
          <w:szCs w:val="32"/>
        </w:rPr>
        <w:t>个。</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截止报告日，各区及市本级实际完成且通过验收项目2</w:t>
      </w:r>
      <w:r>
        <w:rPr>
          <w:rFonts w:ascii="仿宋" w:eastAsia="仿宋" w:hAnsi="仿宋"/>
          <w:sz w:val="32"/>
          <w:szCs w:val="32"/>
        </w:rPr>
        <w:t>4</w:t>
      </w:r>
      <w:r>
        <w:rPr>
          <w:rFonts w:ascii="仿宋" w:eastAsia="仿宋" w:hAnsi="仿宋" w:hint="eastAsia"/>
          <w:sz w:val="32"/>
          <w:szCs w:val="32"/>
        </w:rPr>
        <w:t>个，计划投资额2</w:t>
      </w:r>
      <w:r>
        <w:rPr>
          <w:rFonts w:ascii="仿宋" w:eastAsia="仿宋" w:hAnsi="仿宋"/>
          <w:sz w:val="32"/>
          <w:szCs w:val="32"/>
        </w:rPr>
        <w:t>,825.43</w:t>
      </w:r>
      <w:r>
        <w:rPr>
          <w:rFonts w:ascii="仿宋" w:eastAsia="仿宋" w:hAnsi="仿宋" w:hint="eastAsia"/>
          <w:sz w:val="32"/>
          <w:szCs w:val="32"/>
        </w:rPr>
        <w:t>万元，实际完成投资额2</w:t>
      </w:r>
      <w:r>
        <w:rPr>
          <w:rFonts w:ascii="仿宋" w:eastAsia="仿宋" w:hAnsi="仿宋"/>
          <w:sz w:val="32"/>
          <w:szCs w:val="32"/>
        </w:rPr>
        <w:t>,837.27</w:t>
      </w:r>
      <w:r>
        <w:rPr>
          <w:rFonts w:ascii="仿宋" w:eastAsia="仿宋" w:hAnsi="仿宋" w:hint="eastAsia"/>
          <w:sz w:val="32"/>
          <w:szCs w:val="32"/>
        </w:rPr>
        <w:t>万元，补助资金已从财政拨付至实施主体1</w:t>
      </w:r>
      <w:r>
        <w:rPr>
          <w:rFonts w:ascii="仿宋" w:eastAsia="仿宋" w:hAnsi="仿宋"/>
          <w:sz w:val="32"/>
          <w:szCs w:val="32"/>
        </w:rPr>
        <w:t>,133.25</w:t>
      </w:r>
      <w:r>
        <w:rPr>
          <w:rFonts w:ascii="仿宋" w:eastAsia="仿宋" w:hAnsi="仿宋" w:hint="eastAsia"/>
          <w:sz w:val="32"/>
          <w:szCs w:val="32"/>
        </w:rPr>
        <w:t>万元；已经实施完工但未验收项目</w:t>
      </w:r>
      <w:r>
        <w:rPr>
          <w:rFonts w:ascii="仿宋" w:eastAsia="仿宋" w:hAnsi="仿宋"/>
          <w:sz w:val="32"/>
          <w:szCs w:val="32"/>
        </w:rPr>
        <w:t>57</w:t>
      </w:r>
      <w:r>
        <w:rPr>
          <w:rFonts w:ascii="仿宋" w:eastAsia="仿宋" w:hAnsi="仿宋" w:hint="eastAsia"/>
          <w:sz w:val="32"/>
          <w:szCs w:val="32"/>
        </w:rPr>
        <w:t>个，计划投资额</w:t>
      </w:r>
      <w:r>
        <w:rPr>
          <w:rFonts w:ascii="仿宋" w:eastAsia="仿宋" w:hAnsi="仿宋"/>
          <w:sz w:val="32"/>
          <w:szCs w:val="32"/>
        </w:rPr>
        <w:t>4,388.15万元，</w:t>
      </w:r>
      <w:r>
        <w:rPr>
          <w:rFonts w:ascii="仿宋" w:eastAsia="仿宋" w:hAnsi="仿宋" w:hint="eastAsia"/>
          <w:sz w:val="32"/>
          <w:szCs w:val="32"/>
        </w:rPr>
        <w:t>计划财政补助金额</w:t>
      </w:r>
      <w:r>
        <w:rPr>
          <w:rFonts w:ascii="仿宋" w:eastAsia="仿宋" w:hAnsi="仿宋"/>
          <w:sz w:val="32"/>
          <w:szCs w:val="32"/>
        </w:rPr>
        <w:t>2,314.5万元，</w:t>
      </w:r>
      <w:r>
        <w:rPr>
          <w:rFonts w:ascii="仿宋" w:eastAsia="仿宋" w:hAnsi="仿宋" w:hint="eastAsia"/>
          <w:sz w:val="32"/>
          <w:szCs w:val="32"/>
        </w:rPr>
        <w:t>补助资金已从财政拨付至实施主体4</w:t>
      </w:r>
      <w:r>
        <w:rPr>
          <w:rFonts w:ascii="仿宋" w:eastAsia="仿宋" w:hAnsi="仿宋"/>
          <w:sz w:val="32"/>
          <w:szCs w:val="32"/>
        </w:rPr>
        <w:t>00.93</w:t>
      </w:r>
      <w:r>
        <w:rPr>
          <w:rFonts w:ascii="仿宋" w:eastAsia="仿宋" w:hAnsi="仿宋" w:hint="eastAsia"/>
          <w:sz w:val="32"/>
          <w:szCs w:val="32"/>
        </w:rPr>
        <w:t>万元；已经实施在建项目1</w:t>
      </w:r>
      <w:r>
        <w:rPr>
          <w:rFonts w:ascii="仿宋" w:eastAsia="仿宋" w:hAnsi="仿宋"/>
          <w:sz w:val="32"/>
          <w:szCs w:val="32"/>
        </w:rPr>
        <w:t>5</w:t>
      </w:r>
      <w:r>
        <w:rPr>
          <w:rFonts w:ascii="仿宋" w:eastAsia="仿宋" w:hAnsi="仿宋" w:hint="eastAsia"/>
          <w:sz w:val="32"/>
          <w:szCs w:val="32"/>
        </w:rPr>
        <w:t>个，计划投资额</w:t>
      </w:r>
      <w:r>
        <w:rPr>
          <w:rFonts w:ascii="仿宋" w:eastAsia="仿宋" w:hAnsi="仿宋"/>
          <w:sz w:val="32"/>
          <w:szCs w:val="32"/>
        </w:rPr>
        <w:t>816.83万元，</w:t>
      </w:r>
      <w:r>
        <w:rPr>
          <w:rFonts w:ascii="仿宋" w:eastAsia="仿宋" w:hAnsi="仿宋" w:hint="eastAsia"/>
          <w:sz w:val="32"/>
          <w:szCs w:val="32"/>
        </w:rPr>
        <w:t>计划财政补助金额</w:t>
      </w:r>
      <w:r>
        <w:rPr>
          <w:rFonts w:ascii="仿宋" w:eastAsia="仿宋" w:hAnsi="仿宋"/>
          <w:sz w:val="32"/>
          <w:szCs w:val="32"/>
        </w:rPr>
        <w:t xml:space="preserve"> </w:t>
      </w:r>
      <w:r>
        <w:rPr>
          <w:rFonts w:ascii="仿宋" w:eastAsia="仿宋" w:hAnsi="仿宋" w:hint="eastAsia"/>
          <w:sz w:val="32"/>
          <w:szCs w:val="32"/>
        </w:rPr>
        <w:t>4</w:t>
      </w:r>
      <w:r>
        <w:rPr>
          <w:rFonts w:ascii="仿宋" w:eastAsia="仿宋" w:hAnsi="仿宋"/>
          <w:sz w:val="32"/>
          <w:szCs w:val="32"/>
        </w:rPr>
        <w:t>65.36万元，</w:t>
      </w:r>
      <w:r>
        <w:rPr>
          <w:rFonts w:ascii="仿宋" w:eastAsia="仿宋" w:hAnsi="仿宋" w:hint="eastAsia"/>
          <w:sz w:val="32"/>
          <w:szCs w:val="32"/>
        </w:rPr>
        <w:t>补助资金已从财政拨付至实施主体</w:t>
      </w:r>
      <w:r>
        <w:rPr>
          <w:rFonts w:ascii="仿宋" w:eastAsia="仿宋" w:hAnsi="仿宋"/>
          <w:sz w:val="32"/>
          <w:szCs w:val="32"/>
        </w:rPr>
        <w:t>217.8</w:t>
      </w:r>
      <w:r>
        <w:rPr>
          <w:rFonts w:ascii="仿宋" w:eastAsia="仿宋" w:hAnsi="仿宋" w:hint="eastAsia"/>
          <w:sz w:val="32"/>
          <w:szCs w:val="32"/>
        </w:rPr>
        <w:t>万元；已批复暂未建设项目1个（项目计划建设期到2024年），计划投资额20</w:t>
      </w:r>
      <w:r>
        <w:rPr>
          <w:rFonts w:ascii="仿宋" w:eastAsia="仿宋" w:hAnsi="仿宋"/>
          <w:sz w:val="32"/>
          <w:szCs w:val="32"/>
        </w:rPr>
        <w:t>万元，</w:t>
      </w:r>
      <w:r>
        <w:rPr>
          <w:rFonts w:ascii="仿宋" w:eastAsia="仿宋" w:hAnsi="仿宋" w:hint="eastAsia"/>
          <w:sz w:val="32"/>
          <w:szCs w:val="32"/>
        </w:rPr>
        <w:t>当年计划财政补助金额14万元，补助资金先已拨付至实施主体，但后又被市财政部门按当年市本级单位结余财政资金直接收回；终止项目1个，原计划补助资金20万元已上缴市财政。</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注：截止报告日市本级其他各区资金部分拨付，因实施“先建后补”政策，部分项目因暂未验收或未完成，资金暂未拨付，对于资金结余情况暂无法统计，资金具体情况如下表：</w:t>
      </w:r>
    </w:p>
    <w:p w:rsidR="00676206" w:rsidRDefault="0089086D">
      <w:pPr>
        <w:widowControl/>
        <w:spacing w:line="560" w:lineRule="exact"/>
        <w:ind w:firstLineChars="200" w:firstLine="560"/>
        <w:jc w:val="left"/>
        <w:rPr>
          <w:rFonts w:ascii="等线" w:eastAsia="等线" w:hAnsi="等线"/>
          <w:sz w:val="28"/>
          <w:szCs w:val="32"/>
        </w:rPr>
      </w:pP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r>
      <w:r>
        <w:rPr>
          <w:rFonts w:ascii="仿宋" w:eastAsia="仿宋" w:hAnsi="仿宋"/>
          <w:sz w:val="28"/>
          <w:szCs w:val="32"/>
        </w:rPr>
        <w:tab/>
        <w:t xml:space="preserve">   </w:t>
      </w:r>
      <w:r>
        <w:rPr>
          <w:rFonts w:ascii="仿宋" w:eastAsia="仿宋" w:hAnsi="仿宋" w:hint="eastAsia"/>
        </w:rPr>
        <w:t>单位：万元</w:t>
      </w:r>
    </w:p>
    <w:tbl>
      <w:tblPr>
        <w:tblW w:w="8630" w:type="dxa"/>
        <w:tblLook w:val="04A0" w:firstRow="1" w:lastRow="0" w:firstColumn="1" w:lastColumn="0" w:noHBand="0" w:noVBand="1"/>
      </w:tblPr>
      <w:tblGrid>
        <w:gridCol w:w="1438"/>
        <w:gridCol w:w="2540"/>
        <w:gridCol w:w="2629"/>
        <w:gridCol w:w="2023"/>
      </w:tblGrid>
      <w:tr w:rsidR="00676206">
        <w:trPr>
          <w:trHeight w:val="280"/>
          <w:tblHeader/>
        </w:trPr>
        <w:tc>
          <w:tcPr>
            <w:tcW w:w="1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区属</w:t>
            </w:r>
          </w:p>
        </w:tc>
        <w:tc>
          <w:tcPr>
            <w:tcW w:w="2540" w:type="dxa"/>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批复资金总额</w:t>
            </w:r>
          </w:p>
        </w:tc>
        <w:tc>
          <w:tcPr>
            <w:tcW w:w="2629" w:type="dxa"/>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市级补助计划</w:t>
            </w:r>
          </w:p>
        </w:tc>
        <w:tc>
          <w:tcPr>
            <w:tcW w:w="2023" w:type="dxa"/>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已拨付金额</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江北新区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114.09</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40.00</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39.90</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溧水区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1,607.71</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779.30</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69.70</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lastRenderedPageBreak/>
              <w:t>高淳区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1,043.45</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592.44</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108.93</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六合区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2,076.15</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955.50</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浦口区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872.06</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346.58</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331.79</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江宁区</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1,456.15</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665.00</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614.66</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市本级</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900.80</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621.00</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color w:val="000000"/>
                <w:kern w:val="0"/>
                <w:sz w:val="22"/>
              </w:rPr>
            </w:pPr>
            <w:r>
              <w:rPr>
                <w:rFonts w:ascii="Times New Roman" w:eastAsia="等线" w:hAnsi="Times New Roman" w:cs="Times New Roman"/>
                <w:color w:val="000000"/>
                <w:kern w:val="0"/>
                <w:sz w:val="22"/>
              </w:rPr>
              <w:t>587.00</w:t>
            </w:r>
          </w:p>
        </w:tc>
      </w:tr>
      <w:tr w:rsidR="00676206">
        <w:trPr>
          <w:trHeight w:val="280"/>
        </w:trPr>
        <w:tc>
          <w:tcPr>
            <w:tcW w:w="1438" w:type="dxa"/>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合计</w:t>
            </w:r>
          </w:p>
        </w:tc>
        <w:tc>
          <w:tcPr>
            <w:tcW w:w="2540"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8,070.41</w:t>
            </w:r>
          </w:p>
        </w:tc>
        <w:tc>
          <w:tcPr>
            <w:tcW w:w="2629"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3,999.82</w:t>
            </w:r>
          </w:p>
        </w:tc>
        <w:tc>
          <w:tcPr>
            <w:tcW w:w="2023" w:type="dxa"/>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Times New Roman" w:eastAsia="等线" w:hAnsi="Times New Roman" w:cs="Times New Roman"/>
                <w:b/>
                <w:bCs/>
                <w:color w:val="000000"/>
                <w:kern w:val="0"/>
                <w:sz w:val="22"/>
              </w:rPr>
            </w:pPr>
            <w:r>
              <w:rPr>
                <w:rFonts w:ascii="Times New Roman" w:eastAsia="等线" w:hAnsi="Times New Roman" w:cs="Times New Roman"/>
                <w:b/>
                <w:bCs/>
                <w:color w:val="000000"/>
                <w:kern w:val="0"/>
                <w:sz w:val="22"/>
              </w:rPr>
              <w:t>1,751.98</w:t>
            </w:r>
          </w:p>
        </w:tc>
      </w:tr>
    </w:tbl>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）项目组织情况</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经现场勘察，各区农业机械化项目均按照规定，配备专业人员，负责农业机械化项目的协调推进。</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各区选取项目单位：通过街道推荐及项目申报单位自行申报，由市、区组织专家评审或召开会议讨论的方式确定项目实施单位并立项。</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（3）项目管理情况</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各区根据《关于印发南京市相关农业大专项补助资金管理办法的通知</w:t>
      </w:r>
      <w:r>
        <w:rPr>
          <w:rFonts w:ascii="仿宋" w:eastAsia="仿宋" w:hAnsi="仿宋" w:cs="MS Gothic" w:hint="eastAsia"/>
          <w:sz w:val="32"/>
          <w:szCs w:val="32"/>
        </w:rPr>
        <w:t>》（</w:t>
      </w:r>
      <w:r>
        <w:rPr>
          <w:rFonts w:ascii="仿宋" w:eastAsia="仿宋" w:hAnsi="仿宋" w:hint="eastAsia"/>
          <w:sz w:val="32"/>
          <w:szCs w:val="32"/>
        </w:rPr>
        <w:t>宁财农〔2020〕410号</w:t>
      </w:r>
      <w:r>
        <w:rPr>
          <w:rFonts w:ascii="仿宋" w:eastAsia="仿宋" w:hAnsi="仿宋" w:cs="MS Gothic" w:hint="eastAsia"/>
          <w:sz w:val="32"/>
          <w:szCs w:val="32"/>
        </w:rPr>
        <w:t>）</w:t>
      </w:r>
      <w:r>
        <w:rPr>
          <w:rFonts w:ascii="仿宋" w:eastAsia="仿宋" w:hAnsi="仿宋"/>
          <w:sz w:val="32"/>
          <w:szCs w:val="32"/>
        </w:rPr>
        <w:t>等文件</w:t>
      </w:r>
      <w:r>
        <w:rPr>
          <w:rFonts w:ascii="仿宋" w:eastAsia="仿宋" w:hAnsi="仿宋" w:hint="eastAsia"/>
          <w:sz w:val="32"/>
          <w:szCs w:val="32"/>
        </w:rPr>
        <w:t>要求</w:t>
      </w:r>
      <w:r>
        <w:rPr>
          <w:rFonts w:ascii="仿宋" w:eastAsia="仿宋" w:hAnsi="仿宋"/>
          <w:sz w:val="32"/>
          <w:szCs w:val="32"/>
        </w:rPr>
        <w:t>，</w:t>
      </w:r>
      <w:r>
        <w:rPr>
          <w:rFonts w:ascii="仿宋" w:eastAsia="仿宋" w:hAnsi="仿宋" w:hint="eastAsia"/>
          <w:sz w:val="32"/>
          <w:szCs w:val="32"/>
        </w:rPr>
        <w:t>结合各区的实际制定了各区农业项目管理办法，实际执行中能按照项目管理办法规定的项目申报、立项、审批、实施、监督等内容严格执行。各区农业主管部门审批项目实施方案，会同财政部门下达资金计划，开展项目跟踪管理和日常检查监督。</w:t>
      </w:r>
    </w:p>
    <w:p w:rsidR="00676206" w:rsidRDefault="0089086D">
      <w:pPr>
        <w:pStyle w:val="2"/>
        <w:ind w:firstLine="643"/>
        <w:rPr>
          <w:rFonts w:ascii="仿宋" w:eastAsia="仿宋" w:hAnsi="仿宋"/>
          <w:sz w:val="32"/>
        </w:rPr>
      </w:pPr>
      <w:bookmarkStart w:id="16" w:name="_Toc139007067"/>
      <w:r>
        <w:rPr>
          <w:rFonts w:ascii="仿宋" w:eastAsia="仿宋" w:hAnsi="仿宋"/>
          <w:sz w:val="32"/>
        </w:rPr>
        <w:t>3</w:t>
      </w:r>
      <w:r>
        <w:rPr>
          <w:rFonts w:ascii="仿宋" w:eastAsia="仿宋" w:hAnsi="仿宋" w:hint="eastAsia"/>
          <w:sz w:val="32"/>
        </w:rPr>
        <w:t>、项目产出及效果评价分析</w:t>
      </w:r>
      <w:bookmarkEnd w:id="16"/>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（1）项目的实施进度</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经现场勘查和复核验收资料，各区</w:t>
      </w:r>
      <w:r>
        <w:rPr>
          <w:rFonts w:ascii="仿宋" w:eastAsia="仿宋" w:hAnsi="仿宋"/>
          <w:sz w:val="32"/>
          <w:szCs w:val="32"/>
        </w:rPr>
        <w:t>202</w:t>
      </w:r>
      <w:r>
        <w:rPr>
          <w:rFonts w:ascii="仿宋" w:eastAsia="仿宋" w:hAnsi="仿宋" w:hint="eastAsia"/>
          <w:sz w:val="32"/>
          <w:szCs w:val="32"/>
        </w:rPr>
        <w:t>2</w:t>
      </w:r>
      <w:r>
        <w:rPr>
          <w:rFonts w:ascii="仿宋" w:eastAsia="仿宋" w:hAnsi="仿宋"/>
          <w:sz w:val="32"/>
          <w:szCs w:val="32"/>
        </w:rPr>
        <w:t>年度市级农业机</w:t>
      </w:r>
      <w:r>
        <w:rPr>
          <w:rFonts w:ascii="仿宋" w:eastAsia="仿宋" w:hAnsi="仿宋" w:hint="eastAsia"/>
          <w:sz w:val="32"/>
          <w:szCs w:val="32"/>
        </w:rPr>
        <w:t>械化项目部分未完成项目建设内容。</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市本级1</w:t>
      </w:r>
      <w:r>
        <w:rPr>
          <w:rFonts w:ascii="仿宋" w:eastAsia="仿宋" w:hAnsi="仿宋"/>
          <w:sz w:val="32"/>
          <w:szCs w:val="32"/>
        </w:rPr>
        <w:t>8</w:t>
      </w:r>
      <w:r>
        <w:rPr>
          <w:rFonts w:ascii="仿宋" w:eastAsia="仿宋" w:hAnsi="仿宋" w:hint="eastAsia"/>
          <w:sz w:val="32"/>
          <w:szCs w:val="32"/>
        </w:rPr>
        <w:t>个项目：实际完成且通过验收项目1个，已经建设完成但尚未验收的项目6个，已经实施暂未完工项目</w:t>
      </w:r>
      <w:r>
        <w:rPr>
          <w:rFonts w:ascii="仿宋" w:eastAsia="仿宋" w:hAnsi="仿宋" w:hint="eastAsia"/>
          <w:sz w:val="32"/>
          <w:szCs w:val="32"/>
        </w:rPr>
        <w:lastRenderedPageBreak/>
        <w:t>9个（项目建设周期到2024年）；暂未实施项目1个（下达补助资金后被市财政收回）；已终止项目1个。补助资金已拨付</w:t>
      </w:r>
      <w:r>
        <w:rPr>
          <w:rFonts w:ascii="仿宋" w:eastAsia="仿宋" w:hAnsi="仿宋"/>
          <w:sz w:val="32"/>
          <w:szCs w:val="32"/>
        </w:rPr>
        <w:t>587</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江北新区1个项目：实际完成且通过验收项目1个，补助资金已拨付3</w:t>
      </w:r>
      <w:r>
        <w:rPr>
          <w:rFonts w:ascii="仿宋" w:eastAsia="仿宋" w:hAnsi="仿宋"/>
          <w:sz w:val="32"/>
          <w:szCs w:val="32"/>
        </w:rPr>
        <w:t>9.9</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浦口区9个项目：实际完成且通过验收项目9个，补助资金已拨付3</w:t>
      </w:r>
      <w:r>
        <w:rPr>
          <w:rFonts w:ascii="仿宋" w:eastAsia="仿宋" w:hAnsi="仿宋"/>
          <w:sz w:val="32"/>
          <w:szCs w:val="32"/>
        </w:rPr>
        <w:t>31.79</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六合区2</w:t>
      </w:r>
      <w:r>
        <w:rPr>
          <w:rFonts w:ascii="仿宋" w:eastAsia="仿宋" w:hAnsi="仿宋"/>
          <w:sz w:val="32"/>
          <w:szCs w:val="32"/>
        </w:rPr>
        <w:t>4</w:t>
      </w:r>
      <w:r>
        <w:rPr>
          <w:rFonts w:ascii="仿宋" w:eastAsia="仿宋" w:hAnsi="仿宋" w:hint="eastAsia"/>
          <w:sz w:val="32"/>
          <w:szCs w:val="32"/>
        </w:rPr>
        <w:t>个项目：已经建设完成但尚未验收的项目2</w:t>
      </w:r>
      <w:r>
        <w:rPr>
          <w:rFonts w:ascii="仿宋" w:eastAsia="仿宋" w:hAnsi="仿宋"/>
          <w:sz w:val="32"/>
          <w:szCs w:val="32"/>
        </w:rPr>
        <w:t>4</w:t>
      </w:r>
      <w:r>
        <w:rPr>
          <w:rFonts w:ascii="仿宋" w:eastAsia="仿宋" w:hAnsi="仿宋" w:hint="eastAsia"/>
          <w:sz w:val="32"/>
          <w:szCs w:val="32"/>
        </w:rPr>
        <w:t>个，补助资金暂未拨付。</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江宁区1</w:t>
      </w:r>
      <w:r>
        <w:rPr>
          <w:rFonts w:ascii="仿宋" w:eastAsia="仿宋" w:hAnsi="仿宋"/>
          <w:sz w:val="32"/>
          <w:szCs w:val="32"/>
        </w:rPr>
        <w:t>2</w:t>
      </w:r>
      <w:r>
        <w:rPr>
          <w:rFonts w:ascii="仿宋" w:eastAsia="仿宋" w:hAnsi="仿宋" w:hint="eastAsia"/>
          <w:sz w:val="32"/>
          <w:szCs w:val="32"/>
        </w:rPr>
        <w:t>个项目：实际完成且通过验收项目1</w:t>
      </w:r>
      <w:r>
        <w:rPr>
          <w:rFonts w:ascii="仿宋" w:eastAsia="仿宋" w:hAnsi="仿宋"/>
          <w:sz w:val="32"/>
          <w:szCs w:val="32"/>
        </w:rPr>
        <w:t>1</w:t>
      </w:r>
      <w:r>
        <w:rPr>
          <w:rFonts w:ascii="仿宋" w:eastAsia="仿宋" w:hAnsi="仿宋" w:hint="eastAsia"/>
          <w:sz w:val="32"/>
          <w:szCs w:val="32"/>
        </w:rPr>
        <w:t>个，已经实施暂未完工项目1个，补助资金已拨付6</w:t>
      </w:r>
      <w:r>
        <w:rPr>
          <w:rFonts w:ascii="仿宋" w:eastAsia="仿宋" w:hAnsi="仿宋"/>
          <w:sz w:val="32"/>
          <w:szCs w:val="32"/>
        </w:rPr>
        <w:t>14.66</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高淳区1</w:t>
      </w:r>
      <w:r>
        <w:rPr>
          <w:rFonts w:ascii="仿宋" w:eastAsia="仿宋" w:hAnsi="仿宋"/>
          <w:sz w:val="32"/>
          <w:szCs w:val="32"/>
        </w:rPr>
        <w:t>4</w:t>
      </w:r>
      <w:r>
        <w:rPr>
          <w:rFonts w:ascii="仿宋" w:eastAsia="仿宋" w:hAnsi="仿宋" w:hint="eastAsia"/>
          <w:sz w:val="32"/>
          <w:szCs w:val="32"/>
        </w:rPr>
        <w:t>个项目：已经建设完成但尚未验收的项目1</w:t>
      </w:r>
      <w:r>
        <w:rPr>
          <w:rFonts w:ascii="仿宋" w:eastAsia="仿宋" w:hAnsi="仿宋"/>
          <w:sz w:val="32"/>
          <w:szCs w:val="32"/>
        </w:rPr>
        <w:t>1</w:t>
      </w:r>
      <w:r>
        <w:rPr>
          <w:rFonts w:ascii="仿宋" w:eastAsia="仿宋" w:hAnsi="仿宋" w:hint="eastAsia"/>
          <w:sz w:val="32"/>
          <w:szCs w:val="32"/>
        </w:rPr>
        <w:t>个，已经实施暂未完工项目3个，补助资金已拨付1</w:t>
      </w:r>
      <w:r>
        <w:rPr>
          <w:rFonts w:ascii="仿宋" w:eastAsia="仿宋" w:hAnsi="仿宋"/>
          <w:sz w:val="32"/>
          <w:szCs w:val="32"/>
        </w:rPr>
        <w:t>08.93</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溧水区2</w:t>
      </w:r>
      <w:r>
        <w:rPr>
          <w:rFonts w:ascii="仿宋" w:eastAsia="仿宋" w:hAnsi="仿宋"/>
          <w:sz w:val="32"/>
          <w:szCs w:val="32"/>
        </w:rPr>
        <w:t>0</w:t>
      </w:r>
      <w:r>
        <w:rPr>
          <w:rFonts w:ascii="仿宋" w:eastAsia="仿宋" w:hAnsi="仿宋" w:hint="eastAsia"/>
          <w:sz w:val="32"/>
          <w:szCs w:val="32"/>
        </w:rPr>
        <w:t>个项目：实际完成且通过验收项目2个，已经建设完成但尚未验收的项目1</w:t>
      </w:r>
      <w:r>
        <w:rPr>
          <w:rFonts w:ascii="仿宋" w:eastAsia="仿宋" w:hAnsi="仿宋"/>
          <w:sz w:val="32"/>
          <w:szCs w:val="32"/>
        </w:rPr>
        <w:t>6</w:t>
      </w:r>
      <w:r>
        <w:rPr>
          <w:rFonts w:ascii="仿宋" w:eastAsia="仿宋" w:hAnsi="仿宋" w:hint="eastAsia"/>
          <w:sz w:val="32"/>
          <w:szCs w:val="32"/>
        </w:rPr>
        <w:t>个，已经实施暂未完工项目2个，补助资金已拨付6</w:t>
      </w:r>
      <w:r>
        <w:rPr>
          <w:rFonts w:ascii="仿宋" w:eastAsia="仿宋" w:hAnsi="仿宋"/>
          <w:sz w:val="32"/>
          <w:szCs w:val="32"/>
        </w:rPr>
        <w:t>9.7</w:t>
      </w:r>
      <w:r>
        <w:rPr>
          <w:rFonts w:ascii="仿宋" w:eastAsia="仿宋" w:hAnsi="仿宋" w:hint="eastAsia"/>
          <w:sz w:val="32"/>
          <w:szCs w:val="32"/>
        </w:rPr>
        <w:t>万元。</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sz w:val="32"/>
          <w:szCs w:val="32"/>
        </w:rPr>
        <w:t>2</w:t>
      </w:r>
      <w:r>
        <w:rPr>
          <w:rFonts w:ascii="仿宋" w:eastAsia="仿宋" w:hAnsi="仿宋" w:hint="eastAsia"/>
          <w:sz w:val="32"/>
          <w:szCs w:val="32"/>
        </w:rPr>
        <w:t>）项目效益性分析</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022</w:t>
      </w:r>
      <w:r>
        <w:rPr>
          <w:rFonts w:ascii="仿宋" w:eastAsia="仿宋" w:hAnsi="仿宋" w:hint="eastAsia"/>
          <w:sz w:val="32"/>
          <w:szCs w:val="32"/>
        </w:rPr>
        <w:t>年度市级农业机械化项目大部分已经按照实施方案完成了建设内容并投入使用，小部分项目暂未完成建设。特色农业“机器换人”项目、粮食生产全程机械化能力提升建设项目、智能农机装备示范项目、“平安农机”示范合作社、粮食烘干中心烘干热源环保升级项目等内容大部分均已</w:t>
      </w:r>
      <w:r>
        <w:rPr>
          <w:rFonts w:ascii="仿宋" w:eastAsia="仿宋" w:hAnsi="仿宋" w:hint="eastAsia"/>
          <w:sz w:val="32"/>
          <w:szCs w:val="32"/>
        </w:rPr>
        <w:lastRenderedPageBreak/>
        <w:t>投入使用。农业机械化项目的实施，促进全市机械化农业更好发展，带动了全市农业机械化水平的稳步提升。</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（3）服务对象满意度</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满意度调查选取了部分街道的部分项目，对项目实施单位和周边农户就政策的实施、基础设施建设、补助资金额度、项目主管部门服务等进行了满意度调查和访谈交流，并发放了8</w:t>
      </w:r>
      <w:r>
        <w:rPr>
          <w:rFonts w:ascii="仿宋" w:eastAsia="仿宋" w:hAnsi="仿宋"/>
          <w:sz w:val="32"/>
          <w:szCs w:val="32"/>
        </w:rPr>
        <w:t>0</w:t>
      </w:r>
      <w:r>
        <w:rPr>
          <w:rFonts w:ascii="仿宋" w:eastAsia="仿宋" w:hAnsi="仿宋" w:hint="eastAsia"/>
          <w:sz w:val="32"/>
          <w:szCs w:val="32"/>
        </w:rPr>
        <w:t>份调查问卷，收回8</w:t>
      </w:r>
      <w:r>
        <w:rPr>
          <w:rFonts w:ascii="仿宋" w:eastAsia="仿宋" w:hAnsi="仿宋"/>
          <w:sz w:val="32"/>
          <w:szCs w:val="32"/>
        </w:rPr>
        <w:t>0</w:t>
      </w:r>
      <w:r>
        <w:rPr>
          <w:rFonts w:ascii="仿宋" w:eastAsia="仿宋" w:hAnsi="仿宋" w:hint="eastAsia"/>
          <w:sz w:val="32"/>
          <w:szCs w:val="32"/>
        </w:rPr>
        <w:t>份调查问卷。调查问卷结果显示，满意度为100%，总体来看对机械化农业项目的满意度较高。</w:t>
      </w:r>
    </w:p>
    <w:p w:rsidR="00676206" w:rsidRDefault="0089086D" w:rsidP="00963D36">
      <w:pPr>
        <w:pStyle w:val="1"/>
        <w:ind w:firstLine="640"/>
        <w:rPr>
          <w:rFonts w:ascii="黑体" w:eastAsia="黑体" w:hAnsi="黑体"/>
          <w:b w:val="0"/>
          <w:bCs w:val="0"/>
          <w:szCs w:val="32"/>
        </w:rPr>
      </w:pPr>
      <w:bookmarkStart w:id="17" w:name="_Toc139007068"/>
      <w:r>
        <w:rPr>
          <w:rFonts w:ascii="黑体" w:eastAsia="黑体" w:hAnsi="黑体" w:hint="eastAsia"/>
          <w:b w:val="0"/>
          <w:bCs w:val="0"/>
          <w:szCs w:val="32"/>
        </w:rPr>
        <w:t>六、存在的问题和建议</w:t>
      </w:r>
      <w:bookmarkEnd w:id="17"/>
    </w:p>
    <w:p w:rsidR="00676206" w:rsidRDefault="0089086D">
      <w:pPr>
        <w:pStyle w:val="2"/>
        <w:ind w:firstLine="643"/>
        <w:rPr>
          <w:rFonts w:ascii="仿宋" w:eastAsia="仿宋" w:hAnsi="仿宋"/>
          <w:sz w:val="32"/>
        </w:rPr>
      </w:pPr>
      <w:bookmarkStart w:id="18" w:name="_Toc139007069"/>
      <w:r>
        <w:rPr>
          <w:rFonts w:ascii="仿宋" w:eastAsia="仿宋" w:hAnsi="仿宋" w:hint="eastAsia"/>
          <w:sz w:val="32"/>
        </w:rPr>
        <w:t>1、存在问题</w:t>
      </w:r>
      <w:bookmarkEnd w:id="18"/>
    </w:p>
    <w:p w:rsidR="00676206" w:rsidRDefault="0089086D">
      <w:pPr>
        <w:widowControl/>
        <w:spacing w:line="560" w:lineRule="exact"/>
        <w:ind w:firstLineChars="200" w:firstLine="640"/>
        <w:rPr>
          <w:rFonts w:ascii="仿宋" w:eastAsia="仿宋" w:hAnsi="仿宋"/>
          <w:sz w:val="32"/>
        </w:rPr>
      </w:pPr>
      <w:r>
        <w:rPr>
          <w:rFonts w:ascii="仿宋" w:eastAsia="仿宋" w:hAnsi="仿宋" w:hint="eastAsia"/>
          <w:sz w:val="32"/>
        </w:rPr>
        <w:t>（1）部分区立项、实施方案批复时间较晚</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rPr>
        <w:t>区级项目立项最早是2022年6月底，最晚的到2023年1月。个别区</w:t>
      </w:r>
      <w:r>
        <w:rPr>
          <w:rFonts w:ascii="仿宋" w:eastAsia="仿宋" w:hAnsi="仿宋" w:hint="eastAsia"/>
          <w:sz w:val="32"/>
          <w:szCs w:val="32"/>
        </w:rPr>
        <w:t>由于市级农业专项资金分配使用有调整，调整了项目立项计划，实施方案批复时间在2</w:t>
      </w:r>
      <w:r>
        <w:rPr>
          <w:rFonts w:ascii="仿宋" w:eastAsia="仿宋" w:hAnsi="仿宋"/>
          <w:sz w:val="32"/>
          <w:szCs w:val="32"/>
        </w:rPr>
        <w:t>023</w:t>
      </w:r>
      <w:r>
        <w:rPr>
          <w:rFonts w:ascii="仿宋" w:eastAsia="仿宋" w:hAnsi="仿宋" w:hint="eastAsia"/>
          <w:sz w:val="32"/>
          <w:szCs w:val="32"/>
        </w:rPr>
        <w:t>年2月。项目建设期一般为1年，批复下达时间延后，不利于项目及时开工实施。</w:t>
      </w:r>
    </w:p>
    <w:p w:rsidR="00676206" w:rsidRDefault="0089086D">
      <w:pPr>
        <w:widowControl/>
        <w:numPr>
          <w:ilvl w:val="0"/>
          <w:numId w:val="1"/>
        </w:numPr>
        <w:spacing w:line="560" w:lineRule="exact"/>
        <w:ind w:firstLineChars="200" w:firstLine="640"/>
        <w:rPr>
          <w:rFonts w:ascii="仿宋" w:eastAsia="仿宋" w:hAnsi="仿宋"/>
          <w:sz w:val="32"/>
          <w:szCs w:val="32"/>
        </w:rPr>
      </w:pPr>
      <w:r>
        <w:rPr>
          <w:rFonts w:ascii="仿宋" w:eastAsia="仿宋" w:hAnsi="仿宋" w:hint="eastAsia"/>
          <w:sz w:val="32"/>
          <w:szCs w:val="32"/>
        </w:rPr>
        <w:t>项目验收进度慢，影响了项目补助资金拨付进度</w:t>
      </w:r>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截止报告日，有不少项目已建设完工但未组织验收，项目补助资金尚未拨付到项目单位。</w:t>
      </w:r>
      <w:bookmarkStart w:id="19" w:name="_Toc139007070"/>
    </w:p>
    <w:p w:rsidR="00676206" w:rsidRDefault="0089086D">
      <w:pPr>
        <w:widowControl/>
        <w:spacing w:line="560" w:lineRule="exact"/>
        <w:ind w:firstLineChars="200" w:firstLine="643"/>
        <w:rPr>
          <w:rFonts w:ascii="仿宋" w:eastAsia="仿宋" w:hAnsi="仿宋"/>
          <w:b/>
          <w:bCs/>
          <w:sz w:val="32"/>
        </w:rPr>
      </w:pPr>
      <w:r>
        <w:rPr>
          <w:rFonts w:ascii="仿宋" w:eastAsia="仿宋" w:hAnsi="仿宋" w:hint="eastAsia"/>
          <w:b/>
          <w:bCs/>
          <w:sz w:val="32"/>
        </w:rPr>
        <w:t>2、有关建议</w:t>
      </w:r>
      <w:bookmarkStart w:id="20" w:name="_Toc139007071"/>
      <w:bookmarkEnd w:id="19"/>
    </w:p>
    <w:p w:rsidR="00676206" w:rsidRDefault="0089086D">
      <w:pPr>
        <w:widowControl/>
        <w:spacing w:line="560" w:lineRule="exact"/>
        <w:ind w:firstLineChars="200" w:firstLine="640"/>
        <w:rPr>
          <w:rFonts w:ascii="仿宋" w:eastAsia="仿宋" w:hAnsi="仿宋"/>
          <w:sz w:val="32"/>
        </w:rPr>
      </w:pPr>
      <w:r>
        <w:rPr>
          <w:rFonts w:ascii="仿宋" w:eastAsia="仿宋" w:hAnsi="仿宋" w:hint="eastAsia"/>
          <w:sz w:val="32"/>
        </w:rPr>
        <w:t>（1）建议及时启动项目建设</w:t>
      </w:r>
      <w:bookmarkEnd w:id="20"/>
    </w:p>
    <w:p w:rsidR="00676206" w:rsidRDefault="0089086D">
      <w:pPr>
        <w:widowControl/>
        <w:spacing w:line="560" w:lineRule="exact"/>
        <w:ind w:firstLineChars="200" w:firstLine="640"/>
        <w:rPr>
          <w:rFonts w:ascii="仿宋" w:eastAsia="仿宋" w:hAnsi="仿宋"/>
          <w:sz w:val="32"/>
          <w:szCs w:val="32"/>
        </w:rPr>
      </w:pPr>
      <w:r>
        <w:rPr>
          <w:rFonts w:ascii="仿宋" w:eastAsia="仿宋" w:hAnsi="仿宋" w:hint="eastAsia"/>
          <w:sz w:val="32"/>
          <w:szCs w:val="32"/>
        </w:rPr>
        <w:t>尽早开展项目申报、立项、实施方案批复等工作是有效促进项目落地建设的重要手段，建议各有关区农业农村部门</w:t>
      </w:r>
      <w:r>
        <w:rPr>
          <w:rFonts w:ascii="仿宋" w:eastAsia="仿宋" w:hAnsi="仿宋" w:hint="eastAsia"/>
          <w:sz w:val="32"/>
          <w:szCs w:val="32"/>
        </w:rPr>
        <w:lastRenderedPageBreak/>
        <w:t>及时分配市级下达的相关专项资金，组织开展项目立项、实施工作。</w:t>
      </w:r>
      <w:bookmarkStart w:id="21" w:name="_Toc139007072"/>
    </w:p>
    <w:p w:rsidR="00676206" w:rsidRDefault="0089086D">
      <w:pPr>
        <w:widowControl/>
        <w:spacing w:line="560" w:lineRule="exact"/>
        <w:ind w:firstLineChars="200" w:firstLine="640"/>
        <w:rPr>
          <w:rFonts w:ascii="仿宋" w:eastAsia="仿宋" w:hAnsi="仿宋"/>
          <w:sz w:val="32"/>
        </w:rPr>
      </w:pPr>
      <w:r>
        <w:rPr>
          <w:rFonts w:ascii="仿宋" w:eastAsia="仿宋" w:hAnsi="仿宋" w:hint="eastAsia"/>
          <w:sz w:val="32"/>
          <w:szCs w:val="32"/>
        </w:rPr>
        <w:t>（2）</w:t>
      </w:r>
      <w:r>
        <w:rPr>
          <w:rFonts w:ascii="仿宋" w:eastAsia="仿宋" w:hAnsi="仿宋" w:hint="eastAsia"/>
          <w:sz w:val="32"/>
        </w:rPr>
        <w:t>强化项目监督管理，提高项目实施效率</w:t>
      </w:r>
      <w:bookmarkEnd w:id="21"/>
    </w:p>
    <w:p w:rsidR="00676206" w:rsidRDefault="0089086D">
      <w:pPr>
        <w:pStyle w:val="2"/>
        <w:ind w:firstLine="640"/>
        <w:rPr>
          <w:rFonts w:ascii="仿宋" w:eastAsia="仿宋" w:hAnsi="仿宋"/>
          <w:b w:val="0"/>
          <w:bCs w:val="0"/>
          <w:sz w:val="32"/>
        </w:rPr>
      </w:pPr>
      <w:r>
        <w:rPr>
          <w:rFonts w:ascii="仿宋" w:eastAsia="仿宋" w:hAnsi="仿宋" w:hint="eastAsia"/>
          <w:b w:val="0"/>
          <w:bCs w:val="0"/>
          <w:sz w:val="32"/>
        </w:rPr>
        <w:t>建议各区要加强项目实施跟踪管理，推进项目保质保量按期完成；督促指导各实施单位建立健全项目档案，尽早申请组织项目验收；对个别项目因特殊原因未能及时完成的，建议各区农机部门对已完成的项目先行组织验收一批，提高补助资金拨付效率。</w:t>
      </w:r>
    </w:p>
    <w:p w:rsidR="00676206" w:rsidRDefault="00676206">
      <w:pPr>
        <w:pStyle w:val="1"/>
        <w:ind w:firstLine="640"/>
        <w:rPr>
          <w:rFonts w:ascii="仿宋" w:eastAsia="仿宋" w:hAnsi="仿宋"/>
          <w:b w:val="0"/>
          <w:bCs w:val="0"/>
          <w:szCs w:val="32"/>
        </w:rPr>
      </w:pPr>
      <w:bookmarkStart w:id="22" w:name="_Toc139007073"/>
    </w:p>
    <w:p w:rsidR="00676206" w:rsidRDefault="0089086D">
      <w:pPr>
        <w:pStyle w:val="1"/>
        <w:ind w:firstLine="640"/>
        <w:rPr>
          <w:rFonts w:ascii="仿宋" w:eastAsia="仿宋" w:hAnsi="仿宋"/>
          <w:b w:val="0"/>
          <w:bCs w:val="0"/>
          <w:szCs w:val="32"/>
        </w:rPr>
      </w:pPr>
      <w:r>
        <w:rPr>
          <w:rFonts w:ascii="仿宋" w:eastAsia="仿宋" w:hAnsi="仿宋" w:hint="eastAsia"/>
          <w:b w:val="0"/>
          <w:bCs w:val="0"/>
          <w:szCs w:val="32"/>
        </w:rPr>
        <w:t>附表：</w:t>
      </w:r>
      <w:bookmarkEnd w:id="22"/>
      <w:r>
        <w:rPr>
          <w:rFonts w:ascii="仿宋" w:eastAsia="仿宋" w:hAnsi="仿宋" w:hint="eastAsia"/>
          <w:b w:val="0"/>
          <w:bCs w:val="0"/>
          <w:szCs w:val="32"/>
        </w:rPr>
        <w:t>南京市</w:t>
      </w:r>
      <w:r>
        <w:rPr>
          <w:rFonts w:ascii="仿宋" w:eastAsia="仿宋" w:hAnsi="仿宋"/>
          <w:b w:val="0"/>
          <w:bCs w:val="0"/>
          <w:szCs w:val="32"/>
        </w:rPr>
        <w:t>2022年度市级项目预算绩效自评表</w:t>
      </w:r>
    </w:p>
    <w:p w:rsidR="00676206" w:rsidRDefault="00676206"/>
    <w:p w:rsidR="00676206" w:rsidRDefault="00676206"/>
    <w:p w:rsidR="00676206" w:rsidRDefault="00676206"/>
    <w:p w:rsidR="00676206" w:rsidRDefault="00676206"/>
    <w:p w:rsidR="00676206" w:rsidRDefault="00676206">
      <w:pPr>
        <w:rPr>
          <w:rFonts w:ascii="仿宋" w:eastAsia="仿宋" w:hAnsi="仿宋"/>
          <w:sz w:val="32"/>
          <w:szCs w:val="36"/>
        </w:rPr>
      </w:pPr>
    </w:p>
    <w:p w:rsidR="00676206" w:rsidRDefault="0089086D">
      <w:pPr>
        <w:rPr>
          <w:rFonts w:ascii="仿宋" w:eastAsia="仿宋" w:hAnsi="仿宋"/>
          <w:b/>
          <w:bCs/>
          <w:sz w:val="28"/>
          <w:szCs w:val="44"/>
        </w:rPr>
        <w:sectPr w:rsidR="00676206">
          <w:footerReference w:type="default" r:id="rId9"/>
          <w:pgSz w:w="11906" w:h="16838"/>
          <w:pgMar w:top="1440" w:right="1800" w:bottom="1440" w:left="1800" w:header="851" w:footer="992" w:gutter="0"/>
          <w:pgNumType w:start="1"/>
          <w:cols w:space="425"/>
          <w:docGrid w:type="lines" w:linePitch="312"/>
        </w:sectPr>
      </w:pP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r>
      <w:r>
        <w:rPr>
          <w:rFonts w:ascii="仿宋" w:eastAsia="仿宋" w:hAnsi="仿宋"/>
          <w:sz w:val="32"/>
          <w:szCs w:val="36"/>
        </w:rPr>
        <w:tab/>
        <w:t xml:space="preserve">   </w:t>
      </w:r>
      <w:r>
        <w:rPr>
          <w:rFonts w:ascii="仿宋" w:eastAsia="仿宋" w:hAnsi="仿宋"/>
          <w:sz w:val="32"/>
          <w:szCs w:val="36"/>
        </w:rPr>
        <w:tab/>
      </w:r>
      <w:r>
        <w:rPr>
          <w:rFonts w:ascii="仿宋" w:eastAsia="仿宋" w:hAnsi="仿宋" w:hint="eastAsia"/>
          <w:sz w:val="32"/>
          <w:szCs w:val="36"/>
        </w:rPr>
        <w:t>2023年6月28日</w:t>
      </w:r>
      <w:r>
        <w:rPr>
          <w:rFonts w:ascii="仿宋" w:eastAsia="仿宋" w:hAnsi="仿宋"/>
          <w:sz w:val="28"/>
          <w:szCs w:val="44"/>
        </w:rPr>
        <w:br/>
      </w:r>
    </w:p>
    <w:p w:rsidR="00676206" w:rsidRDefault="0089086D">
      <w:pPr>
        <w:widowControl/>
        <w:jc w:val="left"/>
        <w:rPr>
          <w:rFonts w:ascii="仿宋" w:eastAsia="仿宋" w:hAnsi="仿宋"/>
          <w:sz w:val="24"/>
          <w:szCs w:val="28"/>
        </w:rPr>
      </w:pPr>
      <w:r>
        <w:rPr>
          <w:rFonts w:ascii="仿宋" w:eastAsia="仿宋" w:hAnsi="仿宋" w:hint="eastAsia"/>
          <w:sz w:val="24"/>
          <w:szCs w:val="28"/>
        </w:rPr>
        <w:lastRenderedPageBreak/>
        <w:t>附表</w:t>
      </w:r>
    </w:p>
    <w:p w:rsidR="00676206" w:rsidRDefault="0089086D">
      <w:pPr>
        <w:widowControl/>
        <w:jc w:val="center"/>
        <w:rPr>
          <w:rFonts w:ascii="黑体" w:eastAsia="黑体" w:hAnsi="黑体" w:cs="黑体"/>
          <w:sz w:val="32"/>
          <w:szCs w:val="32"/>
        </w:rPr>
      </w:pPr>
      <w:bookmarkStart w:id="23" w:name="_Hlk139025079"/>
      <w:r>
        <w:rPr>
          <w:rFonts w:ascii="黑体" w:eastAsia="黑体" w:hAnsi="黑体" w:cs="黑体" w:hint="eastAsia"/>
          <w:sz w:val="32"/>
          <w:szCs w:val="32"/>
        </w:rPr>
        <w:t>南京市2022年度市级项目预算绩效自评表</w:t>
      </w:r>
    </w:p>
    <w:tbl>
      <w:tblPr>
        <w:tblW w:w="4906" w:type="pct"/>
        <w:tblLook w:val="04A0" w:firstRow="1" w:lastRow="0" w:firstColumn="1" w:lastColumn="0" w:noHBand="0" w:noVBand="1"/>
      </w:tblPr>
      <w:tblGrid>
        <w:gridCol w:w="1183"/>
        <w:gridCol w:w="1317"/>
        <w:gridCol w:w="3800"/>
        <w:gridCol w:w="3160"/>
        <w:gridCol w:w="1469"/>
        <w:gridCol w:w="1421"/>
        <w:gridCol w:w="1558"/>
      </w:tblGrid>
      <w:tr w:rsidR="00676206">
        <w:trPr>
          <w:trHeight w:val="520"/>
        </w:trPr>
        <w:tc>
          <w:tcPr>
            <w:tcW w:w="425" w:type="pct"/>
            <w:tcBorders>
              <w:top w:val="single" w:sz="4" w:space="0" w:color="000000"/>
              <w:left w:val="single" w:sz="4" w:space="0" w:color="000000"/>
              <w:bottom w:val="single" w:sz="4" w:space="0" w:color="000000"/>
              <w:right w:val="single" w:sz="4" w:space="0" w:color="000000"/>
            </w:tcBorders>
            <w:shd w:val="clear" w:color="auto" w:fill="auto"/>
            <w:vAlign w:val="center"/>
          </w:tcPr>
          <w:bookmarkEnd w:id="23"/>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一级指标</w:t>
            </w:r>
          </w:p>
        </w:tc>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二级指标</w:t>
            </w:r>
          </w:p>
        </w:tc>
        <w:tc>
          <w:tcPr>
            <w:tcW w:w="13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三级指标</w:t>
            </w:r>
          </w:p>
        </w:tc>
        <w:tc>
          <w:tcPr>
            <w:tcW w:w="113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全年（程）</w:t>
            </w:r>
            <w:r>
              <w:rPr>
                <w:rFonts w:ascii="仿宋" w:eastAsia="仿宋" w:hAnsi="仿宋" w:cs="宋体" w:hint="eastAsia"/>
                <w:b/>
                <w:bCs/>
                <w:color w:val="000000"/>
                <w:kern w:val="0"/>
                <w:sz w:val="20"/>
                <w:szCs w:val="20"/>
              </w:rPr>
              <w:br/>
              <w:t>指标值</w:t>
            </w:r>
          </w:p>
        </w:tc>
        <w:tc>
          <w:tcPr>
            <w:tcW w:w="5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实际完成值</w:t>
            </w:r>
          </w:p>
        </w:tc>
        <w:tc>
          <w:tcPr>
            <w:tcW w:w="51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分值</w:t>
            </w:r>
          </w:p>
        </w:tc>
        <w:tc>
          <w:tcPr>
            <w:tcW w:w="5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b/>
                <w:bCs/>
                <w:color w:val="000000"/>
                <w:kern w:val="0"/>
                <w:sz w:val="20"/>
                <w:szCs w:val="20"/>
              </w:rPr>
            </w:pPr>
            <w:r>
              <w:rPr>
                <w:rFonts w:ascii="仿宋" w:eastAsia="仿宋" w:hAnsi="仿宋" w:cs="宋体" w:hint="eastAsia"/>
                <w:b/>
                <w:bCs/>
                <w:color w:val="000000"/>
                <w:kern w:val="0"/>
                <w:sz w:val="20"/>
                <w:szCs w:val="20"/>
              </w:rPr>
              <w:t>得分</w:t>
            </w:r>
          </w:p>
        </w:tc>
      </w:tr>
      <w:tr w:rsidR="00676206">
        <w:trPr>
          <w:trHeight w:val="280"/>
        </w:trPr>
        <w:tc>
          <w:tcPr>
            <w:tcW w:w="425" w:type="pct"/>
            <w:tcBorders>
              <w:top w:val="single" w:sz="4" w:space="0" w:color="000000"/>
              <w:left w:val="single" w:sz="4" w:space="0" w:color="000000"/>
              <w:bottom w:val="single" w:sz="4" w:space="0" w:color="000000"/>
              <w:right w:val="nil"/>
            </w:tcBorders>
            <w:shd w:val="clear" w:color="auto" w:fill="auto"/>
            <w:vAlign w:val="center"/>
          </w:tcPr>
          <w:p w:rsidR="00676206" w:rsidRDefault="00676206">
            <w:pPr>
              <w:widowControl/>
              <w:jc w:val="center"/>
              <w:rPr>
                <w:rFonts w:ascii="仿宋" w:eastAsia="仿宋" w:hAnsi="仿宋" w:cs="宋体"/>
                <w:color w:val="000000"/>
                <w:kern w:val="0"/>
                <w:sz w:val="20"/>
                <w:szCs w:val="20"/>
              </w:rPr>
            </w:pPr>
          </w:p>
        </w:tc>
        <w:tc>
          <w:tcPr>
            <w:tcW w:w="473" w:type="pct"/>
            <w:tcBorders>
              <w:top w:val="single" w:sz="4" w:space="0" w:color="000000"/>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（此空不填）</w:t>
            </w:r>
          </w:p>
        </w:tc>
        <w:tc>
          <w:tcPr>
            <w:tcW w:w="13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（此空不填）</w:t>
            </w:r>
          </w:p>
        </w:tc>
        <w:tc>
          <w:tcPr>
            <w:tcW w:w="1135" w:type="pct"/>
            <w:tcBorders>
              <w:top w:val="single" w:sz="4" w:space="0" w:color="000000"/>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（此空不填）</w:t>
            </w:r>
          </w:p>
        </w:tc>
        <w:tc>
          <w:tcPr>
            <w:tcW w:w="528" w:type="pct"/>
            <w:tcBorders>
              <w:top w:val="single" w:sz="4" w:space="0" w:color="000000"/>
              <w:left w:val="single" w:sz="4" w:space="0" w:color="000000"/>
              <w:bottom w:val="nil"/>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（此空不填）</w:t>
            </w:r>
          </w:p>
        </w:tc>
        <w:tc>
          <w:tcPr>
            <w:tcW w:w="511" w:type="pct"/>
            <w:tcBorders>
              <w:top w:val="single" w:sz="4" w:space="0" w:color="000000"/>
              <w:left w:val="single" w:sz="4" w:space="0" w:color="auto"/>
              <w:bottom w:val="nil"/>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60" w:type="pct"/>
            <w:tcBorders>
              <w:top w:val="single" w:sz="4" w:space="0" w:color="000000"/>
              <w:left w:val="nil"/>
              <w:bottom w:val="nil"/>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97.62</w:t>
            </w:r>
          </w:p>
        </w:tc>
      </w:tr>
      <w:tr w:rsidR="00676206">
        <w:trPr>
          <w:trHeight w:val="280"/>
        </w:trPr>
        <w:tc>
          <w:tcPr>
            <w:tcW w:w="425"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决策</w:t>
            </w: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项目立项</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立项依据充分性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充分</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充分</w:t>
            </w:r>
          </w:p>
        </w:tc>
        <w:tc>
          <w:tcPr>
            <w:tcW w:w="511" w:type="pct"/>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single" w:sz="4" w:space="0" w:color="auto"/>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立项程序规范性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规范</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规范</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绩效目标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绩效目标合理性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合理</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合理</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绩效指标明确性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明确</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明确</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资金投入</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预算编制科学性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科学</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科学</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资金分配合理性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合理</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合理</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455"/>
        </w:trPr>
        <w:tc>
          <w:tcPr>
            <w:tcW w:w="425"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过程</w:t>
            </w: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资金管理</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资金到位率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预算执行率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43.99%</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1.32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资金使用合规性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合规</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合规</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组织实施</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管理制度健全性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健全</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健全</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制度执行有效性</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有效</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有效</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6</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6</w:t>
            </w:r>
          </w:p>
        </w:tc>
      </w:tr>
      <w:tr w:rsidR="00676206">
        <w:trPr>
          <w:trHeight w:val="280"/>
        </w:trPr>
        <w:tc>
          <w:tcPr>
            <w:tcW w:w="425"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产出指标</w:t>
            </w:r>
          </w:p>
        </w:tc>
        <w:tc>
          <w:tcPr>
            <w:tcW w:w="473"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数量指标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市级粮食生产智能装备示范推广基地建设完成率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single" w:sz="4" w:space="0" w:color="000000"/>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“滴滴农机”智慧农机服务平台建设完成率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变型拖拉机报废补助完成率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农机报废更新市级累加补助完成率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“平安农机”示范社建设完成率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“全程机械化+综合农事”服务中心建设</w:t>
            </w:r>
            <w:r>
              <w:rPr>
                <w:rFonts w:ascii="仿宋" w:eastAsia="仿宋" w:hAnsi="仿宋" w:cs="宋体" w:hint="eastAsia"/>
                <w:kern w:val="0"/>
                <w:sz w:val="20"/>
                <w:szCs w:val="20"/>
              </w:rPr>
              <w:lastRenderedPageBreak/>
              <w:t>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lastRenderedPageBreak/>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农机库房和农机维修点建设完成率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特色产业链装备体系发展调研完成率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特色农业装备的研发、改进项目完成率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91.60%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3.67</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粮食烘干中心建设完成率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51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市级蔬菜生产机械化农机装备示范推广基地建设完成率  </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特色农业机械化示范推广基地建设完成率  </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44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绿色环保农机装备与技术应用示范基地建设完成率      </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质量指标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项目质量达标量（率）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nil"/>
              <w:left w:val="single" w:sz="4" w:space="0" w:color="000000"/>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single" w:sz="4" w:space="0" w:color="auto"/>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时效指标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项目完成及时率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28" w:type="pct"/>
            <w:tcBorders>
              <w:top w:val="single" w:sz="4" w:space="0" w:color="auto"/>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93.87%</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6</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5.63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成本指标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单体项目经济效益达标率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≥80%</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≥80%</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vMerge w:val="restar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效益指标</w:t>
            </w: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经济效益指标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引导各类农机化投入额</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＝3000万元</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4070.59万元</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社会效益指标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农业机械化水平增长量</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生态效益指标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主要粮食耕种收机械化率</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≥97%</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97.30%</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r>
      <w:tr w:rsidR="00676206">
        <w:trPr>
          <w:trHeight w:val="280"/>
        </w:trPr>
        <w:tc>
          <w:tcPr>
            <w:tcW w:w="425" w:type="pct"/>
            <w:vMerge/>
            <w:tcBorders>
              <w:top w:val="nil"/>
              <w:left w:val="single" w:sz="4" w:space="0" w:color="000000"/>
              <w:bottom w:val="single" w:sz="4" w:space="0" w:color="000000"/>
              <w:right w:val="single" w:sz="4" w:space="0" w:color="000000"/>
            </w:tcBorders>
            <w:vAlign w:val="center"/>
          </w:tcPr>
          <w:p w:rsidR="00676206" w:rsidRDefault="00676206">
            <w:pPr>
              <w:widowControl/>
              <w:jc w:val="left"/>
              <w:rPr>
                <w:rFonts w:ascii="仿宋" w:eastAsia="仿宋" w:hAnsi="仿宋" w:cs="宋体"/>
                <w:color w:val="000000"/>
                <w:kern w:val="0"/>
                <w:sz w:val="20"/>
                <w:szCs w:val="20"/>
              </w:rPr>
            </w:pP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可持续影响指标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特色农业机械化水平增长量</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3%</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2</w:t>
            </w:r>
          </w:p>
        </w:tc>
      </w:tr>
      <w:tr w:rsidR="00676206">
        <w:trPr>
          <w:trHeight w:val="280"/>
        </w:trPr>
        <w:tc>
          <w:tcPr>
            <w:tcW w:w="425" w:type="pct"/>
            <w:tcBorders>
              <w:top w:val="nil"/>
              <w:left w:val="single" w:sz="4" w:space="0" w:color="000000"/>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满意度指标</w:t>
            </w:r>
          </w:p>
        </w:tc>
        <w:tc>
          <w:tcPr>
            <w:tcW w:w="473" w:type="pct"/>
            <w:tcBorders>
              <w:top w:val="nil"/>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满意度指标</w:t>
            </w:r>
          </w:p>
        </w:tc>
        <w:tc>
          <w:tcPr>
            <w:tcW w:w="1365" w:type="pct"/>
            <w:tcBorders>
              <w:top w:val="single" w:sz="4" w:space="0" w:color="000000"/>
              <w:left w:val="nil"/>
              <w:bottom w:val="single" w:sz="4" w:space="0" w:color="000000"/>
              <w:right w:val="single" w:sz="4" w:space="0" w:color="000000"/>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单体项目服务对象满意度</w:t>
            </w:r>
          </w:p>
        </w:tc>
        <w:tc>
          <w:tcPr>
            <w:tcW w:w="1135" w:type="pct"/>
            <w:tcBorders>
              <w:top w:val="nil"/>
              <w:left w:val="nil"/>
              <w:bottom w:val="single" w:sz="4" w:space="0" w:color="000000"/>
              <w:right w:val="nil"/>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＝90%</w:t>
            </w:r>
          </w:p>
        </w:tc>
        <w:tc>
          <w:tcPr>
            <w:tcW w:w="528" w:type="pct"/>
            <w:tcBorders>
              <w:top w:val="nil"/>
              <w:left w:val="single" w:sz="4" w:space="0" w:color="auto"/>
              <w:bottom w:val="single" w:sz="4" w:space="0" w:color="auto"/>
              <w:right w:val="single" w:sz="4" w:space="0" w:color="auto"/>
            </w:tcBorders>
            <w:shd w:val="clear" w:color="auto" w:fill="auto"/>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100%</w:t>
            </w:r>
          </w:p>
        </w:tc>
        <w:tc>
          <w:tcPr>
            <w:tcW w:w="511"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c>
          <w:tcPr>
            <w:tcW w:w="560" w:type="pct"/>
            <w:tcBorders>
              <w:top w:val="nil"/>
              <w:left w:val="nil"/>
              <w:bottom w:val="single" w:sz="4" w:space="0" w:color="auto"/>
              <w:right w:val="single" w:sz="4" w:space="0" w:color="auto"/>
            </w:tcBorders>
            <w:shd w:val="clear" w:color="auto" w:fill="auto"/>
            <w:noWrap/>
            <w:vAlign w:val="center"/>
          </w:tcPr>
          <w:p w:rsidR="00676206" w:rsidRDefault="0089086D">
            <w:pPr>
              <w:widowControl/>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5</w:t>
            </w:r>
          </w:p>
        </w:tc>
      </w:tr>
    </w:tbl>
    <w:p w:rsidR="00676206" w:rsidRDefault="00676206">
      <w:pPr>
        <w:widowControl/>
        <w:jc w:val="left"/>
        <w:rPr>
          <w:rFonts w:ascii="宋体" w:eastAsia="宋体" w:hAnsi="宋体"/>
          <w:sz w:val="28"/>
          <w:szCs w:val="32"/>
        </w:rPr>
      </w:pPr>
    </w:p>
    <w:sectPr w:rsidR="0067620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7D3" w:rsidRDefault="005537D3">
      <w:r>
        <w:separator/>
      </w:r>
    </w:p>
  </w:endnote>
  <w:endnote w:type="continuationSeparator" w:id="0">
    <w:p w:rsidR="005537D3" w:rsidRDefault="00553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9702796"/>
    </w:sdtPr>
    <w:sdtEndPr/>
    <w:sdtContent>
      <w:p w:rsidR="00676206" w:rsidRDefault="0089086D">
        <w:pPr>
          <w:pStyle w:val="a3"/>
          <w:jc w:val="center"/>
        </w:pPr>
        <w:r>
          <w:fldChar w:fldCharType="begin"/>
        </w:r>
        <w:r>
          <w:instrText>PAGE   \* MERGEFORMAT</w:instrText>
        </w:r>
        <w:r>
          <w:fldChar w:fldCharType="separate"/>
        </w:r>
        <w:r w:rsidR="00E17BAD" w:rsidRPr="00E17BAD">
          <w:rPr>
            <w:noProof/>
            <w:lang w:val="zh-CN"/>
          </w:rPr>
          <w:t>2</w:t>
        </w:r>
        <w:r>
          <w:fldChar w:fldCharType="end"/>
        </w:r>
      </w:p>
    </w:sdtContent>
  </w:sdt>
  <w:p w:rsidR="00676206" w:rsidRDefault="00676206">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7D3" w:rsidRDefault="005537D3">
      <w:r>
        <w:separator/>
      </w:r>
    </w:p>
  </w:footnote>
  <w:footnote w:type="continuationSeparator" w:id="0">
    <w:p w:rsidR="005537D3" w:rsidRDefault="005537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930078"/>
    <w:multiLevelType w:val="singleLevel"/>
    <w:tmpl w:val="DE930078"/>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89E"/>
    <w:rsid w:val="000002EB"/>
    <w:rsid w:val="0002776E"/>
    <w:rsid w:val="000616D1"/>
    <w:rsid w:val="00063822"/>
    <w:rsid w:val="00090200"/>
    <w:rsid w:val="00095466"/>
    <w:rsid w:val="0009559F"/>
    <w:rsid w:val="000D6580"/>
    <w:rsid w:val="00160F0E"/>
    <w:rsid w:val="00177D94"/>
    <w:rsid w:val="00180644"/>
    <w:rsid w:val="001B7481"/>
    <w:rsid w:val="001C7A65"/>
    <w:rsid w:val="001E5D08"/>
    <w:rsid w:val="00236A7A"/>
    <w:rsid w:val="00244C98"/>
    <w:rsid w:val="00263AE0"/>
    <w:rsid w:val="00284BEE"/>
    <w:rsid w:val="002B4085"/>
    <w:rsid w:val="002B4988"/>
    <w:rsid w:val="002D54B6"/>
    <w:rsid w:val="002E18D0"/>
    <w:rsid w:val="00330DC6"/>
    <w:rsid w:val="00333CCC"/>
    <w:rsid w:val="0034664F"/>
    <w:rsid w:val="003B3440"/>
    <w:rsid w:val="003C6C91"/>
    <w:rsid w:val="004130F7"/>
    <w:rsid w:val="00432366"/>
    <w:rsid w:val="00450E91"/>
    <w:rsid w:val="004844F9"/>
    <w:rsid w:val="0048754F"/>
    <w:rsid w:val="0049031E"/>
    <w:rsid w:val="00490D5B"/>
    <w:rsid w:val="004D61CE"/>
    <w:rsid w:val="004E2870"/>
    <w:rsid w:val="00515D55"/>
    <w:rsid w:val="00523DE2"/>
    <w:rsid w:val="00535008"/>
    <w:rsid w:val="005503A0"/>
    <w:rsid w:val="005537D3"/>
    <w:rsid w:val="00593C25"/>
    <w:rsid w:val="00597268"/>
    <w:rsid w:val="005C55B1"/>
    <w:rsid w:val="005D4822"/>
    <w:rsid w:val="005E004D"/>
    <w:rsid w:val="005E4D07"/>
    <w:rsid w:val="00621F72"/>
    <w:rsid w:val="00676206"/>
    <w:rsid w:val="00686AFD"/>
    <w:rsid w:val="006960D6"/>
    <w:rsid w:val="006B5821"/>
    <w:rsid w:val="0071308D"/>
    <w:rsid w:val="0071454C"/>
    <w:rsid w:val="00723330"/>
    <w:rsid w:val="007A05A0"/>
    <w:rsid w:val="007B1766"/>
    <w:rsid w:val="007B786B"/>
    <w:rsid w:val="007C396A"/>
    <w:rsid w:val="007F4F6C"/>
    <w:rsid w:val="00866BD0"/>
    <w:rsid w:val="008758BA"/>
    <w:rsid w:val="0089086D"/>
    <w:rsid w:val="008D0726"/>
    <w:rsid w:val="008F4D87"/>
    <w:rsid w:val="008F5FD4"/>
    <w:rsid w:val="008F6B7F"/>
    <w:rsid w:val="00917D6C"/>
    <w:rsid w:val="00963D36"/>
    <w:rsid w:val="00973A17"/>
    <w:rsid w:val="009A4D67"/>
    <w:rsid w:val="009D048F"/>
    <w:rsid w:val="009D6D71"/>
    <w:rsid w:val="00A134D3"/>
    <w:rsid w:val="00A22985"/>
    <w:rsid w:val="00A23CC0"/>
    <w:rsid w:val="00A54D64"/>
    <w:rsid w:val="00A62559"/>
    <w:rsid w:val="00A717A3"/>
    <w:rsid w:val="00A75B61"/>
    <w:rsid w:val="00A83CBF"/>
    <w:rsid w:val="00A9241D"/>
    <w:rsid w:val="00A94525"/>
    <w:rsid w:val="00A96C43"/>
    <w:rsid w:val="00AA5254"/>
    <w:rsid w:val="00AD03B0"/>
    <w:rsid w:val="00AD6791"/>
    <w:rsid w:val="00AE4559"/>
    <w:rsid w:val="00AF27E7"/>
    <w:rsid w:val="00B219B8"/>
    <w:rsid w:val="00B2514B"/>
    <w:rsid w:val="00B333BE"/>
    <w:rsid w:val="00B36C5F"/>
    <w:rsid w:val="00B657CE"/>
    <w:rsid w:val="00B71BD1"/>
    <w:rsid w:val="00B73C41"/>
    <w:rsid w:val="00B90F44"/>
    <w:rsid w:val="00BA095D"/>
    <w:rsid w:val="00BA2A61"/>
    <w:rsid w:val="00BA3BD2"/>
    <w:rsid w:val="00BF3A4F"/>
    <w:rsid w:val="00C034D5"/>
    <w:rsid w:val="00C2289E"/>
    <w:rsid w:val="00C27EB1"/>
    <w:rsid w:val="00C33CE2"/>
    <w:rsid w:val="00C41C05"/>
    <w:rsid w:val="00C84EE8"/>
    <w:rsid w:val="00CC3892"/>
    <w:rsid w:val="00CD2B69"/>
    <w:rsid w:val="00CF6B9E"/>
    <w:rsid w:val="00D746A2"/>
    <w:rsid w:val="00DC01E5"/>
    <w:rsid w:val="00E03BBB"/>
    <w:rsid w:val="00E14A2A"/>
    <w:rsid w:val="00E17BAD"/>
    <w:rsid w:val="00E21E87"/>
    <w:rsid w:val="00E669C2"/>
    <w:rsid w:val="00E91914"/>
    <w:rsid w:val="00E94909"/>
    <w:rsid w:val="00E94DB2"/>
    <w:rsid w:val="00EC20E2"/>
    <w:rsid w:val="00EE1F0F"/>
    <w:rsid w:val="00EE3433"/>
    <w:rsid w:val="00F02EA7"/>
    <w:rsid w:val="00F12EEA"/>
    <w:rsid w:val="00F14002"/>
    <w:rsid w:val="00F327FD"/>
    <w:rsid w:val="00F64569"/>
    <w:rsid w:val="00F84C6E"/>
    <w:rsid w:val="071C18EF"/>
    <w:rsid w:val="20B11C14"/>
    <w:rsid w:val="2ACC66B4"/>
    <w:rsid w:val="2D3A2871"/>
    <w:rsid w:val="35575E49"/>
    <w:rsid w:val="3F95344C"/>
    <w:rsid w:val="4BCF2B77"/>
    <w:rsid w:val="57CF45CB"/>
    <w:rsid w:val="6A7C4ACE"/>
    <w:rsid w:val="7356040B"/>
    <w:rsid w:val="7A65616A"/>
    <w:rsid w:val="7E921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line="560" w:lineRule="exact"/>
      <w:ind w:firstLineChars="200" w:firstLine="200"/>
      <w:outlineLvl w:val="0"/>
    </w:pPr>
    <w:rPr>
      <w:rFonts w:eastAsia="宋体"/>
      <w:b/>
      <w:bCs/>
      <w:kern w:val="44"/>
      <w:sz w:val="32"/>
      <w:szCs w:val="44"/>
    </w:rPr>
  </w:style>
  <w:style w:type="paragraph" w:styleId="2">
    <w:name w:val="heading 2"/>
    <w:basedOn w:val="a"/>
    <w:next w:val="a"/>
    <w:link w:val="2Char"/>
    <w:uiPriority w:val="9"/>
    <w:unhideWhenUsed/>
    <w:qFormat/>
    <w:pPr>
      <w:keepNext/>
      <w:keepLines/>
      <w:spacing w:line="560" w:lineRule="exact"/>
      <w:ind w:firstLineChars="200" w:firstLine="200"/>
      <w:outlineLvl w:val="1"/>
    </w:pPr>
    <w:rPr>
      <w:rFonts w:asciiTheme="majorHAnsi" w:eastAsia="宋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cs="Times New Roman"/>
      <w:kern w:val="0"/>
      <w:sz w:val="22"/>
    </w:rPr>
  </w:style>
  <w:style w:type="paragraph" w:styleId="20">
    <w:name w:val="toc 2"/>
    <w:basedOn w:val="a"/>
    <w:next w:val="a"/>
    <w:uiPriority w:val="39"/>
    <w:unhideWhenUsed/>
    <w:qFormat/>
    <w:pPr>
      <w:widowControl/>
      <w:tabs>
        <w:tab w:val="right" w:leader="dot" w:pos="8296"/>
      </w:tabs>
      <w:spacing w:after="100" w:line="420" w:lineRule="exact"/>
      <w:ind w:left="221"/>
      <w:jc w:val="left"/>
    </w:pPr>
    <w:rPr>
      <w:rFonts w:cs="Times New Roman"/>
      <w:kern w:val="0"/>
      <w:sz w:val="22"/>
    </w:rPr>
  </w:style>
  <w:style w:type="character" w:styleId="a5">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6">
    <w:name w:val="闻政页码"/>
    <w:uiPriority w:val="6"/>
    <w:qFormat/>
    <w:pPr>
      <w:jc w:val="center"/>
    </w:pPr>
    <w:rPr>
      <w:rFonts w:ascii="Times New Roman" w:eastAsia="Times New Roman" w:hAnsi="Times New Roman" w:cs="Times New Roman"/>
      <w:sz w:val="21"/>
      <w:szCs w:val="28"/>
    </w:rPr>
  </w:style>
  <w:style w:type="paragraph" w:customStyle="1" w:styleId="a7">
    <w:name w:val="南京封面内容"/>
    <w:basedOn w:val="a"/>
    <w:link w:val="a8"/>
    <w:qFormat/>
    <w:pPr>
      <w:widowControl/>
      <w:spacing w:line="360" w:lineRule="auto"/>
      <w:jc w:val="center"/>
    </w:pPr>
    <w:rPr>
      <w:rFonts w:ascii="宋体" w:eastAsia="仿宋" w:hAnsi="宋体" w:cs="宋体"/>
      <w:b/>
      <w:kern w:val="0"/>
      <w:sz w:val="28"/>
      <w:szCs w:val="28"/>
    </w:rPr>
  </w:style>
  <w:style w:type="character" w:customStyle="1" w:styleId="a8">
    <w:name w:val="南京封面内容 字符"/>
    <w:basedOn w:val="a0"/>
    <w:link w:val="a7"/>
    <w:qFormat/>
    <w:rPr>
      <w:rFonts w:ascii="宋体" w:eastAsia="仿宋" w:hAnsi="宋体" w:cs="宋体"/>
      <w:b/>
      <w:kern w:val="0"/>
      <w:sz w:val="28"/>
      <w:szCs w:val="28"/>
    </w:rPr>
  </w:style>
  <w:style w:type="character" w:customStyle="1" w:styleId="1Char">
    <w:name w:val="标题 1 Char"/>
    <w:basedOn w:val="a0"/>
    <w:link w:val="1"/>
    <w:uiPriority w:val="9"/>
    <w:qFormat/>
    <w:rPr>
      <w:rFonts w:eastAsia="宋体"/>
      <w:b/>
      <w:bCs/>
      <w:kern w:val="44"/>
      <w:sz w:val="32"/>
      <w:szCs w:val="44"/>
    </w:rPr>
  </w:style>
  <w:style w:type="paragraph" w:customStyle="1" w:styleId="TOC1">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2Char">
    <w:name w:val="标题 2 Char"/>
    <w:basedOn w:val="a0"/>
    <w:link w:val="2"/>
    <w:uiPriority w:val="9"/>
    <w:qFormat/>
    <w:rPr>
      <w:rFonts w:asciiTheme="majorHAnsi" w:eastAsia="宋体" w:hAnsiTheme="majorHAnsi" w:cstheme="majorBidi"/>
      <w:b/>
      <w:bCs/>
      <w:sz w:val="28"/>
      <w:szCs w:val="32"/>
    </w:rPr>
  </w:style>
  <w:style w:type="paragraph" w:customStyle="1" w:styleId="11">
    <w:name w:val="修订1"/>
    <w:hidden/>
    <w:uiPriority w:val="99"/>
    <w:unhideWhenUsed/>
    <w:qFormat/>
    <w:rPr>
      <w:kern w:val="2"/>
      <w:sz w:val="21"/>
      <w:szCs w:val="22"/>
    </w:rPr>
  </w:style>
  <w:style w:type="paragraph" w:styleId="a9">
    <w:name w:val="Balloon Text"/>
    <w:basedOn w:val="a"/>
    <w:link w:val="Char1"/>
    <w:uiPriority w:val="99"/>
    <w:semiHidden/>
    <w:unhideWhenUsed/>
    <w:rsid w:val="00E17BAD"/>
    <w:rPr>
      <w:sz w:val="18"/>
      <w:szCs w:val="18"/>
    </w:rPr>
  </w:style>
  <w:style w:type="character" w:customStyle="1" w:styleId="Char1">
    <w:name w:val="批注框文本 Char"/>
    <w:basedOn w:val="a0"/>
    <w:link w:val="a9"/>
    <w:uiPriority w:val="99"/>
    <w:semiHidden/>
    <w:rsid w:val="00E17BA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line="560" w:lineRule="exact"/>
      <w:ind w:firstLineChars="200" w:firstLine="200"/>
      <w:outlineLvl w:val="0"/>
    </w:pPr>
    <w:rPr>
      <w:rFonts w:eastAsia="宋体"/>
      <w:b/>
      <w:bCs/>
      <w:kern w:val="44"/>
      <w:sz w:val="32"/>
      <w:szCs w:val="44"/>
    </w:rPr>
  </w:style>
  <w:style w:type="paragraph" w:styleId="2">
    <w:name w:val="heading 2"/>
    <w:basedOn w:val="a"/>
    <w:next w:val="a"/>
    <w:link w:val="2Char"/>
    <w:uiPriority w:val="9"/>
    <w:unhideWhenUsed/>
    <w:qFormat/>
    <w:pPr>
      <w:keepNext/>
      <w:keepLines/>
      <w:spacing w:line="560" w:lineRule="exact"/>
      <w:ind w:firstLineChars="200" w:firstLine="200"/>
      <w:outlineLvl w:val="1"/>
    </w:pPr>
    <w:rPr>
      <w:rFonts w:asciiTheme="majorHAnsi" w:eastAsia="宋体" w:hAnsiTheme="majorHAnsi"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cs="Times New Roman"/>
      <w:kern w:val="0"/>
      <w:sz w:val="22"/>
    </w:rPr>
  </w:style>
  <w:style w:type="paragraph" w:styleId="20">
    <w:name w:val="toc 2"/>
    <w:basedOn w:val="a"/>
    <w:next w:val="a"/>
    <w:uiPriority w:val="39"/>
    <w:unhideWhenUsed/>
    <w:qFormat/>
    <w:pPr>
      <w:widowControl/>
      <w:tabs>
        <w:tab w:val="right" w:leader="dot" w:pos="8296"/>
      </w:tabs>
      <w:spacing w:after="100" w:line="420" w:lineRule="exact"/>
      <w:ind w:left="221"/>
      <w:jc w:val="left"/>
    </w:pPr>
    <w:rPr>
      <w:rFonts w:cs="Times New Roman"/>
      <w:kern w:val="0"/>
      <w:sz w:val="22"/>
    </w:rPr>
  </w:style>
  <w:style w:type="character" w:styleId="a5">
    <w:name w:val="Hyperlink"/>
    <w:basedOn w:val="a0"/>
    <w:uiPriority w:val="99"/>
    <w:unhideWhenUsed/>
    <w:qFormat/>
    <w:rPr>
      <w:color w:val="0563C1" w:themeColor="hyperlink"/>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a6">
    <w:name w:val="闻政页码"/>
    <w:uiPriority w:val="6"/>
    <w:qFormat/>
    <w:pPr>
      <w:jc w:val="center"/>
    </w:pPr>
    <w:rPr>
      <w:rFonts w:ascii="Times New Roman" w:eastAsia="Times New Roman" w:hAnsi="Times New Roman" w:cs="Times New Roman"/>
      <w:sz w:val="21"/>
      <w:szCs w:val="28"/>
    </w:rPr>
  </w:style>
  <w:style w:type="paragraph" w:customStyle="1" w:styleId="a7">
    <w:name w:val="南京封面内容"/>
    <w:basedOn w:val="a"/>
    <w:link w:val="a8"/>
    <w:qFormat/>
    <w:pPr>
      <w:widowControl/>
      <w:spacing w:line="360" w:lineRule="auto"/>
      <w:jc w:val="center"/>
    </w:pPr>
    <w:rPr>
      <w:rFonts w:ascii="宋体" w:eastAsia="仿宋" w:hAnsi="宋体" w:cs="宋体"/>
      <w:b/>
      <w:kern w:val="0"/>
      <w:sz w:val="28"/>
      <w:szCs w:val="28"/>
    </w:rPr>
  </w:style>
  <w:style w:type="character" w:customStyle="1" w:styleId="a8">
    <w:name w:val="南京封面内容 字符"/>
    <w:basedOn w:val="a0"/>
    <w:link w:val="a7"/>
    <w:qFormat/>
    <w:rPr>
      <w:rFonts w:ascii="宋体" w:eastAsia="仿宋" w:hAnsi="宋体" w:cs="宋体"/>
      <w:b/>
      <w:kern w:val="0"/>
      <w:sz w:val="28"/>
      <w:szCs w:val="28"/>
    </w:rPr>
  </w:style>
  <w:style w:type="character" w:customStyle="1" w:styleId="1Char">
    <w:name w:val="标题 1 Char"/>
    <w:basedOn w:val="a0"/>
    <w:link w:val="1"/>
    <w:uiPriority w:val="9"/>
    <w:qFormat/>
    <w:rPr>
      <w:rFonts w:eastAsia="宋体"/>
      <w:b/>
      <w:bCs/>
      <w:kern w:val="44"/>
      <w:sz w:val="32"/>
      <w:szCs w:val="44"/>
    </w:rPr>
  </w:style>
  <w:style w:type="paragraph" w:customStyle="1" w:styleId="TOC1">
    <w:name w:val="TOC 标题1"/>
    <w:basedOn w:val="1"/>
    <w:next w:val="a"/>
    <w:uiPriority w:val="39"/>
    <w:unhideWhenUsed/>
    <w:qFormat/>
    <w:pPr>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2Char">
    <w:name w:val="标题 2 Char"/>
    <w:basedOn w:val="a0"/>
    <w:link w:val="2"/>
    <w:uiPriority w:val="9"/>
    <w:qFormat/>
    <w:rPr>
      <w:rFonts w:asciiTheme="majorHAnsi" w:eastAsia="宋体" w:hAnsiTheme="majorHAnsi" w:cstheme="majorBidi"/>
      <w:b/>
      <w:bCs/>
      <w:sz w:val="28"/>
      <w:szCs w:val="32"/>
    </w:rPr>
  </w:style>
  <w:style w:type="paragraph" w:customStyle="1" w:styleId="11">
    <w:name w:val="修订1"/>
    <w:hidden/>
    <w:uiPriority w:val="99"/>
    <w:unhideWhenUsed/>
    <w:qFormat/>
    <w:rPr>
      <w:kern w:val="2"/>
      <w:sz w:val="21"/>
      <w:szCs w:val="22"/>
    </w:rPr>
  </w:style>
  <w:style w:type="paragraph" w:styleId="a9">
    <w:name w:val="Balloon Text"/>
    <w:basedOn w:val="a"/>
    <w:link w:val="Char1"/>
    <w:uiPriority w:val="99"/>
    <w:semiHidden/>
    <w:unhideWhenUsed/>
    <w:rsid w:val="00E17BAD"/>
    <w:rPr>
      <w:sz w:val="18"/>
      <w:szCs w:val="18"/>
    </w:rPr>
  </w:style>
  <w:style w:type="character" w:customStyle="1" w:styleId="Char1">
    <w:name w:val="批注框文本 Char"/>
    <w:basedOn w:val="a0"/>
    <w:link w:val="a9"/>
    <w:uiPriority w:val="99"/>
    <w:semiHidden/>
    <w:rsid w:val="00E17BA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B3FD9-CC09-4172-93F8-99416A42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1311</Words>
  <Characters>7478</Characters>
  <Application>Microsoft Office Word</Application>
  <DocSecurity>0</DocSecurity>
  <Lines>62</Lines>
  <Paragraphs>17</Paragraphs>
  <ScaleCrop>false</ScaleCrop>
  <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YQL</dc:creator>
  <cp:lastModifiedBy>lenovo1</cp:lastModifiedBy>
  <cp:revision>26</cp:revision>
  <cp:lastPrinted>2023-06-30T09:50:00Z</cp:lastPrinted>
  <dcterms:created xsi:type="dcterms:W3CDTF">2023-06-25T02:57:00Z</dcterms:created>
  <dcterms:modified xsi:type="dcterms:W3CDTF">2023-09-13T01:02:00Z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60223C6F21914D40B396B5F1EAB6DE62</vt:lpwstr>
  </property>
</Properties>
</file>