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南京市农业综合行政执法总队</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贯彻执行国家、省市有关农业方面的法律法规和规章；以市农业农村局名义在中心城区依法集中行使兽医兽药、种子、化肥、农药、渔业、农机、农产品质量等行政处罚以及与行政处罚相关的行政检查、行政强制等执法职能；组织协调全市跨区域和重大复杂案件的查处；负责全市农业综合行政执法体系建设、市本级农业执法队伍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根据单位职责分工，本单位内设机构包括：办公室、执法监督支队、一支队、二支队、三支队、总队党总支。本单位无下属单位。</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一、聚焦重点领域执法，护航高质量发展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开展渔政执法专项行动。深入落实长江“十年禁渔”部署，紧盯长江干流、交界水域和水生生物保护区等重点区域，联合公安、市场监管等部门，组织开展“中国渔政亮剑2024”、春季护鱼、冬季禁捕等专项行动，巩固提升退捕禁捕成果，推动长江经济带绿色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开展农产品质量安全专项执法行动。以种植产品、畜禽产品、水产品为重点，针对农产品种植养殖过程中质量安全管控不规范、违法使用禁、限用药物和超范围、超频次不规范使用农药兽药导致残留超标等重点问题开展专项检查，持续抓好水产品质量安全专项整治，确保广大群众“舌尖上的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开展农资打假专项治理行动。根据我市农资生产、经营特点，开展农资打假保春耕、“夏季百日”、种子执法、卫生用农药整治、网络平台经营兽药等专项治理行动，重点打击“白皮袋”种子、生产经营假劣农资、无证生产经营、未审先推、非法添加、违禁使用等违法行为。保障农业生产安全、粮食和重要农产品安全供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开展动物防疫专项执法行动。深入畜禽养殖场、屠宰场、畜禽运输检查站、动物诊疗机构和无害化处理场所等重点场所，依法严厉打击不按规定对实施免疫的动物加施畜禽标识等行为,切实保障我市畜禽产品质量安全和公共卫生安全，持续推进全市养殖业和动物诊疗行业健康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开展“铁牛卫士”农机安全执法专项行动。突出夏秋农忙等重点时段，持续开展“铁牛卫士”专项执法行动，盯牢拖拉机违法载人等重大安全风险防控，加大对拖拉机运输机组的联合执法检查和违法打击力度。探索开展对农机维修经营单位拼装改装行为和无证操作农用无人驾驶航空器作业行为的执法查处，确保农机生产作业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二、聚焦队伍建设，夯实执法根基。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1.优化执法培训。坚持以学促干目标导向，巩固深化“四式”培训模式，紧贴业务实际，分层级分领域分专题推进执法基础、专业提升集中轮训和专题培训，确保全市执法人员培训全覆盖。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2.强化市区结对指导。定期交流经验、研究分析问题、加强考核评估，促进市区两级执法人员执法能力再提升，在全市范围内遴选更多执法优秀案卷和典型案例，培养更多的办案能手和业务骨干。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3.实化练兵比武。坚持紧贴实际、突出实战、讲究实用、注重实效的原则，把执法一线实践锻炼作为提升执法人员“提笔能写、开口能说、遇事能办”工作能力的有效途径，常态化开展执法练兵、技能竞赛活动。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4.深化专题研讨。建立完善全市农业综合执法专家库，紧盯执法重点领域开展“以案释法”，通过“沉浸式”案例交流学习，促进执法人员更准确理解法律法规、更全面掌握执法技能、更高效破解执法难题。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聚焦民生实事，提升服务效能:创新开展普法宣传。积极探索新方法、新途径、新载体，传统媒体与新媒体共同发力、线上与线下充分结合，打造宣传“矩阵”，延伸宣传“触角”，实现宣传教育“横到边、纵到底、全覆盖、无缝隙”，营造全社会关注支持农业执法工作的浓厚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聚焦执法规范，助推基层治理:加强执法制度建设。研究制定总队行政执法过错责任追究和案源管理制度、农业行政执法检查和处罚工作要点指引，量化行政处罚标准和条件，细化行刑衔接标准和程序，进一步规范执法行为，提高工作效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2024年是中华人民共和国成立75周年，是实现“十四五”规划目标任务的关键一年。农业综合行政执法工作将以习近平新时代中国特色社会主义思想为指导，深入学习贯彻习近平总书记关于“三农”工作重要论述，全面贯彻落实中央、省委、市委农村工作会议精神，按照市农业农村局关于农业执法工作的安排部署，锚定建设都市现代农业强市目标，学习运用“千万工程”经验，以“执法质量提升年”为抓手，坚定不移推进党的建设，全力以赴服务发展大局，持之以恒强化执法监管，从严从实建设过硬队伍，为推进乡村全面振兴、加快都市现代农业强市建设提供坚实法治保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南京市农业综合行政执法总队</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南京市农业综合行政执法总队</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2,631.01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252.84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1,655.58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722.59</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2,631.01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2,631.01</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2,631.01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2,631.01</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南京市农业综合行政执法总队</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2,631.01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2,631.01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2,631.01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南京市农业综合行政执法总队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2,631.01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2,631.01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2,631.01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南京市农业综合行政执法总队</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2,631.01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2,365.01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1,655.58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1,655.58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722.59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722.59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南京市农业综合行政执法总队</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2,631.01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2,631.01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2,631.01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252.84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1,655.58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722.59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2,631.01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2,631.01</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南京市农业综合行政执法总队</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2,631.01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2,365.01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2,167.45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197.56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1,655.58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1,389.58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191.96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1,655.58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1,389.58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191.96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1,389.58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1,389.58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191.96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722.59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南京市农业综合行政执法总队</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2,365.01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2,167.45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1,945.58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1,945.58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南京市农业综合行政执法总队</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2,631.01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2,365.01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2,167.45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197.56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1,655.58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191.96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1,655.58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191.96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191.96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722.59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722.59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722.59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南京市农业综合行政执法总队</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2,365.01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2,167.45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1,945.58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1,945.58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732.41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南京市农业综合行政执法总队</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13.05</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9.22</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3.83</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南京市农业综合行政执法总队</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南京市农业综合行政执法总队</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南京市农业综合行政执法总队</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专用材料费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41.35</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南京市农业综合行政执法总队</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南京市农业综合行政执法总队2024年度收入、支出预算总计2,631.01万元，与上年相比收、支预算总计各增加17.18万元，增长0.66%。其中：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（一）收入预算总计2,631.01万元。包括：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1．本年收入合计2,631.01万元。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（1）一般公共预算拨款收入2,631.01万元，与上年相比增加17.18万元，增长0.66%。主要原因是2023年10月新进人员2人,2024年增加新进人员全年度人员工资福利与商品服务支出等。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（二）支出预算总计2,631.01万元。包括：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1．本年支出合计2,631.01万元。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252.84万元，主要用于主要用于在编人员养老保险职业年金及医疗保险金。与上年相比增加78.16万元，增长44.74%。主要原因是2023年10月新进人员2人,2024年增加新进人员全年养老保险职业年金及医疗保险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1,655.58万元，主要用于主要用于人员工资福利支出、商品和服务支出、对个人和家庭的补助支出、部门预算项目支出。与上年相比减少58.1万元，减少3.39%。主要原因是响应财政过紧日子要求，项目资金进行压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（3）住房保障支出（类）支出722.59万元，主要用于主要用于职工住房公积金、逐月住房补贴、退休人员提租补贴。与上年相比减少2.88万元，减少0.4%。主要原因是2023年末新增退休人员2人，相关支出有所减少。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南京市农业综合行政执法总队2024年收入预算合计2,631.01万元，包括本年收入2,631.01万元，上年结转结余0万元。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本年一般公共预算收入2,631.01万元，占100%；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南京市农业综合行政执法总队2024年支出预算合计2,631.01万元，其中：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基本支出2,365.01万元，占89.89%；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项目支出266万元，占10.11%；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度财政拨款收、支总预算2,631.01万元。与上年相比，财政拨款收、支总计各增加17.18万元，增长0.66%。主要原因是2023年10月新进人员2人,2024年增加新进人员全年度人员工资福利与商品服务支出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财政拨款预算支出2,631.01万元，占本年支出合计的100%。与上年相比，财政拨款支出增加17.18万元，增长0.66%。主要原因是2023年10月新进人员2人,2024年增加新进人员全年度人员工资福利与商品服务支出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1.行政事业单位养老支出（款）行政单位离退休（项）支出37.38万元，与上年相比增加5.79万元，增长18.33%。主要原因是2023年10月新进人员2人,2024年增加新进人员全年度人员工资福利与商品服务支出等。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143.64万元，与上年相比增加48.25万元，增长50.58%。主要原因是2023年当年调离一人，10月新进人员2人，2024年增加新进人员全年养老保险金；养老保险金基数调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71.82万元，与上年相比增加24.12万元，增长50.57%。主要原因是2023年当年调离一人，10月新进人员2人，2024年增加新进人员全年职业年金；职业年金基数调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1.农业农村（款）事业运行（项）支出1,389.58万元，与上年相比增加8.5万元，增长0.62%。主要原因是2023年10月新进人员2人,2024年增加新进人员全年度人员工资福利与商品服务支出等。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2.农业农村（款）执法监管（项）支出266万元，与上年相比减少66.6万元，减少20.02%。主要原因是响应财政过紧日子要求，项目资金进行压减。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1.住房改革支出（款）住房公积金（项）支出185.31万元，与上年相比减少5.95万元，减少3.11%。主要原因是2023年11月新增退休人员2人，2024年相关支出减少。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2.住房改革支出（款）提租补贴（项）支出537.28万元，与上年相比增加3.07万元，增长0.57%。主要原因是2023年10月新进人员2人,2024年增加新进人员全年度提租补贴。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南京市农业综合行政执法总队2024年度财政拨款基本支出预算2,365.01万元，其中：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2,167.45万元。主要包括：基本工资、津贴补贴、奖金、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197.56万元。主要包括：办公费、印刷费、水费、电费、邮电费、差旅费、维修（护）费、会议费、培训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南京市农业综合行政执法总队2024年一般公共预算财政拨款支出预算2,631.01万元，与上年相比增加17.18万元，增长0.66%。主要原因是2023年10月新进人员2人,2024年增加新进人员全年度人员工资福利与商品服务支出等。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南京市农业综合行政执法总队2024年度一般公共预算财政拨款基本支出预算2,365.01万元，其中：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2,167.45万元。主要包括：基本工资、津贴补贴、奖金、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197.56万元。主要包括：办公费、印刷费、水费、电费、邮电费、差旅费、维修（护）费、会议费、培训费、公务接待费、专用材料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度一般公共预算拨款安排的“三公”经费支出预算13.05万元，与上年预算数相同。其中，因公出国（境）费支出0万元，占“三公”经费的0%；公务用车购置及运行维护费支出9.22万元，占“三公”经费的70.65%；公务接待费支出3.83万元，占“三公”经费的29.35%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2．公务用车购置及运行维护费预算支出9.22万元。其中：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（2）公务用车运行维护费预算支出9.22万元，与上年预算数相同。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3．公务接待费预算支出3.83万元，与上年预算数相同。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南京市农业综合行政执法总队2024年度一般公共预算拨款安排的会议费预算支出5万元，与上年预算数相同。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南京市农业综合行政执法总队2024年度一般公共预算拨款安排的培训费预算支出5万元，比上年预算增加1万元，主要原因是2024年加大执法队伍建设，新增培训费在财政核定额度以内。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南京市农业综合行政执法总队2024年国有资本经营预算支出0万元。与上年预算数相同。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2024年本单位一般公共预算机关运行经费预算支出197.56万元，与上年相比减少2.39万元，减少1.2%。主要原因是2023年调离1人，相关支出额度减少。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3辆，其中，副部（省）级及以上领导用车0辆、主要领导干部用车0辆、机要通信用车0辆、应急保障用车0辆、执法执勤用车2辆、特种专业技术用车1辆、离退休干部用车0辆，其他用车0辆；单价50万元（含）以上的通用设备0台（套），单价100万元（含）以上的专用设备3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2,631.01万元；本单位共6个项目纳入绩效目标管理，涉及财政性资金合计266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八、社会保障和就业支出(类)行政事业单位养老支出(款)行政单位离退休(项)</w:t>
      </w:r>
      <w:r>
        <w:rPr>
          <w:rFonts w:ascii="仿宋" w:hAnsi="仿宋" w:cs="仿宋" w:eastAsia="仿宋"/>
          <w:b w:val="true"/>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十二、农林水支出(类)农业农村(款)执法监管(项)</w:t>
      </w:r>
      <w:r>
        <w:rPr>
          <w:rFonts w:ascii="仿宋" w:hAnsi="仿宋" w:cs="仿宋" w:eastAsia="仿宋"/>
          <w:b w:val="true"/>
        </w:rPr>
        <w:t>：</w:t>
      </w:r>
      <w:r>
        <w:rPr>
          <w:rFonts w:hint="eastAsia" w:ascii="仿宋" w:hAnsi="仿宋" w:eastAsia="仿宋" w:cs="仿宋"/>
        </w:rPr>
        <w:t>反映用于农业农村法制建设、行政执法、行政复议、行政诉讼等方面的支出。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南京市农业综合行政执法总队</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