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176A4B">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南京市耕地质量保护站</w:t>
            </w:r>
            <w:r>
              <w:rPr>
                <w:rFonts w:ascii="宋体" w:eastAsia="宋体" w:hAnsi="宋体" w:cs="宋体"/>
                <w:b/>
                <w:sz w:val="52"/>
              </w:rPr>
              <w:t xml:space="preserve"> </w:t>
            </w:r>
            <w:r>
              <w:rPr>
                <w:rFonts w:ascii="宋体" w:eastAsia="宋体" w:hAnsi="宋体" w:cs="宋体"/>
                <w:b/>
                <w:sz w:val="52"/>
              </w:rPr>
              <w:br/>
            </w:r>
            <w:r>
              <w:rPr>
                <w:rFonts w:ascii="宋体" w:eastAsia="宋体" w:hAnsi="宋体" w:cs="宋体"/>
                <w:b/>
                <w:sz w:val="52"/>
              </w:rPr>
              <w:t>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8"/>
          <w:headerReference w:type="first" r:id="rId9"/>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176A4B">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176A4B">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176A4B">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176A4B">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176A4B">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176A4B">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176A4B">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176A4B">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176A4B">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176A4B">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176A4B">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176A4B">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176A4B">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176A4B">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176A4B">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176A4B">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176A4B">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176A4B">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176A4B">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176A4B">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0"/>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176A4B">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176A4B">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176A4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承担全市基本农田质量及耕地土壤环境质量监测；开展土壤肥料技术培训、试验、示范和推广服务，以及肥料登记管理相关技术性工作；承担基本农田地力建设及治理修复技术指导与分等级工作；承担农田水利建设和农田整治项目管理事务性工作。</w:t>
      </w:r>
    </w:p>
    <w:p w:rsidR="006E012F" w:rsidRPr="00CF349C" w:rsidRDefault="00176A4B">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176A4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本单位内设机构包括</w:t>
      </w:r>
      <w:r>
        <w:rPr>
          <w:rFonts w:ascii="仿宋" w:eastAsia="仿宋" w:hAnsi="仿宋" w:cs="仿宋"/>
        </w:rPr>
        <w:t>本单位有内设机构：按照单位工作职责，技术工作上分设土壤科、肥料科和综合科三个科室；党群工作上有独立的站党支部和站工会组织。本单位无下属单位。</w:t>
      </w:r>
    </w:p>
    <w:p w:rsidR="006E012F" w:rsidRDefault="00176A4B">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176A4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我单位认真落实中央和省市有关</w:t>
      </w:r>
      <w:r>
        <w:rPr>
          <w:rFonts w:ascii="仿宋" w:eastAsia="仿宋" w:hAnsi="仿宋" w:cs="仿宋"/>
        </w:rPr>
        <w:t>“</w:t>
      </w:r>
      <w:r>
        <w:rPr>
          <w:rFonts w:ascii="仿宋" w:eastAsia="仿宋" w:hAnsi="仿宋" w:cs="仿宋"/>
        </w:rPr>
        <w:t>三农</w:t>
      </w:r>
      <w:r>
        <w:rPr>
          <w:rFonts w:ascii="仿宋" w:eastAsia="仿宋" w:hAnsi="仿宋" w:cs="仿宋"/>
        </w:rPr>
        <w:t>”</w:t>
      </w:r>
      <w:r>
        <w:rPr>
          <w:rFonts w:ascii="仿宋" w:eastAsia="仿宋" w:hAnsi="仿宋" w:cs="仿宋"/>
        </w:rPr>
        <w:t>工作决策部署，按照</w:t>
      </w:r>
      <w:r>
        <w:rPr>
          <w:rFonts w:ascii="仿宋" w:eastAsia="仿宋" w:hAnsi="仿宋" w:cs="仿宋"/>
        </w:rPr>
        <w:t>“</w:t>
      </w:r>
      <w:r>
        <w:rPr>
          <w:rFonts w:ascii="仿宋" w:eastAsia="仿宋" w:hAnsi="仿宋" w:cs="仿宋"/>
        </w:rPr>
        <w:t>保产能、保质量、保生态</w:t>
      </w:r>
      <w:r>
        <w:rPr>
          <w:rFonts w:ascii="仿宋" w:eastAsia="仿宋" w:hAnsi="仿宋" w:cs="仿宋"/>
        </w:rPr>
        <w:t>”</w:t>
      </w:r>
      <w:r>
        <w:rPr>
          <w:rFonts w:ascii="仿宋" w:eastAsia="仿宋" w:hAnsi="仿宋" w:cs="仿宋"/>
        </w:rPr>
        <w:t>的总体思路，扎实开展化肥减量增效、耕地质量提升、耕地质量综合监测以及土肥技术指导等工作，全市耕地质量等级稳中有升，主要农作物化肥使用总量和使用强度持续负增长。</w:t>
      </w:r>
    </w:p>
    <w:p w:rsidR="006E012F" w:rsidRDefault="00176A4B">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2023</w:t>
      </w:r>
      <w:r>
        <w:rPr>
          <w:rFonts w:ascii="仿宋" w:eastAsia="仿宋" w:hAnsi="仿宋" w:cs="仿宋"/>
        </w:rPr>
        <w:t>年我单位完成的业务工作包括：</w:t>
      </w:r>
      <w:r>
        <w:rPr>
          <w:rFonts w:ascii="仿宋" w:eastAsia="仿宋" w:hAnsi="仿宋" w:cs="仿宋"/>
        </w:rPr>
        <w:t>1.</w:t>
      </w:r>
      <w:r>
        <w:rPr>
          <w:rFonts w:ascii="仿宋" w:eastAsia="仿宋" w:hAnsi="仿宋" w:cs="仿宋"/>
        </w:rPr>
        <w:t>积极创新探索，深入开展化肥减量增效工作。主要包括夯实测土</w:t>
      </w:r>
      <w:r>
        <w:rPr>
          <w:rFonts w:ascii="仿宋" w:eastAsia="仿宋" w:hAnsi="仿宋" w:cs="仿宋"/>
        </w:rPr>
        <w:t>配方施肥技术基础，提档升级测土配方施肥，扩大沿江</w:t>
      </w:r>
      <w:r>
        <w:rPr>
          <w:rFonts w:ascii="仿宋" w:eastAsia="仿宋" w:hAnsi="仿宋" w:cs="仿宋"/>
        </w:rPr>
        <w:t>5</w:t>
      </w:r>
      <w:r>
        <w:rPr>
          <w:rFonts w:ascii="仿宋" w:eastAsia="仿宋" w:hAnsi="仿宋" w:cs="仿宋"/>
        </w:rPr>
        <w:t>公里化肥限量试点范围，加强</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技术示范。</w:t>
      </w:r>
      <w:r>
        <w:rPr>
          <w:rFonts w:ascii="仿宋" w:eastAsia="仿宋" w:hAnsi="仿宋" w:cs="仿宋"/>
        </w:rPr>
        <w:t>2.</w:t>
      </w:r>
      <w:r>
        <w:rPr>
          <w:rFonts w:ascii="仿宋" w:eastAsia="仿宋" w:hAnsi="仿宋" w:cs="仿宋"/>
        </w:rPr>
        <w:t>夯实基础工作，持续加强耕地监测与评价。主要包括加强全市耕地质量监测工作，实时监测</w:t>
      </w:r>
      <w:r>
        <w:rPr>
          <w:rFonts w:ascii="仿宋" w:eastAsia="仿宋" w:hAnsi="仿宋" w:cs="仿宋"/>
        </w:rPr>
        <w:t>35</w:t>
      </w:r>
      <w:r>
        <w:rPr>
          <w:rFonts w:ascii="仿宋" w:eastAsia="仿宋" w:hAnsi="仿宋" w:cs="仿宋"/>
        </w:rPr>
        <w:t>个土壤墒</w:t>
      </w:r>
      <w:r>
        <w:rPr>
          <w:rFonts w:ascii="仿宋" w:eastAsia="仿宋" w:hAnsi="仿宋" w:cs="仿宋"/>
        </w:rPr>
        <w:lastRenderedPageBreak/>
        <w:t>情动态变化，发布</w:t>
      </w:r>
      <w:r>
        <w:rPr>
          <w:rFonts w:ascii="仿宋" w:eastAsia="仿宋" w:hAnsi="仿宋" w:cs="仿宋"/>
        </w:rPr>
        <w:t>24</w:t>
      </w:r>
      <w:r>
        <w:rPr>
          <w:rFonts w:ascii="仿宋" w:eastAsia="仿宋" w:hAnsi="仿宋" w:cs="仿宋"/>
        </w:rPr>
        <w:t>期市级土壤墒情简报，持续开展农产品产地环境监测并完成</w:t>
      </w:r>
      <w:r>
        <w:rPr>
          <w:rFonts w:ascii="仿宋" w:eastAsia="仿宋" w:hAnsi="仿宋" w:cs="仿宋"/>
        </w:rPr>
        <w:t>2022</w:t>
      </w:r>
      <w:r>
        <w:rPr>
          <w:rFonts w:ascii="仿宋" w:eastAsia="仿宋" w:hAnsi="仿宋" w:cs="仿宋"/>
        </w:rPr>
        <w:t>年度耕地质量等级评价。</w:t>
      </w:r>
      <w:r>
        <w:rPr>
          <w:rFonts w:ascii="仿宋" w:eastAsia="仿宋" w:hAnsi="仿宋" w:cs="仿宋"/>
        </w:rPr>
        <w:t>3.</w:t>
      </w:r>
      <w:r>
        <w:rPr>
          <w:rFonts w:ascii="仿宋" w:eastAsia="仿宋" w:hAnsi="仿宋" w:cs="仿宋"/>
        </w:rPr>
        <w:t>坚持党建引领，开展</w:t>
      </w:r>
      <w:r>
        <w:rPr>
          <w:rFonts w:ascii="仿宋" w:eastAsia="仿宋" w:hAnsi="仿宋" w:cs="仿宋"/>
        </w:rPr>
        <w:t>“</w:t>
      </w:r>
      <w:r>
        <w:rPr>
          <w:rFonts w:ascii="仿宋" w:eastAsia="仿宋" w:hAnsi="仿宋" w:cs="仿宋"/>
        </w:rPr>
        <w:t>我帮农民建良田</w:t>
      </w:r>
      <w:r>
        <w:rPr>
          <w:rFonts w:ascii="仿宋" w:eastAsia="仿宋" w:hAnsi="仿宋" w:cs="仿宋"/>
        </w:rPr>
        <w:t>”</w:t>
      </w:r>
      <w:r>
        <w:rPr>
          <w:rFonts w:ascii="仿宋" w:eastAsia="仿宋" w:hAnsi="仿宋" w:cs="仿宋"/>
        </w:rPr>
        <w:t>实践活动，并组织科技服务小组下沉基层一线，调研协助种植主体解决生产实践中存在的耕地质量问题。</w:t>
      </w:r>
      <w:r>
        <w:rPr>
          <w:rFonts w:ascii="仿宋" w:eastAsia="仿宋" w:hAnsi="仿宋" w:cs="仿宋"/>
        </w:rPr>
        <w:t>4.</w:t>
      </w:r>
      <w:r>
        <w:rPr>
          <w:rFonts w:ascii="仿宋" w:eastAsia="仿宋" w:hAnsi="仿宋" w:cs="仿宋"/>
        </w:rPr>
        <w:t>强化监管指导，依法开展肥料技术相关管理工作。协助局行政审批处做好有机无机复混肥料登记</w:t>
      </w:r>
      <w:r>
        <w:rPr>
          <w:rFonts w:ascii="仿宋" w:eastAsia="仿宋" w:hAnsi="仿宋" w:cs="仿宋"/>
        </w:rPr>
        <w:t>申请的技术审核工作；联合市市场监督管理局完成登记备案肥料企业</w:t>
      </w:r>
      <w:r>
        <w:rPr>
          <w:rFonts w:ascii="仿宋" w:eastAsia="仿宋" w:hAnsi="仿宋" w:cs="仿宋"/>
        </w:rPr>
        <w:t>“</w:t>
      </w:r>
      <w:r>
        <w:rPr>
          <w:rFonts w:ascii="仿宋" w:eastAsia="仿宋" w:hAnsi="仿宋" w:cs="仿宋"/>
        </w:rPr>
        <w:t>双随机</w:t>
      </w:r>
      <w:r w:rsidR="00164194">
        <w:rPr>
          <w:rFonts w:ascii="仿宋" w:eastAsia="仿宋" w:hAnsi="仿宋" w:cs="仿宋"/>
        </w:rPr>
        <w:t>、</w:t>
      </w:r>
      <w:bookmarkStart w:id="0" w:name="_GoBack"/>
      <w:bookmarkEnd w:id="0"/>
      <w:r>
        <w:rPr>
          <w:rFonts w:ascii="仿宋" w:eastAsia="仿宋" w:hAnsi="仿宋" w:cs="仿宋"/>
        </w:rPr>
        <w:t>一公开抽检</w:t>
      </w:r>
      <w:r>
        <w:rPr>
          <w:rFonts w:ascii="仿宋" w:eastAsia="仿宋" w:hAnsi="仿宋" w:cs="仿宋"/>
        </w:rPr>
        <w:t>”</w:t>
      </w:r>
      <w:r>
        <w:rPr>
          <w:rFonts w:ascii="仿宋" w:eastAsia="仿宋" w:hAnsi="仿宋" w:cs="仿宋"/>
        </w:rPr>
        <w:t>工作；配合省级业务主管部门有机肥企业的原料抽检工作。</w:t>
      </w:r>
      <w:r>
        <w:rPr>
          <w:rFonts w:ascii="仿宋" w:eastAsia="仿宋" w:hAnsi="仿宋" w:cs="仿宋"/>
        </w:rPr>
        <w:t>5.</w:t>
      </w:r>
      <w:r>
        <w:rPr>
          <w:rFonts w:ascii="仿宋" w:eastAsia="仿宋" w:hAnsi="仿宋" w:cs="仿宋"/>
        </w:rPr>
        <w:t>做好技术支撑，助推土壤</w:t>
      </w:r>
      <w:r>
        <w:rPr>
          <w:rFonts w:ascii="仿宋" w:eastAsia="仿宋" w:hAnsi="仿宋" w:cs="仿宋"/>
        </w:rPr>
        <w:t>“</w:t>
      </w:r>
      <w:r>
        <w:rPr>
          <w:rFonts w:ascii="仿宋" w:eastAsia="仿宋" w:hAnsi="仿宋" w:cs="仿宋"/>
        </w:rPr>
        <w:t>三普</w:t>
      </w:r>
      <w:r>
        <w:rPr>
          <w:rFonts w:ascii="仿宋" w:eastAsia="仿宋" w:hAnsi="仿宋" w:cs="仿宋"/>
        </w:rPr>
        <w:t>”</w:t>
      </w:r>
      <w:r>
        <w:rPr>
          <w:rFonts w:ascii="仿宋" w:eastAsia="仿宋" w:hAnsi="仿宋" w:cs="仿宋"/>
        </w:rPr>
        <w:t>工作科学有序开展，组织技术骨干参与市三普办工作。</w:t>
      </w:r>
      <w:r>
        <w:rPr>
          <w:rFonts w:ascii="仿宋" w:eastAsia="仿宋" w:hAnsi="仿宋" w:cs="仿宋"/>
        </w:rPr>
        <w:t>6.</w:t>
      </w:r>
      <w:r>
        <w:rPr>
          <w:rFonts w:ascii="仿宋" w:eastAsia="仿宋" w:hAnsi="仿宋" w:cs="仿宋"/>
        </w:rPr>
        <w:t>坚持创新驱动，加强核心技术研究与应用。积极与高校、科研院所和企业协作，开展</w:t>
      </w:r>
      <w:r>
        <w:rPr>
          <w:rFonts w:ascii="仿宋" w:eastAsia="仿宋" w:hAnsi="仿宋" w:cs="仿宋"/>
        </w:rPr>
        <w:t>“</w:t>
      </w:r>
      <w:r>
        <w:rPr>
          <w:rFonts w:ascii="仿宋" w:eastAsia="仿宋" w:hAnsi="仿宋" w:cs="仿宋"/>
        </w:rPr>
        <w:t>四新</w:t>
      </w:r>
      <w:r>
        <w:rPr>
          <w:rFonts w:ascii="仿宋" w:eastAsia="仿宋" w:hAnsi="仿宋" w:cs="仿宋"/>
        </w:rPr>
        <w:t>”</w:t>
      </w:r>
      <w:r>
        <w:rPr>
          <w:rFonts w:ascii="仿宋" w:eastAsia="仿宋" w:hAnsi="仿宋" w:cs="仿宋"/>
        </w:rPr>
        <w:t>（新产品、新技术、新装备和新模式）研究与应用。</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1"/>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176A4B">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176A4B">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南京市耕地质量保护站</w:t>
      </w:r>
    </w:p>
    <w:p w:rsidR="006E012F" w:rsidRDefault="00176A4B">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176A4B">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176A4B">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176A4B">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南京市耕地质量保护站</w:t>
            </w:r>
          </w:p>
        </w:tc>
        <w:tc>
          <w:tcPr>
            <w:tcW w:w="3167" w:type="dxa"/>
            <w:gridSpan w:val="2"/>
            <w:tcBorders>
              <w:bottom w:val="single" w:sz="4" w:space="0" w:color="000000"/>
            </w:tcBorders>
            <w:vAlign w:val="center"/>
          </w:tcPr>
          <w:p w:rsidR="006E012F" w:rsidRDefault="00176A4B">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176A4B">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176A4B">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490.30</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0.22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40.15</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355.27</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94.51</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176A4B">
            <w:pPr>
              <w:jc w:val="right"/>
              <w:rPr>
                <w:rFonts w:ascii="仿宋" w:eastAsia="仿宋" w:hAnsi="仿宋" w:cs="仿宋"/>
                <w:color w:val="000000"/>
              </w:rPr>
            </w:pPr>
            <w:r>
              <w:rPr>
                <w:rFonts w:ascii="仿宋" w:eastAsia="仿宋" w:hAnsi="仿宋" w:cs="仿宋" w:hint="eastAsia"/>
                <w:color w:val="000000"/>
                <w:lang w:eastAsia="ar-SA"/>
              </w:rPr>
              <w:t>490.52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176A4B">
            <w:pPr>
              <w:jc w:val="right"/>
              <w:rPr>
                <w:rFonts w:ascii="仿宋" w:eastAsia="仿宋" w:hAnsi="仿宋" w:cs="仿宋"/>
                <w:color w:val="000000"/>
              </w:rPr>
            </w:pPr>
            <w:r>
              <w:rPr>
                <w:rFonts w:ascii="仿宋" w:eastAsia="仿宋" w:hAnsi="仿宋" w:cs="仿宋" w:hint="eastAsia"/>
                <w:color w:val="000000"/>
                <w:lang w:eastAsia="ar-SA"/>
              </w:rPr>
              <w:t>489.93</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176A4B">
            <w:pPr>
              <w:jc w:val="right"/>
              <w:rPr>
                <w:rFonts w:ascii="仿宋" w:eastAsia="仿宋" w:hAnsi="仿宋" w:cs="仿宋"/>
                <w:color w:val="000000"/>
              </w:rPr>
            </w:pPr>
            <w:r>
              <w:rPr>
                <w:rFonts w:ascii="仿宋" w:eastAsia="仿宋" w:hAnsi="仿宋" w:cs="仿宋" w:hint="eastAsia"/>
                <w:color w:val="000000"/>
                <w:lang w:eastAsia="ar-SA"/>
              </w:rPr>
              <w:t>0.22</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176A4B">
            <w:pPr>
              <w:jc w:val="right"/>
              <w:rPr>
                <w:rFonts w:ascii="仿宋" w:eastAsia="仿宋" w:hAnsi="仿宋" w:cs="仿宋"/>
                <w:color w:val="000000"/>
                <w:lang w:eastAsia="ar-SA"/>
              </w:rPr>
            </w:pPr>
            <w:r>
              <w:rPr>
                <w:rFonts w:ascii="仿宋" w:eastAsia="仿宋" w:hAnsi="仿宋" w:cs="仿宋" w:hint="eastAsia"/>
                <w:color w:val="000000"/>
                <w:lang w:eastAsia="ar-SA"/>
              </w:rPr>
              <w:t>25.15</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176A4B">
            <w:pPr>
              <w:jc w:val="right"/>
              <w:rPr>
                <w:rFonts w:ascii="仿宋" w:eastAsia="仿宋" w:hAnsi="仿宋" w:cs="仿宋"/>
                <w:color w:val="000000"/>
              </w:rPr>
            </w:pPr>
            <w:r>
              <w:rPr>
                <w:rFonts w:ascii="仿宋" w:eastAsia="仿宋" w:hAnsi="仿宋" w:cs="仿宋" w:hint="eastAsia"/>
                <w:color w:val="000000"/>
                <w:lang w:eastAsia="ar-SA"/>
              </w:rPr>
              <w:t>25.52</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176A4B">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176A4B">
            <w:pPr>
              <w:jc w:val="right"/>
              <w:rPr>
                <w:rFonts w:ascii="仿宋" w:eastAsia="仿宋" w:hAnsi="仿宋" w:cs="仿宋"/>
                <w:color w:val="000000"/>
              </w:rPr>
            </w:pPr>
            <w:r>
              <w:rPr>
                <w:rFonts w:ascii="仿宋" w:eastAsia="仿宋" w:hAnsi="仿宋" w:cs="仿宋" w:hint="eastAsia"/>
                <w:color w:val="000000"/>
                <w:lang w:eastAsia="ar-SA"/>
              </w:rPr>
              <w:t>515.67</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176A4B">
            <w:pPr>
              <w:jc w:val="right"/>
              <w:rPr>
                <w:rFonts w:ascii="仿宋" w:eastAsia="仿宋" w:hAnsi="仿宋" w:cs="仿宋"/>
                <w:color w:val="000000"/>
              </w:rPr>
            </w:pPr>
            <w:r>
              <w:rPr>
                <w:rFonts w:ascii="仿宋" w:eastAsia="仿宋" w:hAnsi="仿宋" w:cs="仿宋" w:hint="eastAsia"/>
                <w:color w:val="000000"/>
                <w:lang w:eastAsia="ar-SA"/>
              </w:rPr>
              <w:t>515.67</w:t>
            </w:r>
          </w:p>
        </w:tc>
      </w:tr>
    </w:tbl>
    <w:p w:rsidR="006E012F" w:rsidRDefault="00176A4B">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176A4B">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176A4B">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176A4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2703" w:type="dxa"/>
            <w:gridSpan w:val="2"/>
            <w:vAlign w:val="center"/>
          </w:tcPr>
          <w:p w:rsidR="006E012F" w:rsidRDefault="00176A4B">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功能分类</w:t>
            </w:r>
          </w:p>
          <w:p w:rsidR="006E012F" w:rsidRDefault="00176A4B">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176A4B">
            <w:pPr>
              <w:jc w:val="right"/>
              <w:rPr>
                <w:rFonts w:ascii="仿宋" w:eastAsia="仿宋" w:hAnsi="仿宋" w:cs="仿宋"/>
                <w:sz w:val="20"/>
                <w:szCs w:val="20"/>
              </w:rPr>
            </w:pPr>
            <w:r>
              <w:rPr>
                <w:rFonts w:ascii="仿宋" w:eastAsia="仿宋" w:hAnsi="仿宋" w:cs="仿宋" w:hint="eastAsia"/>
                <w:sz w:val="20"/>
                <w:szCs w:val="20"/>
              </w:rPr>
              <w:t>490.52</w:t>
            </w:r>
          </w:p>
        </w:tc>
        <w:tc>
          <w:tcPr>
            <w:tcW w:w="1728" w:type="dxa"/>
            <w:tcBorders>
              <w:left w:val="single" w:sz="4" w:space="0" w:color="000000"/>
              <w:bottom w:val="single" w:sz="4" w:space="0" w:color="000000"/>
            </w:tcBorders>
            <w:vAlign w:val="center"/>
          </w:tcPr>
          <w:p w:rsidR="006E012F" w:rsidRDefault="00176A4B">
            <w:pPr>
              <w:jc w:val="right"/>
              <w:rPr>
                <w:rFonts w:ascii="仿宋" w:eastAsia="仿宋" w:hAnsi="仿宋" w:cs="仿宋"/>
                <w:sz w:val="20"/>
                <w:szCs w:val="20"/>
              </w:rPr>
            </w:pPr>
            <w:r>
              <w:rPr>
                <w:rFonts w:ascii="仿宋" w:eastAsia="仿宋" w:hAnsi="仿宋" w:cs="仿宋" w:hint="eastAsia"/>
                <w:sz w:val="20"/>
                <w:szCs w:val="20"/>
              </w:rPr>
              <w:t>490.30</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176A4B">
            <w:pPr>
              <w:jc w:val="right"/>
              <w:rPr>
                <w:rFonts w:ascii="仿宋" w:eastAsia="仿宋" w:hAnsi="仿宋" w:cs="仿宋"/>
                <w:sz w:val="20"/>
                <w:szCs w:val="20"/>
              </w:rPr>
            </w:pPr>
            <w:r>
              <w:rPr>
                <w:rFonts w:ascii="仿宋" w:eastAsia="仿宋" w:hAnsi="仿宋" w:cs="仿宋" w:hint="eastAsia"/>
                <w:sz w:val="20"/>
                <w:szCs w:val="20"/>
              </w:rPr>
              <w:t>0.22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40.15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40.15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40.15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40.15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2080502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0.71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0.71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26.29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26.29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13.15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13.15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355.86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355.64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0.22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355.86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355.64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0.22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251.76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251.54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0.22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2130135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农业资源保护修复与利用</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92.60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92.60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11.50</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11.50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94.51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94.51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94.51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94.51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25.86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25.86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68.65</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20"/>
                <w:szCs w:val="20"/>
              </w:rPr>
            </w:pPr>
            <w:r>
              <w:rPr>
                <w:rFonts w:ascii="仿宋" w:eastAsia="仿宋" w:hAnsi="仿宋" w:cs="仿宋" w:hint="eastAsia"/>
                <w:sz w:val="20"/>
                <w:szCs w:val="20"/>
              </w:rPr>
              <w:t>68.65</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176A4B">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w:t>
      </w:r>
      <w:r>
        <w:rPr>
          <w:rFonts w:ascii="仿宋" w:eastAsia="仿宋" w:hAnsi="仿宋" w:cs="仿宋" w:hint="eastAsia"/>
        </w:rPr>
        <w:t>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176A4B">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176A4B">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176A4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3059" w:type="dxa"/>
            <w:gridSpan w:val="2"/>
            <w:vAlign w:val="center"/>
          </w:tcPr>
          <w:p w:rsidR="006E012F" w:rsidRDefault="00176A4B">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功能分类</w:t>
            </w:r>
          </w:p>
          <w:p w:rsidR="006E012F" w:rsidRDefault="00176A4B">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176A4B">
            <w:pPr>
              <w:jc w:val="right"/>
              <w:rPr>
                <w:rFonts w:ascii="仿宋" w:eastAsia="仿宋" w:hAnsi="仿宋" w:cs="仿宋"/>
              </w:rPr>
            </w:pPr>
            <w:r>
              <w:rPr>
                <w:rFonts w:ascii="仿宋" w:eastAsia="仿宋" w:hAnsi="仿宋" w:cs="仿宋" w:hint="eastAsia"/>
              </w:rPr>
              <w:t>489.93</w:t>
            </w:r>
          </w:p>
        </w:tc>
        <w:tc>
          <w:tcPr>
            <w:tcW w:w="1897" w:type="dxa"/>
            <w:tcBorders>
              <w:left w:val="single" w:sz="4" w:space="0" w:color="000000"/>
              <w:bottom w:val="single" w:sz="4" w:space="0" w:color="000000"/>
            </w:tcBorders>
            <w:vAlign w:val="center"/>
          </w:tcPr>
          <w:p w:rsidR="006E012F" w:rsidRDefault="00176A4B">
            <w:pPr>
              <w:jc w:val="right"/>
              <w:rPr>
                <w:rFonts w:ascii="仿宋" w:eastAsia="仿宋" w:hAnsi="仿宋" w:cs="仿宋"/>
              </w:rPr>
            </w:pPr>
            <w:r>
              <w:rPr>
                <w:rFonts w:ascii="仿宋" w:eastAsia="仿宋" w:hAnsi="仿宋" w:cs="仿宋" w:hint="eastAsia"/>
              </w:rPr>
              <w:t>385.83</w:t>
            </w:r>
          </w:p>
        </w:tc>
        <w:tc>
          <w:tcPr>
            <w:tcW w:w="1739" w:type="dxa"/>
            <w:tcBorders>
              <w:left w:val="single" w:sz="4" w:space="0" w:color="000000"/>
              <w:bottom w:val="single" w:sz="4" w:space="0" w:color="000000"/>
            </w:tcBorders>
            <w:vAlign w:val="center"/>
          </w:tcPr>
          <w:p w:rsidR="006E012F" w:rsidRDefault="00176A4B">
            <w:pPr>
              <w:jc w:val="right"/>
              <w:rPr>
                <w:rFonts w:ascii="仿宋" w:eastAsia="仿宋" w:hAnsi="仿宋" w:cs="仿宋"/>
              </w:rPr>
            </w:pPr>
            <w:r>
              <w:rPr>
                <w:rFonts w:ascii="仿宋" w:eastAsia="仿宋" w:hAnsi="仿宋" w:cs="仿宋" w:hint="eastAsia"/>
              </w:rPr>
              <w:t>104.10</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40.15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40.15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40.15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40.15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2080502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0.71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0.71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26.29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26.29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13.15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13.15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355.27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251.17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104.10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355.27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251.17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104.10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251.17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251.17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2130135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农业资源保护修复与利用</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92.60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92.60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11.50</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11.50</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94.51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94.51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94.51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94.51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25.86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25.86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68.65</w:t>
            </w:r>
          </w:p>
        </w:tc>
        <w:tc>
          <w:tcPr>
            <w:tcW w:w="1897" w:type="dxa"/>
            <w:tcBorders>
              <w:top w:val="single" w:sz="4" w:space="0" w:color="000000"/>
              <w:left w:val="single" w:sz="4" w:space="0" w:color="000000"/>
              <w:bottom w:val="single" w:sz="4" w:space="0" w:color="000000"/>
              <w:right w:val="single" w:sz="4" w:space="0" w:color="000000"/>
            </w:tcBorders>
          </w:tcPr>
          <w:p w:rsidR="006E012F" w:rsidRDefault="00176A4B">
            <w:pPr>
              <w:pStyle w:val="TableParagraph"/>
              <w:spacing w:before="30"/>
              <w:ind w:left="107"/>
              <w:jc w:val="right"/>
              <w:rPr>
                <w:rFonts w:ascii="仿宋" w:eastAsia="仿宋" w:hAnsi="仿宋" w:cs="仿宋"/>
              </w:rPr>
            </w:pPr>
            <w:r>
              <w:rPr>
                <w:rFonts w:ascii="仿宋" w:eastAsia="仿宋" w:hAnsi="仿宋" w:cs="仿宋" w:hint="eastAsia"/>
              </w:rPr>
              <w:t>68.65</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176A4B">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176A4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176A4B">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176A4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3221" w:type="dxa"/>
            <w:gridSpan w:val="3"/>
            <w:vAlign w:val="center"/>
          </w:tcPr>
          <w:p w:rsidR="006E012F" w:rsidRDefault="00176A4B">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176A4B">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176A4B">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176A4B">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176A4B">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490.30</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40.15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40.15</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355.27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355.27</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94.51</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94.51</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二十六、抗疫特别国债安排的支出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176A4B">
            <w:pPr>
              <w:jc w:val="right"/>
              <w:rPr>
                <w:rFonts w:ascii="仿宋" w:eastAsia="仿宋" w:hAnsi="仿宋" w:cs="仿宋"/>
              </w:rPr>
            </w:pPr>
            <w:r>
              <w:rPr>
                <w:rFonts w:ascii="仿宋" w:eastAsia="仿宋" w:hAnsi="仿宋" w:cs="仿宋" w:hint="eastAsia"/>
              </w:rPr>
              <w:t>490.30</w:t>
            </w:r>
          </w:p>
        </w:tc>
        <w:tc>
          <w:tcPr>
            <w:tcW w:w="3667" w:type="dxa"/>
            <w:gridSpan w:val="3"/>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176A4B">
            <w:pPr>
              <w:jc w:val="right"/>
              <w:rPr>
                <w:rFonts w:ascii="仿宋" w:eastAsia="仿宋" w:hAnsi="仿宋" w:cs="仿宋"/>
              </w:rPr>
            </w:pPr>
            <w:r>
              <w:rPr>
                <w:rFonts w:ascii="仿宋" w:eastAsia="仿宋" w:hAnsi="仿宋" w:cs="仿宋" w:hint="eastAsia"/>
              </w:rPr>
              <w:t>489.93</w:t>
            </w:r>
          </w:p>
        </w:tc>
        <w:tc>
          <w:tcPr>
            <w:tcW w:w="1415" w:type="dxa"/>
            <w:gridSpan w:val="2"/>
            <w:tcBorders>
              <w:top w:val="single" w:sz="4" w:space="0" w:color="000000"/>
              <w:left w:val="single" w:sz="4" w:space="0" w:color="000000"/>
              <w:bottom w:val="single" w:sz="4" w:space="0" w:color="000000"/>
            </w:tcBorders>
            <w:vAlign w:val="center"/>
          </w:tcPr>
          <w:p w:rsidR="006E012F" w:rsidRDefault="00176A4B">
            <w:pPr>
              <w:jc w:val="right"/>
              <w:rPr>
                <w:rFonts w:ascii="仿宋" w:eastAsia="仿宋" w:hAnsi="仿宋" w:cs="仿宋"/>
              </w:rPr>
            </w:pPr>
            <w:r>
              <w:rPr>
                <w:rFonts w:ascii="仿宋" w:eastAsia="仿宋" w:hAnsi="仿宋" w:cs="仿宋" w:hint="eastAsia"/>
              </w:rPr>
              <w:t>489.93</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19.68</w:t>
            </w:r>
          </w:p>
        </w:tc>
        <w:tc>
          <w:tcPr>
            <w:tcW w:w="3667" w:type="dxa"/>
            <w:gridSpan w:val="3"/>
            <w:tcBorders>
              <w:left w:val="single" w:sz="4" w:space="0" w:color="000000"/>
              <w:bottom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20.04</w:t>
            </w:r>
          </w:p>
        </w:tc>
        <w:tc>
          <w:tcPr>
            <w:tcW w:w="1415" w:type="dxa"/>
            <w:gridSpan w:val="2"/>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20.04</w:t>
            </w: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19.68</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176A4B">
            <w:pPr>
              <w:jc w:val="right"/>
              <w:rPr>
                <w:rFonts w:ascii="仿宋" w:eastAsia="仿宋" w:hAnsi="仿宋" w:cs="仿宋"/>
              </w:rPr>
            </w:pPr>
            <w:r>
              <w:rPr>
                <w:rFonts w:ascii="仿宋" w:eastAsia="仿宋" w:hAnsi="仿宋" w:cs="仿宋" w:hint="eastAsia"/>
              </w:rPr>
              <w:t>509.98</w:t>
            </w:r>
          </w:p>
        </w:tc>
        <w:tc>
          <w:tcPr>
            <w:tcW w:w="3667" w:type="dxa"/>
            <w:gridSpan w:val="3"/>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176A4B">
            <w:pPr>
              <w:jc w:val="right"/>
              <w:rPr>
                <w:rFonts w:ascii="仿宋" w:eastAsia="仿宋" w:hAnsi="仿宋" w:cs="仿宋"/>
              </w:rPr>
            </w:pPr>
            <w:r>
              <w:rPr>
                <w:rFonts w:ascii="仿宋" w:eastAsia="仿宋" w:hAnsi="仿宋" w:cs="仿宋" w:hint="eastAsia"/>
              </w:rPr>
              <w:t>509.98</w:t>
            </w:r>
          </w:p>
        </w:tc>
        <w:tc>
          <w:tcPr>
            <w:tcW w:w="1415" w:type="dxa"/>
            <w:gridSpan w:val="2"/>
            <w:tcBorders>
              <w:left w:val="single" w:sz="4" w:space="0" w:color="000000"/>
              <w:bottom w:val="single" w:sz="4" w:space="0" w:color="000000"/>
            </w:tcBorders>
            <w:vAlign w:val="center"/>
          </w:tcPr>
          <w:p w:rsidR="006E012F" w:rsidRDefault="00176A4B">
            <w:pPr>
              <w:jc w:val="right"/>
              <w:rPr>
                <w:rFonts w:ascii="仿宋" w:eastAsia="仿宋" w:hAnsi="仿宋" w:cs="仿宋"/>
              </w:rPr>
            </w:pPr>
            <w:r>
              <w:rPr>
                <w:rFonts w:ascii="仿宋" w:eastAsia="仿宋" w:hAnsi="仿宋" w:cs="仿宋" w:hint="eastAsia"/>
              </w:rPr>
              <w:t>509.98</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176A4B">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176A4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176A4B">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176A4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176A4B">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功能分类</w:t>
            </w:r>
          </w:p>
          <w:p w:rsidR="006E012F" w:rsidRDefault="00176A4B">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176A4B">
            <w:pPr>
              <w:pStyle w:val="TableParagraph"/>
              <w:jc w:val="right"/>
              <w:rPr>
                <w:rFonts w:ascii="仿宋" w:eastAsia="仿宋" w:hAnsi="仿宋" w:cs="仿宋"/>
              </w:rPr>
            </w:pPr>
            <w:r>
              <w:rPr>
                <w:rFonts w:ascii="仿宋" w:eastAsia="仿宋" w:hAnsi="仿宋" w:cs="仿宋" w:hint="eastAsia"/>
              </w:rPr>
              <w:t>489.93</w:t>
            </w:r>
          </w:p>
        </w:tc>
        <w:tc>
          <w:tcPr>
            <w:tcW w:w="2778" w:type="dxa"/>
            <w:tcBorders>
              <w:left w:val="single" w:sz="6" w:space="0" w:color="000000"/>
              <w:bottom w:val="single" w:sz="6" w:space="0" w:color="000000"/>
            </w:tcBorders>
          </w:tcPr>
          <w:p w:rsidR="006E012F" w:rsidRDefault="00176A4B">
            <w:pPr>
              <w:pStyle w:val="TableParagraph"/>
              <w:jc w:val="right"/>
              <w:rPr>
                <w:rFonts w:ascii="仿宋" w:eastAsia="仿宋" w:hAnsi="仿宋" w:cs="仿宋"/>
              </w:rPr>
            </w:pPr>
            <w:r>
              <w:rPr>
                <w:rFonts w:ascii="仿宋" w:eastAsia="仿宋" w:hAnsi="仿宋" w:cs="仿宋" w:hint="eastAsia"/>
              </w:rPr>
              <w:t>385.83</w:t>
            </w:r>
          </w:p>
        </w:tc>
        <w:tc>
          <w:tcPr>
            <w:tcW w:w="3155" w:type="dxa"/>
            <w:tcBorders>
              <w:left w:val="single" w:sz="6" w:space="0" w:color="000000"/>
              <w:bottom w:val="single" w:sz="6" w:space="0" w:color="000000"/>
              <w:right w:val="single" w:sz="6" w:space="0" w:color="000000"/>
            </w:tcBorders>
          </w:tcPr>
          <w:p w:rsidR="006E012F" w:rsidRDefault="00176A4B">
            <w:pPr>
              <w:pStyle w:val="TableParagraph"/>
              <w:jc w:val="right"/>
              <w:rPr>
                <w:rFonts w:ascii="仿宋" w:eastAsia="仿宋" w:hAnsi="仿宋" w:cs="仿宋"/>
              </w:rPr>
            </w:pPr>
            <w:r>
              <w:rPr>
                <w:rFonts w:ascii="仿宋" w:eastAsia="仿宋" w:hAnsi="仿宋" w:cs="仿宋" w:hint="eastAsia"/>
              </w:rPr>
              <w:t>104.10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40.15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40.15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40.15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40.15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2080502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0.71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0.71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26.29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26.29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13.15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13.15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355.27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251.17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104.10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355.27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251.17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104.10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251.17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251.17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2130135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农业资源保护修复与利用</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92.60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92.60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11.50</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11.50</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94.51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94.51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94.51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94.51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25.86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25.86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68.65</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68.65</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176A4B">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176A4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176A4B">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176A4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1896" w:type="dxa"/>
            <w:vAlign w:val="center"/>
          </w:tcPr>
          <w:p w:rsidR="006E012F" w:rsidRDefault="00176A4B">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385.83</w:t>
            </w:r>
          </w:p>
        </w:tc>
        <w:tc>
          <w:tcPr>
            <w:tcW w:w="2040"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361.66</w:t>
            </w:r>
          </w:p>
        </w:tc>
        <w:tc>
          <w:tcPr>
            <w:tcW w:w="1896" w:type="dxa"/>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24.17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347.97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347.97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64.12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64.12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113.35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113.35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96.57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96.57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26.29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26.29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13.15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13.15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25.86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25.86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2.14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2.14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6.50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6.50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24.17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24.17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3.93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3.93</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0.02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0.02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0.10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0.10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1.86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1.86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2.25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2.25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2.68</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2.68</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0.15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0.15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0.62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0.62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0.06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0.06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4.62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4.62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0.70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0.70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2.24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2.24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0.01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0.01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0.39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0.39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4.55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4.55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13.69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13.69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13.56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13.56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0.13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0.13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176A4B">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176A4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176A4B">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176A4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3011" w:type="dxa"/>
            <w:gridSpan w:val="2"/>
          </w:tcPr>
          <w:p w:rsidR="006E012F" w:rsidRDefault="00176A4B">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176A4B">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489.93</w:t>
            </w:r>
          </w:p>
        </w:tc>
        <w:tc>
          <w:tcPr>
            <w:tcW w:w="1499" w:type="dxa"/>
            <w:tcBorders>
              <w:left w:val="single" w:sz="6" w:space="0" w:color="000000"/>
              <w:bottom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385.83</w:t>
            </w:r>
          </w:p>
        </w:tc>
        <w:tc>
          <w:tcPr>
            <w:tcW w:w="1512" w:type="dxa"/>
            <w:tcBorders>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104.10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40.15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40.15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40.15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40.15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2080502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0.71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0.71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26.29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26.29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13.15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13.15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355.27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251.17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104.10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355.27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251.17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104.10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251.17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251.17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2130135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农业资源保护修复与利用</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92.60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92.60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11.50</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11.50</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94.51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94.51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94.51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94.51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25.86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25.86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68.65</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68.65</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176A4B">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w:t>
      </w:r>
      <w:r>
        <w:rPr>
          <w:rFonts w:ascii="仿宋" w:eastAsia="仿宋" w:hAnsi="仿宋" w:cs="仿宋" w:hint="eastAsia"/>
        </w:rPr>
        <w:t>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176A4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176A4B">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176A4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1878" w:type="dxa"/>
            <w:vAlign w:val="center"/>
          </w:tcPr>
          <w:p w:rsidR="006E012F" w:rsidRDefault="00176A4B">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385.83</w:t>
            </w:r>
          </w:p>
        </w:tc>
        <w:tc>
          <w:tcPr>
            <w:tcW w:w="1708"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361.66</w:t>
            </w:r>
          </w:p>
        </w:tc>
        <w:tc>
          <w:tcPr>
            <w:tcW w:w="1878" w:type="dxa"/>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24.17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347.97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347.97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64.12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64.12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113.35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113.35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96.57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96.57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26.29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26.29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13.15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13.15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25.86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25.86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2.14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2.14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6.50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6.50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24.17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24.17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3.93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3.93</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0.02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0.02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0.10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0.10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1.86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1.86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2.25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2.25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2.68</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2.68</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0.15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0.15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0.62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0.62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0.06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0.06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4.62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4.62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0.70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0.70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2.24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2.24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0.01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0.01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0.39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0.39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4.55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4.55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13.69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13.69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13.56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13.56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0.13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0.13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176A4B">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176A4B">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176A4B">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176A4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8274" w:type="dxa"/>
            <w:gridSpan w:val="8"/>
            <w:tcBorders>
              <w:bottom w:val="single" w:sz="4" w:space="0" w:color="auto"/>
            </w:tcBorders>
          </w:tcPr>
          <w:p w:rsidR="006E012F" w:rsidRDefault="00176A4B">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176A4B">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176A4B">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公务</w:t>
            </w:r>
          </w:p>
          <w:p w:rsidR="006E012F" w:rsidRDefault="00176A4B">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176A4B">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176A4B">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公务</w:t>
            </w:r>
          </w:p>
          <w:p w:rsidR="006E012F" w:rsidRDefault="00176A4B">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3.24</w:t>
            </w:r>
          </w:p>
        </w:tc>
        <w:tc>
          <w:tcPr>
            <w:tcW w:w="1042"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9"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26"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43" w:type="dxa"/>
            <w:tcBorders>
              <w:left w:val="single" w:sz="4" w:space="0" w:color="000000"/>
              <w:bottom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1.00</w:t>
            </w:r>
          </w:p>
        </w:tc>
        <w:tc>
          <w:tcPr>
            <w:tcW w:w="1010" w:type="dxa"/>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1.74</w:t>
            </w:r>
          </w:p>
        </w:tc>
        <w:tc>
          <w:tcPr>
            <w:tcW w:w="1058" w:type="dxa"/>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2.30</w:t>
            </w:r>
          </w:p>
        </w:tc>
        <w:tc>
          <w:tcPr>
            <w:tcW w:w="1010" w:type="dxa"/>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89" w:type="dxa"/>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2.24</w:t>
            </w:r>
          </w:p>
        </w:tc>
        <w:tc>
          <w:tcPr>
            <w:tcW w:w="1043" w:type="dxa"/>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0.06</w:t>
            </w:r>
          </w:p>
        </w:tc>
        <w:tc>
          <w:tcPr>
            <w:tcW w:w="1057" w:type="dxa"/>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0.15</w:t>
            </w:r>
          </w:p>
        </w:tc>
        <w:tc>
          <w:tcPr>
            <w:tcW w:w="1027" w:type="dxa"/>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sz w:val="18"/>
                <w:szCs w:val="18"/>
              </w:rPr>
            </w:pPr>
            <w:r>
              <w:rPr>
                <w:rFonts w:ascii="仿宋" w:eastAsia="仿宋" w:hAnsi="仿宋" w:cs="仿宋" w:hint="eastAsia"/>
                <w:sz w:val="18"/>
                <w:szCs w:val="18"/>
              </w:rPr>
              <w:t>0.62</w:t>
            </w:r>
          </w:p>
        </w:tc>
      </w:tr>
    </w:tbl>
    <w:p w:rsidR="006E012F" w:rsidRDefault="00176A4B">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5</w:t>
            </w:r>
          </w:p>
        </w:tc>
        <w:tc>
          <w:tcPr>
            <w:tcW w:w="3908"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国内公务接待人次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18</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国（境）外公务接待人次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1</w:t>
            </w:r>
          </w:p>
        </w:tc>
        <w:tc>
          <w:tcPr>
            <w:tcW w:w="3908"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参加会议人次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16</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r>
              <w:rPr>
                <w:rFonts w:ascii="仿宋" w:eastAsia="仿宋" w:hAnsi="仿宋" w:cs="仿宋" w:hint="eastAsia"/>
              </w:rPr>
              <w:t>个</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3</w:t>
            </w:r>
          </w:p>
        </w:tc>
        <w:tc>
          <w:tcPr>
            <w:tcW w:w="3908" w:type="dxa"/>
            <w:tcBorders>
              <w:top w:val="single" w:sz="4" w:space="0" w:color="auto"/>
              <w:left w:val="single" w:sz="4" w:space="0" w:color="000000"/>
              <w:bottom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参加培训人次</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4</w:t>
            </w:r>
          </w:p>
        </w:tc>
      </w:tr>
    </w:tbl>
    <w:p w:rsidR="006E012F" w:rsidRDefault="00176A4B">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176A4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176A4B">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176A4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1858" w:type="dxa"/>
            <w:vAlign w:val="center"/>
          </w:tcPr>
          <w:p w:rsidR="006E012F" w:rsidRDefault="00176A4B">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功能分类</w:t>
            </w:r>
          </w:p>
          <w:p w:rsidR="006E012F" w:rsidRDefault="00176A4B">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176A4B">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176A4B">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176A4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176A4B">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176A4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2061" w:type="dxa"/>
            <w:vAlign w:val="center"/>
          </w:tcPr>
          <w:p w:rsidR="006E012F" w:rsidRDefault="00176A4B">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功能分类</w:t>
            </w:r>
          </w:p>
          <w:p w:rsidR="006E012F" w:rsidRDefault="00176A4B">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176A4B">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176A4B">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176A4B">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176A4B">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176A4B">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3834" w:type="dxa"/>
            <w:vAlign w:val="center"/>
          </w:tcPr>
          <w:p w:rsidR="006E012F" w:rsidRDefault="00176A4B">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176A4B">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176A4B">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w:t>
      </w:r>
    </w:p>
    <w:p w:rsidR="006E012F" w:rsidRDefault="00176A4B">
      <w:pPr>
        <w:tabs>
          <w:tab w:val="left" w:pos="440"/>
        </w:tabs>
        <w:spacing w:before="25"/>
        <w:ind w:leftChars="200" w:left="440"/>
        <w:jc w:val="both"/>
        <w:rPr>
          <w:rFonts w:ascii="仿宋" w:eastAsia="仿宋" w:hAnsi="仿宋" w:cs="仿宋"/>
        </w:rPr>
      </w:pPr>
      <w:r>
        <w:rPr>
          <w:rFonts w:ascii="仿宋" w:eastAsia="仿宋" w:hAnsi="仿宋" w:cs="仿宋" w:hint="eastAsia"/>
        </w:rPr>
        <w:t>本</w:t>
      </w:r>
      <w:r w:rsidRPr="00CF349C">
        <w:rPr>
          <w:rFonts w:ascii="仿宋" w:eastAsia="仿宋" w:hAnsi="仿宋" w:cs="仿宋" w:hint="eastAsia"/>
          <w:lang w:val="en-US"/>
        </w:rPr>
        <w:t>单位</w:t>
      </w:r>
      <w:r>
        <w:rPr>
          <w:rFonts w:ascii="仿宋" w:eastAsia="仿宋" w:hAnsi="仿宋" w:cs="仿宋" w:hint="eastAsia"/>
        </w:rPr>
        <w:t>无</w:t>
      </w:r>
      <w:r>
        <w:rPr>
          <w:rFonts w:ascii="仿宋" w:eastAsia="仿宋" w:hAnsi="仿宋" w:cs="仿宋" w:hint="eastAsia"/>
          <w:lang w:val="en-US"/>
        </w:rPr>
        <w:t>财政拨款</w:t>
      </w:r>
      <w:r>
        <w:rPr>
          <w:rFonts w:ascii="仿宋" w:eastAsia="仿宋" w:hAnsi="仿宋" w:cs="仿宋" w:hint="eastAsia"/>
        </w:rPr>
        <w:t>机关运行经费支出决算</w:t>
      </w:r>
      <w:r w:rsidRPr="00CF349C">
        <w:rPr>
          <w:rFonts w:ascii="仿宋" w:eastAsia="仿宋" w:hAnsi="仿宋" w:cs="仿宋" w:hint="eastAsia"/>
          <w:lang w:val="en-US"/>
        </w:rPr>
        <w:t>，</w:t>
      </w:r>
      <w:r>
        <w:rPr>
          <w:rFonts w:ascii="仿宋" w:eastAsia="仿宋" w:hAnsi="仿宋" w:cs="仿宋" w:hint="eastAsia"/>
        </w:rPr>
        <w:t>故本表为空。</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176A4B">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176A4B">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176A4B">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南京市耕地质量保护站</w:t>
            </w:r>
          </w:p>
        </w:tc>
        <w:tc>
          <w:tcPr>
            <w:tcW w:w="3273" w:type="dxa"/>
            <w:vAlign w:val="center"/>
          </w:tcPr>
          <w:p w:rsidR="006E012F" w:rsidRDefault="00176A4B">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176A4B">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176A4B">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34.00</w:t>
            </w:r>
          </w:p>
        </w:tc>
      </w:tr>
      <w:tr w:rsidR="006E012F">
        <w:trPr>
          <w:cantSplit/>
          <w:trHeight w:val="277"/>
        </w:trPr>
        <w:tc>
          <w:tcPr>
            <w:tcW w:w="4472" w:type="dxa"/>
            <w:tcBorders>
              <w:left w:val="single" w:sz="4" w:space="0" w:color="000000"/>
              <w:bottom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34.00</w:t>
            </w:r>
          </w:p>
        </w:tc>
      </w:tr>
      <w:tr w:rsidR="006E012F">
        <w:trPr>
          <w:cantSplit/>
          <w:trHeight w:val="277"/>
        </w:trPr>
        <w:tc>
          <w:tcPr>
            <w:tcW w:w="4472" w:type="dxa"/>
            <w:tcBorders>
              <w:left w:val="single" w:sz="4" w:space="0" w:color="000000"/>
              <w:bottom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34.00</w:t>
            </w:r>
          </w:p>
        </w:tc>
      </w:tr>
      <w:tr w:rsidR="006E012F">
        <w:trPr>
          <w:cantSplit/>
          <w:trHeight w:val="277"/>
        </w:trPr>
        <w:tc>
          <w:tcPr>
            <w:tcW w:w="4472" w:type="dxa"/>
            <w:tcBorders>
              <w:left w:val="single" w:sz="4" w:space="0" w:color="000000"/>
              <w:bottom w:val="single" w:sz="4" w:space="0" w:color="000000"/>
            </w:tcBorders>
            <w:vAlign w:val="center"/>
          </w:tcPr>
          <w:p w:rsidR="006E012F" w:rsidRDefault="00176A4B">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其中：授予小微企业合同金额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176A4B">
            <w:pPr>
              <w:pStyle w:val="TableParagraph"/>
              <w:jc w:val="right"/>
              <w:rPr>
                <w:rFonts w:ascii="仿宋" w:eastAsia="仿宋" w:hAnsi="仿宋" w:cs="仿宋"/>
              </w:rPr>
            </w:pPr>
            <w:r>
              <w:rPr>
                <w:rFonts w:ascii="仿宋" w:eastAsia="仿宋" w:hAnsi="仿宋" w:cs="仿宋" w:hint="eastAsia"/>
              </w:rPr>
              <w:t>34.00</w:t>
            </w:r>
          </w:p>
        </w:tc>
      </w:tr>
    </w:tbl>
    <w:p w:rsidR="006E012F" w:rsidRDefault="00176A4B">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176A4B">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515.67</w:t>
      </w:r>
      <w:r>
        <w:rPr>
          <w:rFonts w:ascii="仿宋" w:eastAsia="仿宋" w:hAnsi="仿宋" w:cs="仿宋"/>
        </w:rPr>
        <w:t>万元。与上年相比，收、支总计各增加</w:t>
      </w:r>
      <w:r>
        <w:rPr>
          <w:rFonts w:ascii="仿宋" w:eastAsia="仿宋" w:hAnsi="仿宋" w:cs="仿宋"/>
        </w:rPr>
        <w:t>17.48</w:t>
      </w:r>
      <w:r>
        <w:rPr>
          <w:rFonts w:ascii="仿宋" w:eastAsia="仿宋" w:hAnsi="仿宋" w:cs="仿宋"/>
        </w:rPr>
        <w:t>万元，增长</w:t>
      </w:r>
      <w:r>
        <w:rPr>
          <w:rFonts w:ascii="仿宋" w:eastAsia="仿宋" w:hAnsi="仿宋" w:cs="仿宋"/>
        </w:rPr>
        <w:t>3.51%</w:t>
      </w:r>
      <w:r>
        <w:rPr>
          <w:rFonts w:ascii="仿宋" w:eastAsia="仿宋" w:hAnsi="仿宋" w:cs="仿宋"/>
        </w:rPr>
        <w:t>。其中：</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515.67</w:t>
      </w:r>
      <w:r>
        <w:rPr>
          <w:rFonts w:ascii="仿宋" w:eastAsia="仿宋" w:hAnsi="仿宋" w:cs="仿宋"/>
          <w:b/>
        </w:rPr>
        <w:t>万元。包括：</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490.52</w:t>
      </w:r>
      <w:r>
        <w:rPr>
          <w:rFonts w:ascii="仿宋" w:eastAsia="仿宋" w:hAnsi="仿宋" w:cs="仿宋"/>
        </w:rPr>
        <w:t>万元。与上年相比，增加</w:t>
      </w:r>
      <w:r>
        <w:rPr>
          <w:rFonts w:ascii="仿宋" w:eastAsia="仿宋" w:hAnsi="仿宋" w:cs="仿宋"/>
        </w:rPr>
        <w:t>24.08</w:t>
      </w:r>
      <w:r>
        <w:rPr>
          <w:rFonts w:ascii="仿宋" w:eastAsia="仿宋" w:hAnsi="仿宋" w:cs="仿宋"/>
        </w:rPr>
        <w:t>万元，增长</w:t>
      </w:r>
      <w:r>
        <w:rPr>
          <w:rFonts w:ascii="仿宋" w:eastAsia="仿宋" w:hAnsi="仿宋" w:cs="仿宋"/>
        </w:rPr>
        <w:t>5.16%</w:t>
      </w:r>
      <w:r>
        <w:rPr>
          <w:rFonts w:ascii="仿宋" w:eastAsia="仿宋" w:hAnsi="仿宋" w:cs="仿宋"/>
        </w:rPr>
        <w:t>，变动原因：正常增人增资。</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25.15</w:t>
      </w:r>
      <w:r>
        <w:rPr>
          <w:rFonts w:ascii="仿宋" w:eastAsia="仿宋" w:hAnsi="仿宋" w:cs="仿宋"/>
        </w:rPr>
        <w:t>万元。与上年相比，减少</w:t>
      </w:r>
      <w:r>
        <w:rPr>
          <w:rFonts w:ascii="仿宋" w:eastAsia="仿宋" w:hAnsi="仿宋" w:cs="仿宋"/>
        </w:rPr>
        <w:t>6.59</w:t>
      </w:r>
      <w:r>
        <w:rPr>
          <w:rFonts w:ascii="仿宋" w:eastAsia="仿宋" w:hAnsi="仿宋" w:cs="仿宋"/>
        </w:rPr>
        <w:t>万元，减少</w:t>
      </w:r>
      <w:r>
        <w:rPr>
          <w:rFonts w:ascii="仿宋" w:eastAsia="仿宋" w:hAnsi="仿宋" w:cs="仿宋"/>
        </w:rPr>
        <w:t>20.76%</w:t>
      </w:r>
      <w:r>
        <w:rPr>
          <w:rFonts w:ascii="仿宋" w:eastAsia="仿宋" w:hAnsi="仿宋" w:cs="仿宋"/>
        </w:rPr>
        <w:t>，变动原因：以支出弥补收入。</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515.67</w:t>
      </w:r>
      <w:r>
        <w:rPr>
          <w:rFonts w:ascii="仿宋" w:eastAsia="仿宋" w:hAnsi="仿宋" w:cs="仿宋"/>
          <w:b/>
        </w:rPr>
        <w:t>万元。包括：</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489.93</w:t>
      </w:r>
      <w:r>
        <w:rPr>
          <w:rFonts w:ascii="仿宋" w:eastAsia="仿宋" w:hAnsi="仿宋" w:cs="仿宋"/>
        </w:rPr>
        <w:t>万元。与上年相比，增加</w:t>
      </w:r>
      <w:r>
        <w:rPr>
          <w:rFonts w:ascii="仿宋" w:eastAsia="仿宋" w:hAnsi="仿宋" w:cs="仿宋"/>
        </w:rPr>
        <w:t>18.46</w:t>
      </w:r>
      <w:r>
        <w:rPr>
          <w:rFonts w:ascii="仿宋" w:eastAsia="仿宋" w:hAnsi="仿宋" w:cs="仿宋"/>
        </w:rPr>
        <w:t>万元，增长</w:t>
      </w:r>
      <w:r>
        <w:rPr>
          <w:rFonts w:ascii="仿宋" w:eastAsia="仿宋" w:hAnsi="仿宋" w:cs="仿宋"/>
        </w:rPr>
        <w:t>3.92%</w:t>
      </w:r>
      <w:r>
        <w:rPr>
          <w:rFonts w:ascii="仿宋" w:eastAsia="仿宋" w:hAnsi="仿宋" w:cs="仿宋"/>
        </w:rPr>
        <w:t>，变动原因：正常的调资后缴费基数的调整增加。</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0.22</w:t>
      </w:r>
      <w:r>
        <w:rPr>
          <w:rFonts w:ascii="仿宋" w:eastAsia="仿宋" w:hAnsi="仿宋" w:cs="仿宋"/>
        </w:rPr>
        <w:t>万元。结余分配事项：利息收入和个税手续费返还。与上年相比，增加</w:t>
      </w:r>
      <w:r>
        <w:rPr>
          <w:rFonts w:ascii="仿宋" w:eastAsia="仿宋" w:hAnsi="仿宋" w:cs="仿宋"/>
        </w:rPr>
        <w:t>0.06</w:t>
      </w:r>
      <w:r>
        <w:rPr>
          <w:rFonts w:ascii="仿宋" w:eastAsia="仿宋" w:hAnsi="仿宋" w:cs="仿宋"/>
        </w:rPr>
        <w:t>万元，增长</w:t>
      </w:r>
      <w:r>
        <w:rPr>
          <w:rFonts w:ascii="仿宋" w:eastAsia="仿宋" w:hAnsi="仿宋" w:cs="仿宋"/>
        </w:rPr>
        <w:t>37.5%</w:t>
      </w:r>
      <w:r>
        <w:rPr>
          <w:rFonts w:ascii="仿宋" w:eastAsia="仿宋" w:hAnsi="仿宋" w:cs="仿宋"/>
        </w:rPr>
        <w:t>，变动原因：利息收入和个税手续费返还变动。</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25.52</w:t>
      </w:r>
      <w:r>
        <w:rPr>
          <w:rFonts w:ascii="仿宋" w:eastAsia="仿宋" w:hAnsi="仿宋" w:cs="仿宋"/>
        </w:rPr>
        <w:t>万元。结转和结余事项：基本支出结转。与上年相比</w:t>
      </w:r>
      <w:r>
        <w:rPr>
          <w:rFonts w:ascii="仿宋" w:eastAsia="仿宋" w:hAnsi="仿宋" w:cs="仿宋"/>
        </w:rPr>
        <w:t>，减少</w:t>
      </w:r>
      <w:r>
        <w:rPr>
          <w:rFonts w:ascii="仿宋" w:eastAsia="仿宋" w:hAnsi="仿宋" w:cs="仿宋"/>
        </w:rPr>
        <w:t>1.04</w:t>
      </w:r>
      <w:r>
        <w:rPr>
          <w:rFonts w:ascii="仿宋" w:eastAsia="仿宋" w:hAnsi="仿宋" w:cs="仿宋"/>
        </w:rPr>
        <w:t>万元，减少</w:t>
      </w:r>
      <w:r>
        <w:rPr>
          <w:rFonts w:ascii="仿宋" w:eastAsia="仿宋" w:hAnsi="仿宋" w:cs="仿宋"/>
        </w:rPr>
        <w:t>3.92%</w:t>
      </w:r>
      <w:r>
        <w:rPr>
          <w:rFonts w:ascii="仿宋" w:eastAsia="仿宋" w:hAnsi="仿宋" w:cs="仿宋"/>
        </w:rPr>
        <w:t>，变动原因：基本支出结转变动。</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年度本年收入决算合计</w:t>
      </w:r>
      <w:r>
        <w:rPr>
          <w:rFonts w:ascii="仿宋" w:eastAsia="仿宋" w:hAnsi="仿宋" w:cs="仿宋"/>
        </w:rPr>
        <w:t>490.52</w:t>
      </w:r>
      <w:r>
        <w:rPr>
          <w:rFonts w:ascii="仿宋" w:eastAsia="仿宋" w:hAnsi="仿宋" w:cs="仿宋"/>
        </w:rPr>
        <w:t>万元，其中：财政拨款收入</w:t>
      </w:r>
      <w:r>
        <w:rPr>
          <w:rFonts w:ascii="仿宋" w:eastAsia="仿宋" w:hAnsi="仿宋" w:cs="仿宋"/>
        </w:rPr>
        <w:t>490.3</w:t>
      </w:r>
      <w:r>
        <w:rPr>
          <w:rFonts w:ascii="仿宋" w:eastAsia="仿宋" w:hAnsi="仿宋" w:cs="仿宋"/>
        </w:rPr>
        <w:t>万元，占</w:t>
      </w:r>
      <w:r>
        <w:rPr>
          <w:rFonts w:ascii="仿宋" w:eastAsia="仿宋" w:hAnsi="仿宋" w:cs="仿宋"/>
        </w:rPr>
        <w:t>99.96%</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0.22</w:t>
      </w:r>
      <w:r>
        <w:rPr>
          <w:rFonts w:ascii="仿宋" w:eastAsia="仿宋" w:hAnsi="仿宋" w:cs="仿宋"/>
        </w:rPr>
        <w:t>万元，占</w:t>
      </w:r>
      <w:r>
        <w:rPr>
          <w:rFonts w:ascii="仿宋" w:eastAsia="仿宋" w:hAnsi="仿宋" w:cs="仿宋"/>
        </w:rPr>
        <w:t>0.04%</w:t>
      </w:r>
      <w:r>
        <w:rPr>
          <w:rFonts w:ascii="仿宋" w:eastAsia="仿宋" w:hAnsi="仿宋" w:cs="仿宋"/>
        </w:rPr>
        <w:t>。</w:t>
      </w:r>
    </w:p>
    <w:p w:rsidR="006E012F" w:rsidRDefault="00176A4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489.93</w:t>
      </w:r>
      <w:r>
        <w:rPr>
          <w:rFonts w:ascii="仿宋" w:eastAsia="仿宋" w:hAnsi="仿宋" w:cs="仿宋"/>
        </w:rPr>
        <w:t>万元，其中：基本支出</w:t>
      </w:r>
      <w:r>
        <w:rPr>
          <w:rFonts w:ascii="仿宋" w:eastAsia="仿宋" w:hAnsi="仿宋" w:cs="仿宋"/>
        </w:rPr>
        <w:t>385.83</w:t>
      </w:r>
      <w:r>
        <w:rPr>
          <w:rFonts w:ascii="仿宋" w:eastAsia="仿宋" w:hAnsi="仿宋" w:cs="仿宋"/>
        </w:rPr>
        <w:t>万元，占</w:t>
      </w:r>
      <w:r>
        <w:rPr>
          <w:rFonts w:ascii="仿宋" w:eastAsia="仿宋" w:hAnsi="仿宋" w:cs="仿宋"/>
        </w:rPr>
        <w:t>78.75%</w:t>
      </w:r>
      <w:r>
        <w:rPr>
          <w:rFonts w:ascii="仿宋" w:eastAsia="仿宋" w:hAnsi="仿宋" w:cs="仿宋"/>
        </w:rPr>
        <w:t>；项</w:t>
      </w:r>
      <w:r>
        <w:rPr>
          <w:rFonts w:ascii="仿宋" w:eastAsia="仿宋" w:hAnsi="仿宋" w:cs="仿宋"/>
        </w:rPr>
        <w:t>目支出</w:t>
      </w:r>
      <w:r>
        <w:rPr>
          <w:rFonts w:ascii="仿宋" w:eastAsia="仿宋" w:hAnsi="仿宋" w:cs="仿宋"/>
        </w:rPr>
        <w:t>104.1</w:t>
      </w:r>
      <w:r>
        <w:rPr>
          <w:rFonts w:ascii="仿宋" w:eastAsia="仿宋" w:hAnsi="仿宋" w:cs="仿宋"/>
        </w:rPr>
        <w:t>万元，占</w:t>
      </w:r>
      <w:r>
        <w:rPr>
          <w:rFonts w:ascii="仿宋" w:eastAsia="仿宋" w:hAnsi="仿宋" w:cs="仿宋"/>
        </w:rPr>
        <w:t>21.25%</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176A4B">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509.98</w:t>
      </w:r>
      <w:r>
        <w:rPr>
          <w:rFonts w:ascii="仿宋" w:eastAsia="仿宋" w:hAnsi="仿宋" w:cs="仿宋"/>
        </w:rPr>
        <w:t>万元。与上年相比，收、支总计各增加</w:t>
      </w:r>
      <w:r>
        <w:rPr>
          <w:rFonts w:ascii="仿宋" w:eastAsia="仿宋" w:hAnsi="仿宋" w:cs="仿宋"/>
        </w:rPr>
        <w:t>17.43</w:t>
      </w:r>
      <w:r>
        <w:rPr>
          <w:rFonts w:ascii="仿宋" w:eastAsia="仿宋" w:hAnsi="仿宋" w:cs="仿宋"/>
        </w:rPr>
        <w:t>万元，增长</w:t>
      </w:r>
      <w:r>
        <w:rPr>
          <w:rFonts w:ascii="仿宋" w:eastAsia="仿宋" w:hAnsi="仿宋" w:cs="仿宋"/>
        </w:rPr>
        <w:t>3.54%</w:t>
      </w:r>
      <w:r>
        <w:rPr>
          <w:rFonts w:ascii="仿宋" w:eastAsia="仿宋" w:hAnsi="仿宋" w:cs="仿宋"/>
        </w:rPr>
        <w:t>，变动原因：正常增人增资。</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489.93</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483.48</w:t>
      </w:r>
      <w:r>
        <w:rPr>
          <w:rFonts w:ascii="仿宋" w:eastAsia="仿宋" w:hAnsi="仿宋" w:cs="仿宋"/>
        </w:rPr>
        <w:t>万元相比，完成年初预算的</w:t>
      </w:r>
      <w:r>
        <w:rPr>
          <w:rFonts w:ascii="仿宋" w:eastAsia="仿宋" w:hAnsi="仿宋" w:cs="仿宋"/>
        </w:rPr>
        <w:t>101.33%</w:t>
      </w:r>
      <w:r>
        <w:rPr>
          <w:rFonts w:ascii="仿宋" w:eastAsia="仿宋" w:hAnsi="仿宋" w:cs="仿宋"/>
        </w:rPr>
        <w:t>。其中：</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行政事业单位养老支出（款）事业单位离退休（项）。年初预算</w:t>
      </w:r>
      <w:r>
        <w:rPr>
          <w:rFonts w:ascii="仿宋" w:eastAsia="仿宋" w:hAnsi="仿宋" w:cs="仿宋"/>
        </w:rPr>
        <w:t>0.71</w:t>
      </w:r>
      <w:r>
        <w:rPr>
          <w:rFonts w:ascii="仿宋" w:eastAsia="仿宋" w:hAnsi="仿宋" w:cs="仿宋"/>
        </w:rPr>
        <w:t>万元，支出决算</w:t>
      </w:r>
      <w:r>
        <w:rPr>
          <w:rFonts w:ascii="仿宋" w:eastAsia="仿宋" w:hAnsi="仿宋" w:cs="仿宋"/>
        </w:rPr>
        <w:t>0.71</w:t>
      </w:r>
      <w:r>
        <w:rPr>
          <w:rFonts w:ascii="仿宋" w:eastAsia="仿宋" w:hAnsi="仿宋" w:cs="仿宋"/>
        </w:rPr>
        <w:t>万元，完成年初预算的</w:t>
      </w:r>
      <w:r>
        <w:rPr>
          <w:rFonts w:ascii="仿宋" w:eastAsia="仿宋" w:hAnsi="仿宋" w:cs="仿宋"/>
        </w:rPr>
        <w:t>100%</w:t>
      </w:r>
      <w:r>
        <w:rPr>
          <w:rFonts w:ascii="仿宋" w:eastAsia="仿宋" w:hAnsi="仿宋" w:cs="仿宋"/>
        </w:rPr>
        <w:t>。决算</w:t>
      </w:r>
      <w:r>
        <w:rPr>
          <w:rFonts w:ascii="仿宋" w:eastAsia="仿宋" w:hAnsi="仿宋" w:cs="仿宋"/>
        </w:rPr>
        <w:t>数与年初预算数相同。</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26.29</w:t>
      </w:r>
      <w:r>
        <w:rPr>
          <w:rFonts w:ascii="仿宋" w:eastAsia="仿宋" w:hAnsi="仿宋" w:cs="仿宋"/>
        </w:rPr>
        <w:t>万元，支出决算</w:t>
      </w:r>
      <w:r>
        <w:rPr>
          <w:rFonts w:ascii="仿宋" w:eastAsia="仿宋" w:hAnsi="仿宋" w:cs="仿宋"/>
        </w:rPr>
        <w:t>26.29</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13.15</w:t>
      </w:r>
      <w:r>
        <w:rPr>
          <w:rFonts w:ascii="仿宋" w:eastAsia="仿宋" w:hAnsi="仿宋" w:cs="仿宋"/>
        </w:rPr>
        <w:t>万元，支出决算</w:t>
      </w:r>
      <w:r>
        <w:rPr>
          <w:rFonts w:ascii="仿宋" w:eastAsia="仿宋" w:hAnsi="仿宋" w:cs="仿宋"/>
        </w:rPr>
        <w:t>13.15</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（二）农林水支出（类）</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246.7</w:t>
      </w:r>
      <w:r>
        <w:rPr>
          <w:rFonts w:ascii="仿宋" w:eastAsia="仿宋" w:hAnsi="仿宋" w:cs="仿宋"/>
        </w:rPr>
        <w:t>万元，支出决算</w:t>
      </w:r>
      <w:r>
        <w:rPr>
          <w:rFonts w:ascii="仿宋" w:eastAsia="仿宋" w:hAnsi="仿宋" w:cs="仿宋"/>
        </w:rPr>
        <w:t>251.17</w:t>
      </w:r>
      <w:r>
        <w:rPr>
          <w:rFonts w:ascii="仿宋" w:eastAsia="仿宋" w:hAnsi="仿宋" w:cs="仿宋"/>
        </w:rPr>
        <w:t>万元，完成年初预算的</w:t>
      </w:r>
      <w:r>
        <w:rPr>
          <w:rFonts w:ascii="仿宋" w:eastAsia="仿宋" w:hAnsi="仿宋" w:cs="仿宋"/>
        </w:rPr>
        <w:t>101.81%</w:t>
      </w:r>
      <w:r>
        <w:rPr>
          <w:rFonts w:ascii="仿宋" w:eastAsia="仿宋" w:hAnsi="仿宋" w:cs="仿宋"/>
        </w:rPr>
        <w:t>。决算数与年初预算数的</w:t>
      </w:r>
      <w:r>
        <w:rPr>
          <w:rFonts w:ascii="仿宋" w:eastAsia="仿宋" w:hAnsi="仿宋" w:cs="仿宋"/>
        </w:rPr>
        <w:t>差异原因：正常的增人增资。</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农业农村（款）农业资源保护修复与利用（项）。年初预算</w:t>
      </w:r>
      <w:r>
        <w:rPr>
          <w:rFonts w:ascii="仿宋" w:eastAsia="仿宋" w:hAnsi="仿宋" w:cs="仿宋"/>
        </w:rPr>
        <w:t>104</w:t>
      </w:r>
      <w:r>
        <w:rPr>
          <w:rFonts w:ascii="仿宋" w:eastAsia="仿宋" w:hAnsi="仿宋" w:cs="仿宋"/>
        </w:rPr>
        <w:t>万元，支出决算</w:t>
      </w:r>
      <w:r>
        <w:rPr>
          <w:rFonts w:ascii="仿宋" w:eastAsia="仿宋" w:hAnsi="仿宋" w:cs="仿宋"/>
        </w:rPr>
        <w:t>92.6</w:t>
      </w:r>
      <w:r>
        <w:rPr>
          <w:rFonts w:ascii="仿宋" w:eastAsia="仿宋" w:hAnsi="仿宋" w:cs="仿宋"/>
        </w:rPr>
        <w:t>万元，完成年初预算的</w:t>
      </w:r>
      <w:r>
        <w:rPr>
          <w:rFonts w:ascii="仿宋" w:eastAsia="仿宋" w:hAnsi="仿宋" w:cs="仿宋"/>
        </w:rPr>
        <w:t>89.04%</w:t>
      </w:r>
      <w:r>
        <w:rPr>
          <w:rFonts w:ascii="仿宋" w:eastAsia="仿宋" w:hAnsi="仿宋" w:cs="仿宋"/>
        </w:rPr>
        <w:t>。决算数与年初预算数的差异原因：根据财政要求核减支出。</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农业农村（款）其他农业农村支出（项）。年初预算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11.5</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万元，无法计算完成比率）决算数与年初预算数的差异原因：财政调整年初预算。</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lastRenderedPageBreak/>
        <w:t>25.06</w:t>
      </w:r>
      <w:r>
        <w:rPr>
          <w:rFonts w:ascii="仿宋" w:eastAsia="仿宋" w:hAnsi="仿宋" w:cs="仿宋"/>
        </w:rPr>
        <w:t>万元，支出决算</w:t>
      </w:r>
      <w:r>
        <w:rPr>
          <w:rFonts w:ascii="仿宋" w:eastAsia="仿宋" w:hAnsi="仿宋" w:cs="仿宋"/>
        </w:rPr>
        <w:t>25.86</w:t>
      </w:r>
      <w:r>
        <w:rPr>
          <w:rFonts w:ascii="仿宋" w:eastAsia="仿宋" w:hAnsi="仿宋" w:cs="仿宋"/>
        </w:rPr>
        <w:t>万元，完成年初预算的</w:t>
      </w:r>
      <w:r>
        <w:rPr>
          <w:rFonts w:ascii="仿宋" w:eastAsia="仿宋" w:hAnsi="仿宋" w:cs="仿宋"/>
        </w:rPr>
        <w:t>103.19%</w:t>
      </w:r>
      <w:r>
        <w:rPr>
          <w:rFonts w:ascii="仿宋" w:eastAsia="仿宋" w:hAnsi="仿宋" w:cs="仿宋"/>
        </w:rPr>
        <w:t>。决算数与年初预算数的差异原因：正常的增人增资。</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67.57</w:t>
      </w:r>
      <w:r>
        <w:rPr>
          <w:rFonts w:ascii="仿宋" w:eastAsia="仿宋" w:hAnsi="仿宋" w:cs="仿宋"/>
        </w:rPr>
        <w:t>万元，支出决算</w:t>
      </w:r>
      <w:r>
        <w:rPr>
          <w:rFonts w:ascii="仿宋" w:eastAsia="仿宋" w:hAnsi="仿宋" w:cs="仿宋"/>
        </w:rPr>
        <w:t>68.65</w:t>
      </w:r>
      <w:r>
        <w:rPr>
          <w:rFonts w:ascii="仿宋" w:eastAsia="仿宋" w:hAnsi="仿宋" w:cs="仿宋"/>
        </w:rPr>
        <w:t>万元，完成年初预算的</w:t>
      </w:r>
      <w:r>
        <w:rPr>
          <w:rFonts w:ascii="仿宋" w:eastAsia="仿宋" w:hAnsi="仿宋" w:cs="仿宋"/>
        </w:rPr>
        <w:t>101.6%</w:t>
      </w:r>
      <w:r>
        <w:rPr>
          <w:rFonts w:ascii="仿宋" w:eastAsia="仿宋" w:hAnsi="仿宋" w:cs="仿宋"/>
        </w:rPr>
        <w:t>。决算数与年初预算数的差异原因：正常的增人增资。</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385.83</w:t>
      </w:r>
      <w:r>
        <w:rPr>
          <w:rFonts w:ascii="仿宋" w:eastAsia="仿宋" w:hAnsi="仿宋" w:cs="仿宋"/>
        </w:rPr>
        <w:t>万元，其中：</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361.66</w:t>
      </w:r>
      <w:r>
        <w:rPr>
          <w:rFonts w:ascii="楷体" w:eastAsia="楷体" w:hAnsi="楷体" w:cs="楷体"/>
        </w:rPr>
        <w:t>万元。</w:t>
      </w:r>
      <w:r>
        <w:rPr>
          <w:rFonts w:ascii="仿宋" w:eastAsia="仿宋" w:hAnsi="仿宋" w:cs="仿宋"/>
        </w:rPr>
        <w:t>主要包括：基本工资、津贴补贴、绩效工资、机关事业单位基本养老</w:t>
      </w:r>
      <w:r>
        <w:rPr>
          <w:rFonts w:ascii="仿宋" w:eastAsia="仿宋" w:hAnsi="仿宋" w:cs="仿宋"/>
        </w:rPr>
        <w:t>保险缴费、职业年金缴费、住房公积金、医疗费、其他工资福利支出、生活补助、其他对个人和家庭的补助。</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24.17</w:t>
      </w:r>
      <w:r>
        <w:rPr>
          <w:rFonts w:ascii="楷体" w:eastAsia="楷体" w:hAnsi="楷体" w:cs="楷体"/>
        </w:rPr>
        <w:t>万元。</w:t>
      </w:r>
      <w:r>
        <w:rPr>
          <w:rFonts w:ascii="仿宋" w:eastAsia="仿宋" w:hAnsi="仿宋" w:cs="仿宋"/>
        </w:rPr>
        <w:t>主要包括：办公费、手续费、水费、电费、邮电费、差旅费、会议费、培训费、公务接待费、工会经费、福利费、公务用车运行维护费、其他交通费用、税金及附加费用、其他商品和服务支出。</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489.93</w:t>
      </w:r>
      <w:r>
        <w:rPr>
          <w:rFonts w:ascii="仿宋" w:eastAsia="仿宋" w:hAnsi="仿宋" w:cs="仿宋"/>
        </w:rPr>
        <w:t>万元。与上年相比，增加</w:t>
      </w:r>
      <w:r>
        <w:rPr>
          <w:rFonts w:ascii="仿宋" w:eastAsia="仿宋" w:hAnsi="仿宋" w:cs="仿宋"/>
        </w:rPr>
        <w:t>18.46</w:t>
      </w:r>
      <w:r>
        <w:rPr>
          <w:rFonts w:ascii="仿宋" w:eastAsia="仿宋" w:hAnsi="仿宋" w:cs="仿宋"/>
        </w:rPr>
        <w:t>万元，增长</w:t>
      </w:r>
      <w:r>
        <w:rPr>
          <w:rFonts w:ascii="仿宋" w:eastAsia="仿宋" w:hAnsi="仿宋" w:cs="仿宋"/>
        </w:rPr>
        <w:t>3.92%</w:t>
      </w:r>
      <w:r>
        <w:rPr>
          <w:rFonts w:ascii="仿宋" w:eastAsia="仿宋" w:hAnsi="仿宋" w:cs="仿宋"/>
        </w:rPr>
        <w:t>，变动原因：正常的增人增资。</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w:t>
      </w:r>
      <w:r>
        <w:rPr>
          <w:rFonts w:ascii="仿宋" w:eastAsia="仿宋" w:hAnsi="仿宋" w:cs="仿宋"/>
        </w:rPr>
        <w:t>3</w:t>
      </w:r>
      <w:r>
        <w:rPr>
          <w:rFonts w:ascii="仿宋" w:eastAsia="仿宋" w:hAnsi="仿宋" w:cs="仿宋"/>
        </w:rPr>
        <w:t>年度一般公共预算财政拨款基本支出决算</w:t>
      </w:r>
      <w:r>
        <w:rPr>
          <w:rFonts w:ascii="仿宋" w:eastAsia="仿宋" w:hAnsi="仿宋" w:cs="仿宋"/>
        </w:rPr>
        <w:t>385.83</w:t>
      </w:r>
      <w:r>
        <w:rPr>
          <w:rFonts w:ascii="仿宋" w:eastAsia="仿宋" w:hAnsi="仿宋" w:cs="仿宋"/>
        </w:rPr>
        <w:t>万元，其中：</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lastRenderedPageBreak/>
        <w:t>（一）人员经费</w:t>
      </w:r>
      <w:r>
        <w:rPr>
          <w:rFonts w:ascii="楷体" w:eastAsia="楷体" w:hAnsi="楷体" w:cs="楷体"/>
        </w:rPr>
        <w:t>361.66</w:t>
      </w:r>
      <w:r>
        <w:rPr>
          <w:rFonts w:ascii="楷体" w:eastAsia="楷体" w:hAnsi="楷体" w:cs="楷体"/>
        </w:rPr>
        <w:t>万元。</w:t>
      </w:r>
      <w:r>
        <w:rPr>
          <w:rFonts w:ascii="仿宋" w:eastAsia="仿宋" w:hAnsi="仿宋" w:cs="仿宋"/>
        </w:rPr>
        <w:t>主要包括：基本工资、津贴补贴、绩效工资、机关事业单位基本养老保险缴费、职业年金缴费、住房公积金、医疗费、其他工资福利支出、生活补助、其他对个人和家庭的补助。</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24.17</w:t>
      </w:r>
      <w:r>
        <w:rPr>
          <w:rFonts w:ascii="楷体" w:eastAsia="楷体" w:hAnsi="楷体" w:cs="楷体"/>
        </w:rPr>
        <w:t>万元。</w:t>
      </w:r>
      <w:r>
        <w:rPr>
          <w:rFonts w:ascii="仿宋" w:eastAsia="仿宋" w:hAnsi="仿宋" w:cs="仿宋"/>
        </w:rPr>
        <w:t>主要包括：办公费、手续费、水费、电费、邮电费、差旅费、会议费、培训费、公务接待费、工会经费、福利费、公务用车运行维护费、其他交通费用、税金及附加费用、其他商品和服务支出。</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2.3</w:t>
      </w:r>
      <w:r>
        <w:rPr>
          <w:rFonts w:ascii="仿宋" w:eastAsia="仿宋" w:hAnsi="仿宋" w:cs="仿宋"/>
        </w:rPr>
        <w:t>万元（其中：一般公共预算支出</w:t>
      </w:r>
      <w:r>
        <w:rPr>
          <w:rFonts w:ascii="仿宋" w:eastAsia="仿宋" w:hAnsi="仿宋" w:cs="仿宋"/>
        </w:rPr>
        <w:t>2.3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万元）。与上年相比，减少</w:t>
      </w:r>
      <w:r>
        <w:rPr>
          <w:rFonts w:ascii="仿宋" w:eastAsia="仿宋" w:hAnsi="仿宋" w:cs="仿宋"/>
        </w:rPr>
        <w:t>0.35</w:t>
      </w:r>
      <w:r>
        <w:rPr>
          <w:rFonts w:ascii="仿宋" w:eastAsia="仿宋" w:hAnsi="仿宋" w:cs="仿宋"/>
        </w:rPr>
        <w:t>万元，变动原因：核减支出。其中，因公出国（境）费支出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2.24</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97.39%</w:t>
      </w:r>
      <w:r>
        <w:rPr>
          <w:rFonts w:ascii="仿宋" w:eastAsia="仿宋" w:hAnsi="仿宋" w:cs="仿宋"/>
        </w:rPr>
        <w:t>；公务接待费支出</w:t>
      </w:r>
      <w:r>
        <w:rPr>
          <w:rFonts w:ascii="仿宋" w:eastAsia="仿宋" w:hAnsi="仿宋" w:cs="仿宋"/>
        </w:rPr>
        <w:t>0.06</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2.61%</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3.24</w:t>
      </w:r>
      <w:r>
        <w:rPr>
          <w:rFonts w:ascii="仿宋" w:eastAsia="仿宋" w:hAnsi="仿宋" w:cs="仿宋"/>
        </w:rPr>
        <w:t>万元（其中：一般公共预算支出</w:t>
      </w:r>
      <w:r>
        <w:rPr>
          <w:rFonts w:ascii="仿宋" w:eastAsia="仿宋" w:hAnsi="仿宋" w:cs="仿宋"/>
        </w:rPr>
        <w:t>3.24</w:t>
      </w:r>
      <w:r>
        <w:rPr>
          <w:rFonts w:ascii="仿宋" w:eastAsia="仿宋" w:hAnsi="仿宋" w:cs="仿宋"/>
        </w:rPr>
        <w:t>万元；</w:t>
      </w:r>
      <w:r>
        <w:rPr>
          <w:rFonts w:ascii="仿宋" w:eastAsia="仿宋" w:hAnsi="仿宋" w:cs="仿宋"/>
        </w:rPr>
        <w:t>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万元）。决算数与预算数的差异原因：核减支出。</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．公务用车购置及运行维护费支出预算</w:t>
      </w:r>
      <w:r>
        <w:rPr>
          <w:rFonts w:ascii="仿宋" w:eastAsia="仿宋" w:hAnsi="仿宋" w:cs="仿宋"/>
        </w:rPr>
        <w:t>2.24</w:t>
      </w:r>
      <w:r>
        <w:rPr>
          <w:rFonts w:ascii="仿宋" w:eastAsia="仿宋" w:hAnsi="仿宋" w:cs="仿宋"/>
        </w:rPr>
        <w:t>万</w:t>
      </w:r>
      <w:r>
        <w:rPr>
          <w:rFonts w:ascii="仿宋" w:eastAsia="仿宋" w:hAnsi="仿宋" w:cs="仿宋"/>
        </w:rPr>
        <w:t>元（其中：一般公共预算支出</w:t>
      </w:r>
      <w:r>
        <w:rPr>
          <w:rFonts w:ascii="仿宋" w:eastAsia="仿宋" w:hAnsi="仿宋" w:cs="仿宋"/>
        </w:rPr>
        <w:t>2.24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2.24</w:t>
      </w:r>
      <w:r>
        <w:rPr>
          <w:rFonts w:ascii="仿宋" w:eastAsia="仿宋" w:hAnsi="仿宋" w:cs="仿宋"/>
        </w:rPr>
        <w:t>万元（其中：一般公共预算支出</w:t>
      </w:r>
      <w:r>
        <w:rPr>
          <w:rFonts w:ascii="仿宋" w:eastAsia="仿宋" w:hAnsi="仿宋" w:cs="仿宋"/>
        </w:rPr>
        <w:t>2.24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100%</w:t>
      </w:r>
      <w:r>
        <w:rPr>
          <w:rFonts w:ascii="仿宋" w:eastAsia="仿宋" w:hAnsi="仿宋" w:cs="仿宋"/>
        </w:rPr>
        <w:t>，决算数与预算数相同。其中：</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2.24</w:t>
      </w:r>
      <w:r>
        <w:rPr>
          <w:rFonts w:ascii="仿宋" w:eastAsia="仿宋" w:hAnsi="仿宋" w:cs="仿宋"/>
        </w:rPr>
        <w:t>万元。公务用车运行维护费主要用于按规定保留的公务用车的燃料费、维修费、过桥过路费、保险费、安全奖励费用等支出。截至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w:t>
      </w:r>
      <w:r>
        <w:rPr>
          <w:rFonts w:ascii="仿宋" w:eastAsia="仿宋" w:hAnsi="仿宋" w:cs="仿宋"/>
        </w:rPr>
        <w:t>，使用财政拨款开支的公务用车保有量为</w:t>
      </w:r>
      <w:r>
        <w:rPr>
          <w:rFonts w:ascii="仿宋" w:eastAsia="仿宋" w:hAnsi="仿宋" w:cs="仿宋"/>
        </w:rPr>
        <w:t>1</w:t>
      </w:r>
      <w:r>
        <w:rPr>
          <w:rFonts w:ascii="仿宋" w:eastAsia="仿宋" w:hAnsi="仿宋" w:cs="仿宋"/>
        </w:rPr>
        <w:t>辆。</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1</w:t>
      </w:r>
      <w:r>
        <w:rPr>
          <w:rFonts w:ascii="仿宋" w:eastAsia="仿宋" w:hAnsi="仿宋" w:cs="仿宋"/>
        </w:rPr>
        <w:t>万元（其中：一般公共预算支出</w:t>
      </w:r>
      <w:r>
        <w:rPr>
          <w:rFonts w:ascii="仿宋" w:eastAsia="仿宋" w:hAnsi="仿宋" w:cs="仿宋"/>
        </w:rPr>
        <w:t>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0.06</w:t>
      </w:r>
      <w:r>
        <w:rPr>
          <w:rFonts w:ascii="仿宋" w:eastAsia="仿宋" w:hAnsi="仿宋" w:cs="仿宋"/>
        </w:rPr>
        <w:t>万元（其中：一般公共预算支出</w:t>
      </w:r>
      <w:r>
        <w:rPr>
          <w:rFonts w:ascii="仿宋" w:eastAsia="仿宋" w:hAnsi="仿宋" w:cs="仿宋"/>
        </w:rPr>
        <w:t>0.06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lastRenderedPageBreak/>
        <w:t>万元），完成调整后预算的</w:t>
      </w:r>
      <w:r>
        <w:rPr>
          <w:rFonts w:ascii="仿宋" w:eastAsia="仿宋" w:hAnsi="仿宋" w:cs="仿宋"/>
        </w:rPr>
        <w:t>6%</w:t>
      </w:r>
      <w:r>
        <w:rPr>
          <w:rFonts w:ascii="仿宋" w:eastAsia="仿宋" w:hAnsi="仿宋" w:cs="仿宋"/>
        </w:rPr>
        <w:t>，决算数与预算数的差异原因：核减支出。其中：国内公务接待支出</w:t>
      </w:r>
      <w:r>
        <w:rPr>
          <w:rFonts w:ascii="仿宋" w:eastAsia="仿宋" w:hAnsi="仿宋" w:cs="仿宋"/>
        </w:rPr>
        <w:t>0.06</w:t>
      </w:r>
      <w:r>
        <w:rPr>
          <w:rFonts w:ascii="仿宋" w:eastAsia="仿宋" w:hAnsi="仿宋" w:cs="仿宋"/>
        </w:rPr>
        <w:t>万元，接待</w:t>
      </w:r>
      <w:r>
        <w:rPr>
          <w:rFonts w:ascii="仿宋" w:eastAsia="仿宋" w:hAnsi="仿宋" w:cs="仿宋"/>
        </w:rPr>
        <w:t>5</w:t>
      </w:r>
      <w:r>
        <w:rPr>
          <w:rFonts w:ascii="仿宋" w:eastAsia="仿宋" w:hAnsi="仿宋" w:cs="仿宋"/>
        </w:rPr>
        <w:t>批次，</w:t>
      </w:r>
      <w:r>
        <w:rPr>
          <w:rFonts w:ascii="仿宋" w:eastAsia="仿宋" w:hAnsi="仿宋" w:cs="仿宋"/>
        </w:rPr>
        <w:t>18</w:t>
      </w:r>
      <w:r>
        <w:rPr>
          <w:rFonts w:ascii="仿宋" w:eastAsia="仿宋" w:hAnsi="仿宋" w:cs="仿宋"/>
        </w:rPr>
        <w:t>人次，开支内容：工作餐支出；国（境）外公务接待支出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1</w:t>
      </w:r>
      <w:r>
        <w:rPr>
          <w:rFonts w:ascii="仿宋" w:eastAsia="仿宋" w:hAnsi="仿宋" w:cs="仿宋"/>
        </w:rPr>
        <w:t>万元（其中：一般公共预算支出</w:t>
      </w:r>
      <w:r>
        <w:rPr>
          <w:rFonts w:ascii="仿宋" w:eastAsia="仿宋" w:hAnsi="仿宋" w:cs="仿宋"/>
        </w:rPr>
        <w:t>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0.15</w:t>
      </w:r>
      <w:r>
        <w:rPr>
          <w:rFonts w:ascii="仿宋" w:eastAsia="仿宋" w:hAnsi="仿宋" w:cs="仿宋"/>
        </w:rPr>
        <w:t>万元（其中：一般公共预算支出</w:t>
      </w:r>
      <w:r>
        <w:rPr>
          <w:rFonts w:ascii="仿宋" w:eastAsia="仿宋" w:hAnsi="仿宋" w:cs="仿宋"/>
        </w:rPr>
        <w:t>0.15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15%</w:t>
      </w:r>
      <w:r>
        <w:rPr>
          <w:rFonts w:ascii="仿宋" w:eastAsia="仿宋" w:hAnsi="仿宋" w:cs="仿宋"/>
        </w:rPr>
        <w:t>，决算数与预算数的差异原因：核减支出。</w:t>
      </w:r>
      <w:r>
        <w:rPr>
          <w:rFonts w:ascii="仿宋" w:eastAsia="仿宋" w:hAnsi="仿宋" w:cs="仿宋"/>
        </w:rPr>
        <w:t>2023</w:t>
      </w:r>
      <w:r>
        <w:rPr>
          <w:rFonts w:ascii="仿宋" w:eastAsia="仿宋" w:hAnsi="仿宋" w:cs="仿宋"/>
        </w:rPr>
        <w:t>年度全年召开会议</w:t>
      </w:r>
      <w:r>
        <w:rPr>
          <w:rFonts w:ascii="仿宋" w:eastAsia="仿宋" w:hAnsi="仿宋" w:cs="仿宋"/>
        </w:rPr>
        <w:t>1</w:t>
      </w:r>
      <w:r>
        <w:rPr>
          <w:rFonts w:ascii="仿宋" w:eastAsia="仿宋" w:hAnsi="仿宋" w:cs="仿宋"/>
        </w:rPr>
        <w:t>个，参加会议</w:t>
      </w:r>
      <w:r>
        <w:rPr>
          <w:rFonts w:ascii="仿宋" w:eastAsia="仿宋" w:hAnsi="仿宋" w:cs="仿宋"/>
        </w:rPr>
        <w:t>16</w:t>
      </w:r>
      <w:r>
        <w:rPr>
          <w:rFonts w:ascii="仿宋" w:eastAsia="仿宋" w:hAnsi="仿宋" w:cs="仿宋"/>
        </w:rPr>
        <w:t>人次，开支内容：全市</w:t>
      </w:r>
      <w:r>
        <w:rPr>
          <w:rFonts w:ascii="仿宋" w:eastAsia="仿宋" w:hAnsi="仿宋" w:cs="仿宋"/>
        </w:rPr>
        <w:t>2021-2022</w:t>
      </w:r>
      <w:r>
        <w:rPr>
          <w:rFonts w:ascii="仿宋" w:eastAsia="仿宋" w:hAnsi="仿宋" w:cs="仿宋"/>
        </w:rPr>
        <w:t>年化肥减量增效工作成果会议费用。</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1.74</w:t>
      </w:r>
      <w:r>
        <w:rPr>
          <w:rFonts w:ascii="仿宋" w:eastAsia="仿宋" w:hAnsi="仿宋" w:cs="仿宋"/>
        </w:rPr>
        <w:t>万元（其中：一般公共预</w:t>
      </w:r>
      <w:r>
        <w:rPr>
          <w:rFonts w:ascii="仿宋" w:eastAsia="仿宋" w:hAnsi="仿宋" w:cs="仿宋"/>
        </w:rPr>
        <w:t>算支出</w:t>
      </w:r>
      <w:r>
        <w:rPr>
          <w:rFonts w:ascii="仿宋" w:eastAsia="仿宋" w:hAnsi="仿宋" w:cs="仿宋"/>
        </w:rPr>
        <w:t>1.74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0.62</w:t>
      </w:r>
      <w:r>
        <w:rPr>
          <w:rFonts w:ascii="仿宋" w:eastAsia="仿宋" w:hAnsi="仿宋" w:cs="仿宋"/>
        </w:rPr>
        <w:t>万元（其中：一般公共预算支出</w:t>
      </w:r>
      <w:r>
        <w:rPr>
          <w:rFonts w:ascii="仿宋" w:eastAsia="仿宋" w:hAnsi="仿宋" w:cs="仿宋"/>
        </w:rPr>
        <w:t>0.62</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万元），完成调整后预算的</w:t>
      </w:r>
      <w:r>
        <w:rPr>
          <w:rFonts w:ascii="仿宋" w:eastAsia="仿宋" w:hAnsi="仿宋" w:cs="仿宋"/>
        </w:rPr>
        <w:t>35.63%</w:t>
      </w:r>
      <w:r>
        <w:rPr>
          <w:rFonts w:ascii="仿宋" w:eastAsia="仿宋" w:hAnsi="仿宋" w:cs="仿宋"/>
        </w:rPr>
        <w:t>，决算数与预算数的差异原因：核减支出。</w:t>
      </w:r>
      <w:r>
        <w:rPr>
          <w:rFonts w:ascii="仿宋" w:eastAsia="仿宋" w:hAnsi="仿宋" w:cs="仿宋"/>
        </w:rPr>
        <w:t>2023</w:t>
      </w:r>
      <w:r>
        <w:rPr>
          <w:rFonts w:ascii="仿宋" w:eastAsia="仿宋" w:hAnsi="仿宋" w:cs="仿宋"/>
        </w:rPr>
        <w:t>年度全年组织培训</w:t>
      </w:r>
      <w:r>
        <w:rPr>
          <w:rFonts w:ascii="仿宋" w:eastAsia="仿宋" w:hAnsi="仿宋" w:cs="仿宋"/>
        </w:rPr>
        <w:t>3</w:t>
      </w:r>
      <w:r>
        <w:rPr>
          <w:rFonts w:ascii="仿宋" w:eastAsia="仿宋" w:hAnsi="仿宋" w:cs="仿宋"/>
        </w:rPr>
        <w:t>个，组织培训</w:t>
      </w:r>
      <w:r>
        <w:rPr>
          <w:rFonts w:ascii="仿宋" w:eastAsia="仿宋" w:hAnsi="仿宋" w:cs="仿宋"/>
        </w:rPr>
        <w:t>4</w:t>
      </w:r>
      <w:r>
        <w:rPr>
          <w:rFonts w:ascii="仿宋" w:eastAsia="仿宋" w:hAnsi="仿宋" w:cs="仿宋"/>
        </w:rPr>
        <w:t>人次，开支内容：均为参加培训，刘健明参加三普质控培训费用；徐生和何建桥参加领导干部党校学习培训</w:t>
      </w:r>
      <w:r>
        <w:rPr>
          <w:rFonts w:ascii="仿宋" w:eastAsia="仿宋" w:hAnsi="仿宋" w:cs="仿宋"/>
        </w:rPr>
        <w:lastRenderedPageBreak/>
        <w:t>费用；徐生参加古田学院支部书记培训费用。</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w:t>
      </w:r>
      <w:r>
        <w:rPr>
          <w:rFonts w:ascii="仿宋" w:eastAsia="仿宋" w:hAnsi="仿宋" w:cs="仿宋"/>
        </w:rPr>
        <w:t>出决算</w:t>
      </w:r>
      <w:r>
        <w:rPr>
          <w:rFonts w:ascii="仿宋" w:eastAsia="仿宋" w:hAnsi="仿宋" w:cs="仿宋"/>
        </w:rPr>
        <w:t>0</w:t>
      </w:r>
      <w:r>
        <w:rPr>
          <w:rFonts w:ascii="仿宋" w:eastAsia="仿宋" w:hAnsi="仿宋" w:cs="仿宋"/>
        </w:rPr>
        <w:t>万元。与上年决算数相同。</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万元）。与上年决算数相同。</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年度政府采购支出总额</w:t>
      </w:r>
      <w:r>
        <w:rPr>
          <w:rFonts w:ascii="仿宋" w:eastAsia="仿宋" w:hAnsi="仿宋" w:cs="仿宋"/>
        </w:rPr>
        <w:t>34</w:t>
      </w:r>
      <w:r>
        <w:rPr>
          <w:rFonts w:ascii="仿宋" w:eastAsia="仿宋" w:hAnsi="仿宋" w:cs="仿宋"/>
        </w:rPr>
        <w:t>万元，其中：政府采购货物支出</w:t>
      </w:r>
      <w:r>
        <w:rPr>
          <w:rFonts w:ascii="仿宋" w:eastAsia="仿宋" w:hAnsi="仿宋" w:cs="仿宋"/>
        </w:rPr>
        <w:t>0</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34</w:t>
      </w:r>
      <w:r>
        <w:rPr>
          <w:rFonts w:ascii="仿宋" w:eastAsia="仿宋" w:hAnsi="仿宋" w:cs="仿宋"/>
        </w:rPr>
        <w:t>万元。政府采购授予中小企</w:t>
      </w:r>
      <w:r>
        <w:rPr>
          <w:rFonts w:ascii="仿宋" w:eastAsia="仿宋" w:hAnsi="仿宋" w:cs="仿宋"/>
        </w:rPr>
        <w:t>业合同金额</w:t>
      </w:r>
      <w:r>
        <w:rPr>
          <w:rFonts w:ascii="仿宋" w:eastAsia="仿宋" w:hAnsi="仿宋" w:cs="仿宋"/>
        </w:rPr>
        <w:t>34</w:t>
      </w:r>
      <w:r>
        <w:rPr>
          <w:rFonts w:ascii="仿宋" w:eastAsia="仿宋" w:hAnsi="仿宋" w:cs="仿宋"/>
        </w:rPr>
        <w:t>万元，占政府采购支出总额的</w:t>
      </w:r>
      <w:r>
        <w:rPr>
          <w:rFonts w:ascii="仿宋" w:eastAsia="仿宋" w:hAnsi="仿宋" w:cs="仿宋"/>
        </w:rPr>
        <w:t>100%</w:t>
      </w:r>
      <w:r>
        <w:rPr>
          <w:rFonts w:ascii="仿宋" w:eastAsia="仿宋" w:hAnsi="仿宋" w:cs="仿宋"/>
        </w:rPr>
        <w:t>，其中：授予小微企业合同金额</w:t>
      </w:r>
      <w:r>
        <w:rPr>
          <w:rFonts w:ascii="仿宋" w:eastAsia="仿宋" w:hAnsi="仿宋" w:cs="仿宋"/>
        </w:rPr>
        <w:t>34</w:t>
      </w:r>
      <w:r>
        <w:rPr>
          <w:rFonts w:ascii="仿宋" w:eastAsia="仿宋" w:hAnsi="仿宋" w:cs="仿宋"/>
        </w:rPr>
        <w:t>万元，占授予中小企业合同金额的</w:t>
      </w:r>
      <w:r>
        <w:rPr>
          <w:rFonts w:ascii="仿宋" w:eastAsia="仿宋" w:hAnsi="仿宋" w:cs="仿宋"/>
        </w:rPr>
        <w:t>100%</w:t>
      </w:r>
      <w:r>
        <w:rPr>
          <w:rFonts w:ascii="仿宋" w:eastAsia="仿宋" w:hAnsi="仿宋" w:cs="仿宋"/>
        </w:rPr>
        <w:t>。</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0</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1</w:t>
      </w:r>
      <w:r>
        <w:rPr>
          <w:rFonts w:ascii="仿宋" w:eastAsia="仿宋" w:hAnsi="仿宋" w:cs="仿宋"/>
        </w:rPr>
        <w:t>辆；单</w:t>
      </w:r>
      <w:r>
        <w:rPr>
          <w:rFonts w:ascii="仿宋" w:eastAsia="仿宋" w:hAnsi="仿宋" w:cs="仿宋"/>
        </w:rPr>
        <w:lastRenderedPageBreak/>
        <w:t>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万元（含）以上的专用设备</w:t>
      </w:r>
      <w:r>
        <w:rPr>
          <w:rFonts w:ascii="仿宋" w:eastAsia="仿宋" w:hAnsi="仿宋" w:cs="仿宋"/>
        </w:rPr>
        <w:t>0</w:t>
      </w:r>
      <w:r>
        <w:rPr>
          <w:rFonts w:ascii="仿宋" w:eastAsia="仿宋" w:hAnsi="仿宋" w:cs="仿宋"/>
        </w:rPr>
        <w:t>台（套）。</w:t>
      </w:r>
    </w:p>
    <w:p w:rsidR="006E012F" w:rsidRDefault="00176A4B" w:rsidP="00164194">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年度，本单位</w:t>
      </w:r>
      <w:r>
        <w:rPr>
          <w:rFonts w:ascii="仿宋" w:eastAsia="仿宋" w:hAnsi="仿宋" w:cs="仿宋"/>
        </w:rPr>
        <w:t>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6E012F" w:rsidRDefault="00176A4B">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2</w:t>
      </w:r>
      <w:r>
        <w:rPr>
          <w:rFonts w:ascii="仿宋" w:eastAsia="仿宋" w:hAnsi="仿宋" w:cs="仿宋"/>
        </w:rPr>
        <w:t>个项目开展了绩效自评价，涉及财政性资金合计</w:t>
      </w:r>
      <w:r>
        <w:rPr>
          <w:rFonts w:ascii="仿宋" w:eastAsia="仿宋" w:hAnsi="仿宋" w:cs="仿宋"/>
        </w:rPr>
        <w:t>92.6</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489.93</w:t>
      </w:r>
      <w:r>
        <w:rPr>
          <w:rFonts w:ascii="仿宋" w:eastAsia="仿宋" w:hAnsi="仿宋" w:cs="仿宋"/>
        </w:rPr>
        <w:t>万元。</w:t>
      </w:r>
    </w:p>
    <w:p w:rsidR="006E012F" w:rsidRDefault="00176A4B">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指单位从同级财政部门取得的各类财政拨款，包括一般公共预算财政拨款、政府性基金预算财政拨款、国有资本经营预算财政拨款。</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w:t>
      </w:r>
      <w:r>
        <w:rPr>
          <w:rFonts w:ascii="仿宋" w:eastAsia="仿宋" w:hAnsi="仿宋" w:cs="仿宋" w:hint="eastAsia"/>
        </w:rPr>
        <w:t>收入”、“附属单位上缴收入”等以外的各项收入。</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指事业单位按照预算管理要求使用非财政拨款结余（原事业基金）弥补当年收支差额的数额。</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反映事业单位开支的离退休经费。</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lastRenderedPageBreak/>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w:t>
      </w:r>
      <w:r>
        <w:rPr>
          <w:rFonts w:ascii="仿宋" w:eastAsia="仿宋" w:hAnsi="仿宋" w:cs="仿宋" w:hint="eastAsia"/>
          <w:b/>
          <w:bCs/>
        </w:rPr>
        <w:t>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农业资源保护修复与利用</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反映用于耕地质量保护、草原草场利用，渔业水域资源环境保护，农业品种改良提升，以及农业生物资源调查收集、鉴定评价、保存利用等方面的支出。</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其他农业农村支出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w:t>
      </w:r>
      <w:r>
        <w:rPr>
          <w:rFonts w:ascii="仿宋" w:eastAsia="仿宋" w:hAnsi="仿宋" w:cs="仿宋" w:hint="eastAsia"/>
        </w:rPr>
        <w:t>于农业农村方面的支出。</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176A4B">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A4B" w:rsidRDefault="00176A4B">
      <w:r>
        <w:separator/>
      </w:r>
    </w:p>
  </w:endnote>
  <w:endnote w:type="continuationSeparator" w:id="0">
    <w:p w:rsidR="00176A4B" w:rsidRDefault="00176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rPr>
        <w:rFonts w:ascii="黑体" w:eastAsia="黑体" w:hAnsi="黑体" w:cs="黑体"/>
      </w:rPr>
    </w:pPr>
    <w:r>
      <w:rPr>
        <w:rFonts w:ascii="黑体" w:eastAsia="黑体" w:hAnsi="黑体" w:cs="黑体"/>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6E012F" w:rsidRDefault="00176A4B">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164194">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pPr>
    <w: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6E012F" w:rsidRDefault="00176A4B">
                <w:pPr>
                  <w:pStyle w:val="a5"/>
                </w:pPr>
                <w:r>
                  <w:rPr>
                    <w:rFonts w:hint="eastAsia"/>
                  </w:rPr>
                  <w:fldChar w:fldCharType="begin"/>
                </w:r>
                <w:r>
                  <w:rPr>
                    <w:rFonts w:hint="eastAsia"/>
                  </w:rPr>
                  <w:instrText xml:space="preserve"> PAGE  \* MERGEFORMAT </w:instrText>
                </w:r>
                <w:r>
                  <w:rPr>
                    <w:rFonts w:hint="eastAsia"/>
                  </w:rPr>
                  <w:fldChar w:fldCharType="separate"/>
                </w:r>
                <w:r w:rsidR="00164194">
                  <w:rPr>
                    <w:noProof/>
                  </w:rPr>
                  <w:t>- 17 -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pPr>
    <w: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6E012F" w:rsidRDefault="00176A4B">
                <w:pPr>
                  <w:pStyle w:val="a5"/>
                </w:pPr>
                <w:r>
                  <w:rPr>
                    <w:rFonts w:hint="eastAsia"/>
                  </w:rPr>
                  <w:fldChar w:fldCharType="begin"/>
                </w:r>
                <w:r>
                  <w:rPr>
                    <w:rFonts w:hint="eastAsia"/>
                  </w:rPr>
                  <w:instrText xml:space="preserve"> PAGE  \* MERGEFORMAT </w:instrText>
                </w:r>
                <w:r>
                  <w:rPr>
                    <w:rFonts w:hint="eastAsia"/>
                  </w:rPr>
                  <w:fldChar w:fldCharType="separate"/>
                </w:r>
                <w:r w:rsidR="00164194">
                  <w:rPr>
                    <w:noProof/>
                  </w:rPr>
                  <w:t>- 18 -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pPr>
    <w: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6E012F" w:rsidRDefault="00176A4B">
                <w:pPr>
                  <w:pStyle w:val="a5"/>
                </w:pPr>
                <w:r>
                  <w:rPr>
                    <w:rFonts w:hint="eastAsia"/>
                  </w:rPr>
                  <w:fldChar w:fldCharType="begin"/>
                </w:r>
                <w:r>
                  <w:rPr>
                    <w:rFonts w:hint="eastAsia"/>
                  </w:rPr>
                  <w:instrText xml:space="preserve"> PAGE  \* MERGEFORMAT </w:instrText>
                </w:r>
                <w:r>
                  <w:rPr>
                    <w:rFonts w:hint="eastAsia"/>
                  </w:rPr>
                  <w:fldChar w:fldCharType="separate"/>
                </w:r>
                <w:r w:rsidR="00164194">
                  <w:rPr>
                    <w:noProof/>
                  </w:rPr>
                  <w:t>- 20 -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pPr>
    <w: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6E012F" w:rsidRDefault="00176A4B">
                <w:pPr>
                  <w:pStyle w:val="a5"/>
                </w:pPr>
                <w:r>
                  <w:rPr>
                    <w:rFonts w:hint="eastAsia"/>
                  </w:rPr>
                  <w:fldChar w:fldCharType="begin"/>
                </w:r>
                <w:r>
                  <w:rPr>
                    <w:rFonts w:hint="eastAsia"/>
                  </w:rPr>
                  <w:instrText xml:space="preserve"> PAGE  \* MERGEFORMAT </w:instrText>
                </w:r>
                <w:r>
                  <w:rPr>
                    <w:rFonts w:hint="eastAsia"/>
                  </w:rPr>
                  <w:fldChar w:fldCharType="separate"/>
                </w:r>
                <w:r w:rsidR="00164194">
                  <w:rPr>
                    <w:noProof/>
                  </w:rPr>
                  <w:t>- 36 -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rPr>
        <w:rFonts w:ascii="黑体" w:eastAsia="黑体" w:hAnsi="黑体" w:cs="黑体"/>
      </w:rPr>
    </w:pPr>
    <w:r>
      <w:rPr>
        <w:rFonts w:ascii="黑体" w:eastAsia="黑体" w:hAnsi="黑体" w:cs="黑体"/>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6E012F" w:rsidRDefault="00176A4B">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164194">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pPr>
    <w: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6E012F" w:rsidRDefault="00176A4B">
                <w:pPr>
                  <w:pStyle w:val="a5"/>
                </w:pPr>
                <w:r>
                  <w:rPr>
                    <w:rFonts w:hint="eastAsia"/>
                  </w:rPr>
                  <w:fldChar w:fldCharType="begin"/>
                </w:r>
                <w:r>
                  <w:rPr>
                    <w:rFonts w:hint="eastAsia"/>
                  </w:rPr>
                  <w:instrText xml:space="preserve"> PAGE  \* MERGEFORMAT </w:instrText>
                </w:r>
                <w:r>
                  <w:rPr>
                    <w:rFonts w:hint="eastAsia"/>
                  </w:rPr>
                  <w:fldChar w:fldCharType="separate"/>
                </w:r>
                <w:r w:rsidR="00164194">
                  <w:rPr>
                    <w:noProof/>
                  </w:rPr>
                  <w:t>- 5 -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pPr>
    <w: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6E012F" w:rsidRDefault="00176A4B">
                <w:pPr>
                  <w:pStyle w:val="a5"/>
                </w:pPr>
                <w:r>
                  <w:rPr>
                    <w:rFonts w:hint="eastAsia"/>
                  </w:rPr>
                  <w:fldChar w:fldCharType="begin"/>
                </w:r>
                <w:r>
                  <w:rPr>
                    <w:rFonts w:hint="eastAsia"/>
                  </w:rPr>
                  <w:instrText xml:space="preserve"> PAGE  \* MERGEFORMAT </w:instrText>
                </w:r>
                <w:r>
                  <w:rPr>
                    <w:rFonts w:hint="eastAsia"/>
                  </w:rPr>
                  <w:fldChar w:fldCharType="separate"/>
                </w:r>
                <w:r w:rsidR="00164194">
                  <w:rPr>
                    <w:noProof/>
                  </w:rPr>
                  <w:t>- 6 -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pPr>
    <w: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6E012F" w:rsidRDefault="00176A4B">
                <w:pPr>
                  <w:pStyle w:val="a5"/>
                </w:pPr>
                <w:r>
                  <w:rPr>
                    <w:rFonts w:hint="eastAsia"/>
                  </w:rPr>
                  <w:fldChar w:fldCharType="begin"/>
                </w:r>
                <w:r>
                  <w:rPr>
                    <w:rFonts w:hint="eastAsia"/>
                  </w:rPr>
                  <w:instrText xml:space="preserve"> PAGE  \* MERGEFORMAT </w:instrText>
                </w:r>
                <w:r>
                  <w:rPr>
                    <w:rFonts w:hint="eastAsia"/>
                  </w:rPr>
                  <w:fldChar w:fldCharType="separate"/>
                </w:r>
                <w:r w:rsidR="00164194">
                  <w:rPr>
                    <w:noProof/>
                  </w:rPr>
                  <w:t>- 7 -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pPr>
    <w: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6E012F" w:rsidRDefault="00176A4B">
                <w:pPr>
                  <w:pStyle w:val="a5"/>
                </w:pPr>
                <w:r>
                  <w:rPr>
                    <w:rFonts w:hint="eastAsia"/>
                  </w:rPr>
                  <w:fldChar w:fldCharType="begin"/>
                </w:r>
                <w:r>
                  <w:rPr>
                    <w:rFonts w:hint="eastAsia"/>
                  </w:rPr>
                  <w:instrText xml:space="preserve"> PAGE  \* MERGEFORMAT </w:instrText>
                </w:r>
                <w:r>
                  <w:rPr>
                    <w:rFonts w:hint="eastAsia"/>
                  </w:rPr>
                  <w:fldChar w:fldCharType="separate"/>
                </w:r>
                <w:r w:rsidR="00164194">
                  <w:rPr>
                    <w:noProof/>
                  </w:rPr>
                  <w:t>- 9 -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pPr>
    <w: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6E012F" w:rsidRDefault="00176A4B">
                <w:pPr>
                  <w:pStyle w:val="a5"/>
                </w:pPr>
                <w:r>
                  <w:rPr>
                    <w:rFonts w:hint="eastAsia"/>
                  </w:rPr>
                  <w:fldChar w:fldCharType="begin"/>
                </w:r>
                <w:r>
                  <w:rPr>
                    <w:rFonts w:hint="eastAsia"/>
                  </w:rPr>
                  <w:instrText xml:space="preserve"> PAGE  \* MERGEFORMAT </w:instrText>
                </w:r>
                <w:r>
                  <w:rPr>
                    <w:rFonts w:hint="eastAsia"/>
                  </w:rPr>
                  <w:fldChar w:fldCharType="separate"/>
                </w:r>
                <w:r w:rsidR="00164194">
                  <w:rPr>
                    <w:noProof/>
                  </w:rPr>
                  <w:t>- 10 -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pPr>
    <w: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6E012F" w:rsidRDefault="00176A4B">
                <w:pPr>
                  <w:pStyle w:val="a5"/>
                </w:pPr>
                <w:r>
                  <w:rPr>
                    <w:rFonts w:hint="eastAsia"/>
                  </w:rPr>
                  <w:fldChar w:fldCharType="begin"/>
                </w:r>
                <w:r>
                  <w:rPr>
                    <w:rFonts w:hint="eastAsia"/>
                  </w:rPr>
                  <w:instrText xml:space="preserve"> PAGE  \* MERGEFORMAT </w:instrText>
                </w:r>
                <w:r>
                  <w:rPr>
                    <w:rFonts w:hint="eastAsia"/>
                  </w:rPr>
                  <w:fldChar w:fldCharType="separate"/>
                </w:r>
                <w:r w:rsidR="00164194">
                  <w:rPr>
                    <w:noProof/>
                  </w:rPr>
                  <w:t>- 13 -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5"/>
      <w:jc w:val="center"/>
    </w:pPr>
    <w: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6E012F" w:rsidRDefault="00176A4B">
                <w:pPr>
                  <w:pStyle w:val="a5"/>
                </w:pPr>
                <w:r>
                  <w:rPr>
                    <w:rFonts w:hint="eastAsia"/>
                  </w:rPr>
                  <w:fldChar w:fldCharType="begin"/>
                </w:r>
                <w:r>
                  <w:rPr>
                    <w:rFonts w:hint="eastAsia"/>
                  </w:rPr>
                  <w:instrText xml:space="preserve"> PAGE  \* MERGEFORMAT </w:instrText>
                </w:r>
                <w:r>
                  <w:rPr>
                    <w:rFonts w:hint="eastAsia"/>
                  </w:rPr>
                  <w:fldChar w:fldCharType="separate"/>
                </w:r>
                <w:r w:rsidR="00164194">
                  <w:rPr>
                    <w:noProof/>
                  </w:rPr>
                  <w:t>- 14 -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A4B" w:rsidRDefault="00176A4B">
      <w:r>
        <w:separator/>
      </w:r>
    </w:p>
  </w:footnote>
  <w:footnote w:type="continuationSeparator" w:id="0">
    <w:p w:rsidR="00176A4B" w:rsidRDefault="00176A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176A4B">
    <w:pPr>
      <w:pStyle w:val="a6"/>
      <w:pBdr>
        <w:bottom w:val="single" w:sz="4" w:space="1" w:color="000000"/>
      </w:pBdr>
      <w:jc w:val="both"/>
      <w:rPr>
        <w:lang w:val="en-US"/>
      </w:rPr>
    </w:pPr>
    <w:r>
      <w:rPr>
        <w:rFonts w:hint="eastAsia"/>
        <w:lang w:val="en-US"/>
      </w:rPr>
      <w:t>南京市耕地质量保护站</w:t>
    </w:r>
    <w:r>
      <w:t>2023</w:t>
    </w:r>
    <w:r>
      <w:t>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C024B"/>
    <w:rsid w:val="000F12AB"/>
    <w:rsid w:val="00164194"/>
    <w:rsid w:val="00176A4B"/>
    <w:rsid w:val="001C31F9"/>
    <w:rsid w:val="001D7787"/>
    <w:rsid w:val="002E63B1"/>
    <w:rsid w:val="00407CA7"/>
    <w:rsid w:val="00413AD8"/>
    <w:rsid w:val="004743E0"/>
    <w:rsid w:val="004C0647"/>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37</Pages>
  <Words>2710</Words>
  <Characters>15447</Characters>
  <Application>Microsoft Office Word</Application>
  <DocSecurity>0</DocSecurity>
  <Lines>128</Lines>
  <Paragraphs>36</Paragraphs>
  <ScaleCrop>false</ScaleCrop>
  <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User</cp:lastModifiedBy>
  <cp:revision>178</cp:revision>
  <dcterms:created xsi:type="dcterms:W3CDTF">2021-04-16T03:22:00Z</dcterms:created>
  <dcterms:modified xsi:type="dcterms:W3CDTF">2024-09-30T06:58:00Z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