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93" w:rsidRDefault="00A74939">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2024年度南京市农业农村局部门整体</w:t>
      </w:r>
    </w:p>
    <w:p w:rsidR="00B04493" w:rsidRDefault="00A7493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绩效自评价报告</w:t>
      </w:r>
    </w:p>
    <w:p w:rsidR="00B04493" w:rsidRDefault="00A74939">
      <w:pPr>
        <w:pStyle w:val="a0"/>
        <w:spacing w:line="560" w:lineRule="exact"/>
        <w:jc w:val="center"/>
        <w:rPr>
          <w:rFonts w:ascii="楷体" w:eastAsia="楷体" w:cs="楷体"/>
          <w:sz w:val="32"/>
          <w:szCs w:val="32"/>
        </w:rPr>
      </w:pPr>
      <w:r>
        <w:rPr>
          <w:rFonts w:ascii="楷体" w:eastAsia="楷体" w:cs="楷体" w:hint="eastAsia"/>
          <w:sz w:val="32"/>
          <w:szCs w:val="32"/>
        </w:rPr>
        <w:t>南京市农业农村局</w:t>
      </w:r>
    </w:p>
    <w:p w:rsidR="00B04493" w:rsidRDefault="00B04493">
      <w:pPr>
        <w:spacing w:line="560" w:lineRule="exact"/>
        <w:jc w:val="center"/>
        <w:rPr>
          <w:rFonts w:ascii="方正小标宋简体" w:eastAsia="方正小标宋简体"/>
          <w:sz w:val="48"/>
          <w:szCs w:val="48"/>
        </w:rPr>
      </w:pPr>
    </w:p>
    <w:p w:rsidR="00B04493" w:rsidRDefault="00A74939">
      <w:pPr>
        <w:spacing w:line="560" w:lineRule="exact"/>
        <w:ind w:firstLineChars="200" w:firstLine="640"/>
        <w:rPr>
          <w:rFonts w:ascii="黑体" w:eastAsia="黑体"/>
          <w:sz w:val="32"/>
          <w:szCs w:val="32"/>
        </w:rPr>
      </w:pPr>
      <w:r>
        <w:rPr>
          <w:rFonts w:ascii="黑体" w:eastAsia="黑体" w:hint="eastAsia"/>
          <w:sz w:val="32"/>
          <w:szCs w:val="32"/>
        </w:rPr>
        <w:t>一、部门概况</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（一）部门基本情况</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1.部门职能及重点工作任务</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市农业农村局负责贯彻落实</w:t>
      </w:r>
      <w:r w:rsidR="00AC0693">
        <w:rPr>
          <w:rFonts w:ascii="仿宋_GB2312" w:eastAsia="仿宋_GB2312" w:hint="eastAsia"/>
          <w:sz w:val="32"/>
          <w:szCs w:val="32"/>
        </w:rPr>
        <w:t>党</w:t>
      </w:r>
      <w:r>
        <w:rPr>
          <w:rFonts w:ascii="仿宋_GB2312" w:eastAsia="仿宋_GB2312" w:hint="eastAsia"/>
          <w:sz w:val="32"/>
          <w:szCs w:val="32"/>
        </w:rPr>
        <w:t>中央关于“三农”工作的方针政策和省委、市委的决策部署，在履行职责过程中坚持和加强党对“三农”工作的集中统一领导。主要职责是：</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（2）统筹推动发展农村社会事业、农村公共服务、农村文化、农村基础设施和乡村治理。牵头组织改善农村人居环境。指导农村精神文明和优秀农耕文化建设。指导农业行业安全生产工作。</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3）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指导乡村特色产业、农产品加工业、休闲农业发展工作。提出促进大宗农产品流通建议，培育、保护农业品牌。发布农业农村经济信息，监测分析农业农村经济运行。承担农业统计和农业农村信息化有关工作。</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5）负责种植业、畜牧业、渔业、农业机械化等农业各产业工作的监督管理。指导粮食等农产品生产。组织构建现代农业产业体系、生产体系、经营体系，指导种植业、畜牧业、渔业、农机标准化生产及建设工作。负责渔政渔港监督管理。</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6）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7）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8）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w:t>
      </w:r>
      <w:r>
        <w:rPr>
          <w:rFonts w:ascii="仿宋_GB2312" w:eastAsia="仿宋_GB2312" w:hint="eastAsia"/>
          <w:sz w:val="32"/>
          <w:szCs w:val="32"/>
        </w:rPr>
        <w:lastRenderedPageBreak/>
        <w:t>（种苗）、种畜禽、肥料、农药、兽药、饲料及饲料添加剂的相关许可与监督管理。指导和督办重大农业案件的处理。</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9）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10）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11）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（12）指导农业农村人才工作。拟订农业农村人才队伍建设规划并组织实施，指导农业教育和农业职业技能开发，指导新型职业农民培育、农业科技人才培养和农村实用人才培训工作。</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（13）承办农业涉外事务工作，组织开展农业对外交流、农业利用外资、农业“走出去”、农业贸易促进和有关国际经济技术交流合作，指导开放型农业发展，协助实施农业援外项</w:t>
      </w:r>
      <w:r>
        <w:rPr>
          <w:rFonts w:ascii="仿宋_GB2312" w:eastAsia="仿宋_GB2312" w:hint="eastAsia"/>
          <w:sz w:val="32"/>
          <w:szCs w:val="32"/>
        </w:rPr>
        <w:lastRenderedPageBreak/>
        <w:t>目。</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（14）完成市委、市政府交办的其他任务。</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2.内设机构</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根据部门职责分工，市农业农村局内设机构包括市委农办综合处、市委农办督查考核处（审计处）、办公室、行政审批服务处（法规处）、政策与改革处、发展规划处、计划财务处、乡村产业发展处、农村社会事业促进处、开发指导处、农村合作经济指导处（市农村集体资产管理办公室）、市场与信息化处、科技教育处（农业转基因生物安全管理办公室）、农产品质量安全监管处、种植业管理处（农药管理处）、蔬菜园艺处、畜牧与畜禽屠宰管理处、兽医兽药处（重大动物疫病防控办公室）、渔业处、渔政监督管理处、农业装备处、种业管理处、农业生态建设与农村能源处、农田建设管理处、耕地质量保护处、组织人事处、机关党委、离退休干部处。</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3.人员情况</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截</w:t>
      </w:r>
      <w:r w:rsidR="00826811">
        <w:rPr>
          <w:rFonts w:ascii="仿宋_GB2312" w:eastAsia="仿宋_GB2312" w:hint="eastAsia"/>
          <w:sz w:val="32"/>
          <w:szCs w:val="32"/>
        </w:rPr>
        <w:t>至</w:t>
      </w:r>
      <w:r>
        <w:rPr>
          <w:rFonts w:ascii="仿宋_GB2312" w:eastAsia="仿宋_GB2312" w:hint="eastAsia"/>
          <w:sz w:val="32"/>
          <w:szCs w:val="32"/>
        </w:rPr>
        <w:t>2024年12月，市农业农村局在职人员166名，其中：行政人员157名，机关事业工人5名，编外聘用人员4名；离退休人员156名，其中：离休3名、退休153名。</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4．资产情况</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截</w:t>
      </w:r>
      <w:r w:rsidR="00826811">
        <w:rPr>
          <w:rFonts w:ascii="仿宋_GB2312" w:eastAsia="仿宋_GB2312" w:hint="eastAsia"/>
          <w:sz w:val="32"/>
          <w:szCs w:val="32"/>
        </w:rPr>
        <w:t>至</w:t>
      </w:r>
      <w:r>
        <w:rPr>
          <w:rFonts w:ascii="仿宋_GB2312" w:eastAsia="仿宋_GB2312" w:hint="eastAsia"/>
          <w:sz w:val="32"/>
          <w:szCs w:val="32"/>
        </w:rPr>
        <w:t>2024年12月31日，本单位资产总计3056.56万元。其中，流动资产2802.78万元,占资产总额91.7%；非流动资产253.78万元,占资产总额8.3%。车辆编制数3辆，实有公车3辆。</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（二）部门收支情况</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1、部门预算及支出情况</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2024年局机关部门预算1.01亿元，其中：基本支出0.88亿元，项目支出0.13亿元。根据市财政要求，2024年中按市财政局要求进一步压减部门小专项项目预算，调整后预算总额0.99亿元，实际支出0.96亿元，全年预算执行97%。</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2、专项资金预算安排及使用情况</w:t>
      </w:r>
    </w:p>
    <w:p w:rsidR="00F71447" w:rsidRDefault="00A74939" w:rsidP="00F71447">
      <w:pPr>
        <w:spacing w:line="560" w:lineRule="exact"/>
        <w:ind w:firstLineChars="200" w:firstLine="640"/>
        <w:rPr>
          <w:rFonts w:ascii="仿宋_GB2312" w:eastAsia="仿宋_GB2312"/>
          <w:sz w:val="32"/>
          <w:szCs w:val="32"/>
        </w:rPr>
      </w:pPr>
      <w:r>
        <w:rPr>
          <w:rFonts w:ascii="仿宋_GB2312" w:eastAsia="仿宋_GB2312" w:hint="eastAsia"/>
          <w:sz w:val="32"/>
          <w:szCs w:val="32"/>
        </w:rPr>
        <w:t>2024年市级农业专项资金预算安排17.08亿元，其中：现代农业发展专项资金5.94亿元，占34.77%；农业农村公共服务专项资金7.20亿元，占42.16%；农业绿色发展专项资金3.94亿元，占23.07%。2024年中根据市财政局要求，压减并冻结部分专项资金，实际可使用专项资金预算14.24亿元，市级下达到区及市本级单位资金14.24亿元，</w:t>
      </w:r>
      <w:r w:rsidR="00F71447">
        <w:rPr>
          <w:rFonts w:ascii="仿宋_GB2312" w:eastAsia="仿宋_GB2312" w:hint="eastAsia"/>
          <w:sz w:val="32"/>
          <w:szCs w:val="32"/>
        </w:rPr>
        <w:t>资金预算安排及下达情况详见下表：</w:t>
      </w:r>
    </w:p>
    <w:p w:rsidR="00F71447" w:rsidRPr="004643E6" w:rsidRDefault="00F71447" w:rsidP="00F71447">
      <w:pPr>
        <w:spacing w:line="560" w:lineRule="exact"/>
        <w:jc w:val="center"/>
        <w:rPr>
          <w:rFonts w:ascii="楷体" w:eastAsia="楷体" w:hAnsi="楷体"/>
          <w:sz w:val="32"/>
          <w:szCs w:val="32"/>
        </w:rPr>
      </w:pPr>
      <w:r w:rsidRPr="004643E6">
        <w:rPr>
          <w:rFonts w:ascii="楷体" w:eastAsia="楷体" w:hAnsi="楷体" w:hint="eastAsia"/>
          <w:sz w:val="32"/>
          <w:szCs w:val="32"/>
        </w:rPr>
        <w:t>2024年1-12月份市级农业专项资金执行进度情况表</w:t>
      </w:r>
    </w:p>
    <w:p w:rsidR="00F71447" w:rsidRPr="00866712" w:rsidRDefault="00F71447" w:rsidP="00F71447">
      <w:pPr>
        <w:spacing w:line="560" w:lineRule="exact"/>
        <w:ind w:firstLineChars="200" w:firstLine="420"/>
        <w:jc w:val="right"/>
        <w:rPr>
          <w:rFonts w:ascii="仿宋_GB2312" w:eastAsia="仿宋_GB2312"/>
          <w:szCs w:val="21"/>
        </w:rPr>
      </w:pPr>
      <w:r w:rsidRPr="00866712">
        <w:rPr>
          <w:rFonts w:ascii="仿宋_GB2312" w:eastAsia="仿宋_GB2312" w:hint="eastAsia"/>
          <w:szCs w:val="21"/>
        </w:rPr>
        <w:t>金额单位：万元</w:t>
      </w:r>
    </w:p>
    <w:tbl>
      <w:tblPr>
        <w:tblW w:w="9080" w:type="dxa"/>
        <w:jc w:val="center"/>
        <w:tblLook w:val="04A0" w:firstRow="1" w:lastRow="0" w:firstColumn="1" w:lastColumn="0" w:noHBand="0" w:noVBand="1"/>
      </w:tblPr>
      <w:tblGrid>
        <w:gridCol w:w="416"/>
        <w:gridCol w:w="3020"/>
        <w:gridCol w:w="980"/>
        <w:gridCol w:w="1116"/>
        <w:gridCol w:w="1260"/>
        <w:gridCol w:w="1325"/>
        <w:gridCol w:w="1220"/>
      </w:tblGrid>
      <w:tr w:rsidR="00F71447" w:rsidRPr="00F71447" w:rsidTr="00F71447">
        <w:trPr>
          <w:trHeight w:val="494"/>
          <w:tblHeader/>
          <w:jc w:val="center"/>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序号</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项目名称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447" w:rsidRPr="00F71447" w:rsidRDefault="00F71447" w:rsidP="00F71447">
            <w:pPr>
              <w:adjustRightInd w:val="0"/>
              <w:snapToGrid w:val="0"/>
              <w:jc w:val="center"/>
              <w:rPr>
                <w:rFonts w:ascii="黑体" w:eastAsia="黑体" w:hAnsi="黑体" w:cs="宋体"/>
                <w:kern w:val="0"/>
                <w:sz w:val="20"/>
                <w:szCs w:val="20"/>
              </w:rPr>
            </w:pPr>
            <w:r w:rsidRPr="00AF0096">
              <w:rPr>
                <w:rFonts w:ascii="黑体" w:eastAsia="黑体" w:hAnsi="黑体" w:cs="宋体" w:hint="eastAsia"/>
                <w:kern w:val="0"/>
                <w:sz w:val="20"/>
                <w:szCs w:val="20"/>
              </w:rPr>
              <w:t>年初批复预算金额</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年中冻结金额</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冻结调整后预算金额</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截至12月31日下达金额</w:t>
            </w:r>
          </w:p>
        </w:tc>
      </w:tr>
      <w:tr w:rsidR="00F71447" w:rsidRPr="00F71447" w:rsidTr="00F71447">
        <w:trPr>
          <w:trHeight w:val="272"/>
          <w:tblHeader/>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rsidR="00F71447" w:rsidRPr="00F71447" w:rsidRDefault="00F71447" w:rsidP="00F71447">
            <w:pPr>
              <w:widowControl/>
              <w:jc w:val="left"/>
              <w:rPr>
                <w:rFonts w:ascii="黑体" w:eastAsia="黑体" w:hAnsi="黑体" w:cs="宋体"/>
                <w:kern w:val="0"/>
                <w:sz w:val="20"/>
                <w:szCs w:val="20"/>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rsidR="00F71447" w:rsidRPr="00F71447" w:rsidRDefault="00F71447" w:rsidP="00F71447">
            <w:pPr>
              <w:widowControl/>
              <w:jc w:val="left"/>
              <w:rPr>
                <w:rFonts w:ascii="黑体" w:eastAsia="黑体" w:hAnsi="黑体" w:cs="宋体"/>
                <w:kern w:val="0"/>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F71447" w:rsidRPr="00F71447" w:rsidRDefault="00F71447" w:rsidP="00F71447">
            <w:pPr>
              <w:widowControl/>
              <w:jc w:val="left"/>
              <w:rPr>
                <w:rFonts w:ascii="黑体" w:eastAsia="黑体" w:hAnsi="黑体" w:cs="宋体"/>
                <w:kern w:val="0"/>
                <w:sz w:val="20"/>
                <w:szCs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F71447" w:rsidRPr="00F71447" w:rsidRDefault="00F71447" w:rsidP="00F71447">
            <w:pPr>
              <w:widowControl/>
              <w:jc w:val="left"/>
              <w:rPr>
                <w:rFonts w:ascii="黑体" w:eastAsia="黑体" w:hAnsi="黑体" w:cs="宋体"/>
                <w:kern w:val="0"/>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71447" w:rsidRPr="00F71447" w:rsidRDefault="00F71447" w:rsidP="00F71447">
            <w:pPr>
              <w:widowControl/>
              <w:jc w:val="left"/>
              <w:rPr>
                <w:rFonts w:ascii="黑体" w:eastAsia="黑体" w:hAnsi="黑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下达数</w:t>
            </w:r>
          </w:p>
        </w:tc>
        <w:tc>
          <w:tcPr>
            <w:tcW w:w="12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center"/>
              <w:rPr>
                <w:rFonts w:ascii="黑体" w:eastAsia="黑体" w:hAnsi="黑体" w:cs="宋体"/>
                <w:kern w:val="0"/>
                <w:sz w:val="20"/>
                <w:szCs w:val="20"/>
              </w:rPr>
            </w:pPr>
            <w:r w:rsidRPr="00F71447">
              <w:rPr>
                <w:rFonts w:ascii="黑体" w:eastAsia="黑体" w:hAnsi="黑体" w:cs="宋体" w:hint="eastAsia"/>
                <w:kern w:val="0"/>
                <w:sz w:val="20"/>
                <w:szCs w:val="20"/>
              </w:rPr>
              <w:t>进度占比</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总计</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170780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28385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142395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142388.1096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left"/>
              <w:rPr>
                <w:rFonts w:ascii="黑体" w:eastAsia="黑体" w:hAnsi="黑体" w:cs="宋体"/>
                <w:kern w:val="0"/>
                <w:sz w:val="20"/>
                <w:szCs w:val="20"/>
              </w:rPr>
            </w:pPr>
            <w:r w:rsidRPr="00F71447">
              <w:rPr>
                <w:rFonts w:ascii="黑体" w:eastAsia="黑体" w:hAnsi="黑体" w:cs="宋体" w:hint="eastAsia"/>
                <w:kern w:val="0"/>
                <w:sz w:val="20"/>
                <w:szCs w:val="20"/>
              </w:rPr>
              <w:t>一、现代农业发展</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59383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13765.85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45617.1546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45617.0546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（一）现代农业设施建设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18648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18648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18647.9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现代蔬菜园艺高质量发展</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9533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9533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9533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w:t>
            </w:r>
          </w:p>
        </w:tc>
        <w:tc>
          <w:tcPr>
            <w:tcW w:w="30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畜牧业转型升级</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4865</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4865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4865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渔业高质量发展</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4250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4250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4249.9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（二）农业产业与经营主体培育</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10814</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11030.69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11030.69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4</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农业产业化</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2600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2600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2600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5</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农村合作经济</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4805</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5021.69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5021.69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6</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农业品牌建设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3409</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3409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3409</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（三）产业发展平台建设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15248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4785.845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8000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8000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lastRenderedPageBreak/>
              <w:t>7</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都市现代农业园区建设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6000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4500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4500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8</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农业农村重大项目建设奖补</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9248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4785.8454</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3500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3500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（四）农业基础设施建设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14673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8980</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2687.8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2687.8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9</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农田基础设施建设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14673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8980</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2687.8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2687.8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（五）调剂资金情况</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5250.6646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5250.6646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调剂用于中央稻谷补贴不足</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3087.5573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3087.5573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11</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调剂用于粮食种植补贴不足</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2163.1073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2163.1073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黑体" w:eastAsia="黑体" w:hAnsi="黑体" w:cs="宋体"/>
                <w:kern w:val="0"/>
                <w:sz w:val="20"/>
                <w:szCs w:val="20"/>
              </w:rPr>
            </w:pPr>
            <w:r w:rsidRPr="00F71447">
              <w:rPr>
                <w:rFonts w:ascii="黑体" w:eastAsia="黑体" w:hAnsi="黑体" w:cs="宋体" w:hint="eastAsia"/>
                <w:kern w:val="0"/>
                <w:sz w:val="20"/>
                <w:szCs w:val="20"/>
              </w:rPr>
              <w:t>二、农业农村公共服务</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72008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13818.61</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58189.395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58189.395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（六）“千万工程”乡村提升行动</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51743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13777</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37966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37966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12</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和美乡村建设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25600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12800</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12800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12800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13</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省级特色田园乡村</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1800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1680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1680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14</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衔接推进乡村振兴补助</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12800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12800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12800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15</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创意休闲农业</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2100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16</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村级公益事业一事一议奖补</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9443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857</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8586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8586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（七）农业数字化与科技创新</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8484</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17.555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8466.445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8466.445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17</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智慧农业</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700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700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700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18</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现代种业发展</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2100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2100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19</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农业机械化</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2580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2580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2580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20</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农业科技产学研合作</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2560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2560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2560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21</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“智汇三农”人才工程</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544</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17.555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526.445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526.445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（八）公共服务体系建设</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6781</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24.05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6756.95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6756.95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22</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动物及动物产品安全保障</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1373</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1373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1373</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23</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农作物重大病虫害防控</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1248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1248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1248</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24</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公益性服务体系</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3720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3720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3720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25</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农村创业创新</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440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24.05</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415.95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415.95</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502"/>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（九）南京市涉农街镇推进乡村振兴战略实绩评价</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5000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50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26</w:t>
            </w:r>
          </w:p>
        </w:tc>
        <w:tc>
          <w:tcPr>
            <w:tcW w:w="3020" w:type="dxa"/>
            <w:tcBorders>
              <w:top w:val="nil"/>
              <w:left w:val="nil"/>
              <w:bottom w:val="single" w:sz="4" w:space="0" w:color="auto"/>
              <w:right w:val="single" w:sz="4" w:space="0" w:color="auto"/>
            </w:tcBorders>
            <w:shd w:val="clear" w:color="auto" w:fill="auto"/>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南京市涉农街镇推进乡村振兴战略实绩评价</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5000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5000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5000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left"/>
              <w:rPr>
                <w:rFonts w:ascii="黑体" w:eastAsia="黑体" w:hAnsi="黑体" w:cs="宋体"/>
                <w:kern w:val="0"/>
                <w:sz w:val="20"/>
                <w:szCs w:val="20"/>
              </w:rPr>
            </w:pPr>
            <w:r w:rsidRPr="00F71447">
              <w:rPr>
                <w:rFonts w:ascii="黑体" w:eastAsia="黑体" w:hAnsi="黑体" w:cs="宋体" w:hint="eastAsia"/>
                <w:kern w:val="0"/>
                <w:sz w:val="20"/>
                <w:szCs w:val="20"/>
              </w:rPr>
              <w:t>三、农业绿色发展</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39389</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800.5496</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黑体" w:eastAsia="黑体" w:hAnsi="黑体" w:cs="宋体"/>
                <w:b/>
                <w:bCs/>
                <w:kern w:val="0"/>
                <w:sz w:val="20"/>
                <w:szCs w:val="20"/>
              </w:rPr>
            </w:pPr>
            <w:r w:rsidRPr="00F71447">
              <w:rPr>
                <w:rFonts w:ascii="黑体" w:eastAsia="黑体" w:hAnsi="黑体" w:cs="宋体" w:hint="eastAsia"/>
                <w:b/>
                <w:bCs/>
                <w:kern w:val="0"/>
                <w:sz w:val="20"/>
                <w:szCs w:val="20"/>
              </w:rPr>
              <w:t>38588.4504</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38581.66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黑体" w:eastAsia="黑体" w:hAnsi="黑体" w:cs="宋体"/>
                <w:b/>
                <w:bCs/>
                <w:kern w:val="0"/>
                <w:sz w:val="20"/>
                <w:szCs w:val="20"/>
              </w:rPr>
            </w:pPr>
            <w:r w:rsidRPr="00F71447">
              <w:rPr>
                <w:rFonts w:ascii="黑体" w:eastAsia="黑体" w:hAnsi="黑体" w:cs="宋体" w:hint="eastAsia"/>
                <w:b/>
                <w:bCs/>
                <w:kern w:val="0"/>
                <w:sz w:val="20"/>
                <w:szCs w:val="20"/>
              </w:rPr>
              <w:t>99.98%</w:t>
            </w:r>
          </w:p>
        </w:tc>
      </w:tr>
      <w:tr w:rsidR="00F71447" w:rsidRPr="00F71447" w:rsidTr="00F71447">
        <w:trPr>
          <w:trHeight w:val="403"/>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（十）农业资源保护</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5865</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157.3</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5707.7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5707.7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100.00%</w:t>
            </w:r>
          </w:p>
        </w:tc>
      </w:tr>
      <w:tr w:rsidR="00F71447" w:rsidRPr="00F71447" w:rsidTr="00F71447">
        <w:trPr>
          <w:trHeight w:val="44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27</w:t>
            </w:r>
          </w:p>
        </w:tc>
        <w:tc>
          <w:tcPr>
            <w:tcW w:w="3020" w:type="dxa"/>
            <w:tcBorders>
              <w:top w:val="nil"/>
              <w:left w:val="nil"/>
              <w:bottom w:val="single" w:sz="4" w:space="0" w:color="auto"/>
              <w:right w:val="single" w:sz="4" w:space="0" w:color="auto"/>
            </w:tcBorders>
            <w:shd w:val="clear" w:color="000000" w:fill="FFFFFF"/>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耕地质量建设与保护</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3208</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157.3</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3050.7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3050.7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4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lastRenderedPageBreak/>
              <w:t>28</w:t>
            </w:r>
          </w:p>
        </w:tc>
        <w:tc>
          <w:tcPr>
            <w:tcW w:w="3020" w:type="dxa"/>
            <w:tcBorders>
              <w:top w:val="nil"/>
              <w:left w:val="nil"/>
              <w:bottom w:val="single" w:sz="4" w:space="0" w:color="auto"/>
              <w:right w:val="single" w:sz="4" w:space="0" w:color="auto"/>
            </w:tcBorders>
            <w:shd w:val="clear" w:color="000000" w:fill="FFFFFF"/>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生态循环农业</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657</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657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657</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4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29</w:t>
            </w:r>
          </w:p>
        </w:tc>
        <w:tc>
          <w:tcPr>
            <w:tcW w:w="3020" w:type="dxa"/>
            <w:tcBorders>
              <w:top w:val="nil"/>
              <w:left w:val="nil"/>
              <w:bottom w:val="single" w:sz="4" w:space="0" w:color="auto"/>
              <w:right w:val="single" w:sz="4" w:space="0" w:color="auto"/>
            </w:tcBorders>
            <w:shd w:val="clear" w:color="000000" w:fill="FFFFFF"/>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农药零差率与“两废”回收</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27"/>
          <w:jc w:val="center"/>
        </w:trPr>
        <w:tc>
          <w:tcPr>
            <w:tcW w:w="34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1447" w:rsidRPr="00F71447" w:rsidRDefault="00F71447" w:rsidP="00F71447">
            <w:pPr>
              <w:widowControl/>
              <w:jc w:val="left"/>
              <w:rPr>
                <w:rFonts w:ascii="宋体" w:hAnsi="宋体" w:cs="宋体"/>
                <w:b/>
                <w:bCs/>
                <w:kern w:val="0"/>
                <w:sz w:val="20"/>
                <w:szCs w:val="20"/>
              </w:rPr>
            </w:pPr>
            <w:r w:rsidRPr="00F71447">
              <w:rPr>
                <w:rFonts w:ascii="宋体" w:hAnsi="宋体" w:cs="宋体" w:hint="eastAsia"/>
                <w:b/>
                <w:bCs/>
                <w:kern w:val="0"/>
                <w:sz w:val="20"/>
                <w:szCs w:val="20"/>
              </w:rPr>
              <w:t>（十一）农业生产补贴</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33524</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643.2496</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b/>
                <w:bCs/>
                <w:kern w:val="0"/>
                <w:sz w:val="20"/>
                <w:szCs w:val="20"/>
              </w:rPr>
            </w:pPr>
            <w:r w:rsidRPr="00F71447">
              <w:rPr>
                <w:rFonts w:ascii="宋体" w:hAnsi="宋体" w:cs="宋体" w:hint="eastAsia"/>
                <w:b/>
                <w:bCs/>
                <w:kern w:val="0"/>
                <w:sz w:val="20"/>
                <w:szCs w:val="20"/>
              </w:rPr>
              <w:t>32880.7504</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32873.96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b/>
                <w:bCs/>
                <w:kern w:val="0"/>
                <w:sz w:val="20"/>
                <w:szCs w:val="20"/>
              </w:rPr>
            </w:pPr>
            <w:r w:rsidRPr="00F71447">
              <w:rPr>
                <w:rFonts w:ascii="宋体" w:hAnsi="宋体" w:cs="宋体" w:hint="eastAsia"/>
                <w:b/>
                <w:bCs/>
                <w:kern w:val="0"/>
                <w:sz w:val="20"/>
                <w:szCs w:val="20"/>
              </w:rPr>
              <w:t>99.98%</w:t>
            </w:r>
          </w:p>
        </w:tc>
      </w:tr>
      <w:tr w:rsidR="00F71447" w:rsidRPr="00F71447" w:rsidTr="00F71447">
        <w:trPr>
          <w:trHeight w:val="427"/>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30</w:t>
            </w:r>
          </w:p>
        </w:tc>
        <w:tc>
          <w:tcPr>
            <w:tcW w:w="3020" w:type="dxa"/>
            <w:tcBorders>
              <w:top w:val="nil"/>
              <w:left w:val="nil"/>
              <w:bottom w:val="single" w:sz="4" w:space="0" w:color="auto"/>
              <w:right w:val="single" w:sz="4" w:space="0" w:color="auto"/>
            </w:tcBorders>
            <w:shd w:val="clear" w:color="000000" w:fill="FFFFFF"/>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秸秆机械化还田补贴</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3224</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3224</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3224</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50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31</w:t>
            </w:r>
          </w:p>
        </w:tc>
        <w:tc>
          <w:tcPr>
            <w:tcW w:w="3020" w:type="dxa"/>
            <w:tcBorders>
              <w:top w:val="nil"/>
              <w:left w:val="nil"/>
              <w:bottom w:val="single" w:sz="4" w:space="0" w:color="auto"/>
              <w:right w:val="single" w:sz="4" w:space="0" w:color="auto"/>
            </w:tcBorders>
            <w:shd w:val="clear" w:color="000000" w:fill="FFFFFF"/>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沿江5公里商品有机肥与配方肥推广补贴</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2300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2300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2300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r w:rsidR="00F71447" w:rsidRPr="00F71447" w:rsidTr="00F71447">
        <w:trPr>
          <w:trHeight w:val="44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32</w:t>
            </w:r>
          </w:p>
        </w:tc>
        <w:tc>
          <w:tcPr>
            <w:tcW w:w="30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水稻生态补偿</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8000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643.2496</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7356.7504</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7349.96</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99.91%</w:t>
            </w:r>
          </w:p>
        </w:tc>
      </w:tr>
      <w:tr w:rsidR="00F71447" w:rsidRPr="00F71447" w:rsidTr="00F71447">
        <w:trPr>
          <w:trHeight w:val="442"/>
          <w:jc w:val="center"/>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33</w:t>
            </w:r>
          </w:p>
        </w:tc>
        <w:tc>
          <w:tcPr>
            <w:tcW w:w="30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left"/>
              <w:rPr>
                <w:rFonts w:ascii="宋体" w:hAnsi="宋体" w:cs="宋体"/>
                <w:kern w:val="0"/>
                <w:sz w:val="20"/>
                <w:szCs w:val="20"/>
              </w:rPr>
            </w:pPr>
            <w:r w:rsidRPr="00F71447">
              <w:rPr>
                <w:rFonts w:ascii="宋体" w:hAnsi="宋体" w:cs="宋体" w:hint="eastAsia"/>
                <w:kern w:val="0"/>
                <w:sz w:val="20"/>
                <w:szCs w:val="20"/>
              </w:rPr>
              <w:t>粮食种植补贴</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20000</w:t>
            </w:r>
          </w:p>
        </w:tc>
        <w:tc>
          <w:tcPr>
            <w:tcW w:w="98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center"/>
              <w:rPr>
                <w:rFonts w:ascii="宋体" w:hAnsi="宋体" w:cs="宋体"/>
                <w:kern w:val="0"/>
                <w:sz w:val="20"/>
                <w:szCs w:val="20"/>
              </w:rPr>
            </w:pPr>
            <w:r w:rsidRPr="00F71447">
              <w:rPr>
                <w:rFonts w:ascii="宋体" w:hAnsi="宋体" w:cs="宋体" w:hint="eastAsia"/>
                <w:kern w:val="0"/>
                <w:sz w:val="20"/>
                <w:szCs w:val="20"/>
              </w:rPr>
              <w:t>20000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20000</w:t>
            </w:r>
          </w:p>
        </w:tc>
        <w:tc>
          <w:tcPr>
            <w:tcW w:w="1220" w:type="dxa"/>
            <w:tcBorders>
              <w:top w:val="nil"/>
              <w:left w:val="nil"/>
              <w:bottom w:val="single" w:sz="4" w:space="0" w:color="auto"/>
              <w:right w:val="single" w:sz="4" w:space="0" w:color="auto"/>
            </w:tcBorders>
            <w:shd w:val="clear" w:color="auto" w:fill="auto"/>
            <w:noWrap/>
            <w:vAlign w:val="center"/>
            <w:hideMark/>
          </w:tcPr>
          <w:p w:rsidR="00F71447" w:rsidRPr="00F71447" w:rsidRDefault="00F71447" w:rsidP="00F71447">
            <w:pPr>
              <w:widowControl/>
              <w:jc w:val="right"/>
              <w:rPr>
                <w:rFonts w:ascii="宋体" w:hAnsi="宋体" w:cs="宋体"/>
                <w:kern w:val="0"/>
                <w:sz w:val="20"/>
                <w:szCs w:val="20"/>
              </w:rPr>
            </w:pPr>
            <w:r w:rsidRPr="00F71447">
              <w:rPr>
                <w:rFonts w:ascii="宋体" w:hAnsi="宋体" w:cs="宋体" w:hint="eastAsia"/>
                <w:kern w:val="0"/>
                <w:sz w:val="20"/>
                <w:szCs w:val="20"/>
              </w:rPr>
              <w:t>100.00%</w:t>
            </w:r>
          </w:p>
        </w:tc>
      </w:tr>
    </w:tbl>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截至报告日，各区及市本级单位资金拨付至主体进度73.97%。</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（三）部门绩效目标</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1.部门中长期目标</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2023-2025年，实施六大行动，着力推进稳粮固农、产业富农、科技强农、改革惠农，努力在率先推进农业现代化，高水平建设都市现代农业强市上走在前、做示范。到2030年，都市现代农业强市建设取得重大进展，在全国、全省率先基本实现农业现代化，农村基本具备现代生活条件。</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t xml:space="preserve"> </w:t>
      </w:r>
    </w:p>
    <w:p w:rsidR="00B04493" w:rsidRDefault="00A74939" w:rsidP="00DA2F45">
      <w:pPr>
        <w:spacing w:line="560" w:lineRule="exact"/>
        <w:ind w:firstLineChars="200" w:firstLine="643"/>
        <w:rPr>
          <w:rFonts w:ascii="仿宋_GB2312" w:eastAsia="仿宋_GB2312"/>
          <w:b/>
          <w:sz w:val="32"/>
          <w:szCs w:val="32"/>
        </w:rPr>
      </w:pPr>
      <w:r>
        <w:rPr>
          <w:rFonts w:ascii="仿宋_GB2312" w:eastAsia="仿宋_GB2312" w:hint="eastAsia"/>
          <w:b/>
          <w:sz w:val="32"/>
          <w:szCs w:val="32"/>
        </w:rPr>
        <w:t>2.年度目标</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2024年，全市农业农村系统准确把握“三农”工作新形势新任务，深入学习习近平总书记视察江苏讲话精神和关于“三农”工作重要论述，全面落实中央、省市有关“三农”决策部署，努力在率先推进农业现代化，高水平建设都市现代农业强市上走在前、做示范。</w:t>
      </w:r>
      <w:r>
        <w:rPr>
          <w:rFonts w:ascii="仿宋_GB2312" w:eastAsia="仿宋_GB2312"/>
          <w:sz w:val="32"/>
          <w:szCs w:val="32"/>
        </w:rPr>
        <w:t>重点是实施</w:t>
      </w:r>
      <w:r>
        <w:rPr>
          <w:rFonts w:ascii="仿宋_GB2312" w:eastAsia="仿宋_GB2312"/>
          <w:sz w:val="32"/>
          <w:szCs w:val="32"/>
        </w:rPr>
        <w:t>“</w:t>
      </w:r>
      <w:r>
        <w:rPr>
          <w:rFonts w:ascii="仿宋_GB2312" w:eastAsia="仿宋_GB2312"/>
          <w:sz w:val="32"/>
          <w:szCs w:val="32"/>
        </w:rPr>
        <w:t>六项工程</w:t>
      </w:r>
      <w:r>
        <w:rPr>
          <w:rFonts w:ascii="仿宋_GB2312" w:eastAsia="仿宋_GB2312"/>
          <w:sz w:val="32"/>
          <w:szCs w:val="32"/>
        </w:rPr>
        <w:t>”</w:t>
      </w:r>
      <w:r>
        <w:rPr>
          <w:rFonts w:ascii="仿宋_GB2312" w:eastAsia="仿宋_GB2312"/>
          <w:sz w:val="32"/>
          <w:szCs w:val="32"/>
        </w:rPr>
        <w:t>、完善</w:t>
      </w:r>
      <w:r>
        <w:rPr>
          <w:rFonts w:ascii="仿宋_GB2312" w:eastAsia="仿宋_GB2312"/>
          <w:sz w:val="32"/>
          <w:szCs w:val="32"/>
        </w:rPr>
        <w:t>“</w:t>
      </w:r>
      <w:r>
        <w:rPr>
          <w:rFonts w:ascii="仿宋_GB2312" w:eastAsia="仿宋_GB2312"/>
          <w:sz w:val="32"/>
          <w:szCs w:val="32"/>
        </w:rPr>
        <w:t>四项机制</w:t>
      </w:r>
      <w:r>
        <w:rPr>
          <w:rFonts w:ascii="仿宋_GB2312" w:eastAsia="仿宋_GB2312"/>
          <w:sz w:val="32"/>
          <w:szCs w:val="32"/>
        </w:rPr>
        <w:t>”</w:t>
      </w:r>
      <w:r>
        <w:rPr>
          <w:rFonts w:ascii="仿宋_GB2312" w:eastAsia="仿宋_GB2312"/>
          <w:sz w:val="32"/>
          <w:szCs w:val="32"/>
        </w:rPr>
        <w:t>。</w:t>
      </w:r>
    </w:p>
    <w:p w:rsidR="00B04493" w:rsidRDefault="00A74939">
      <w:pPr>
        <w:pStyle w:val="a0"/>
        <w:numPr>
          <w:ilvl w:val="0"/>
          <w:numId w:val="1"/>
        </w:numPr>
        <w:spacing w:after="0" w:line="560" w:lineRule="exact"/>
        <w:rPr>
          <w:rFonts w:ascii="仿宋_GB2312" w:eastAsia="仿宋_GB2312"/>
          <w:b/>
          <w:sz w:val="32"/>
          <w:szCs w:val="32"/>
        </w:rPr>
      </w:pPr>
      <w:r>
        <w:rPr>
          <w:rFonts w:ascii="仿宋_GB2312" w:eastAsia="仿宋_GB2312"/>
          <w:b/>
          <w:sz w:val="32"/>
          <w:szCs w:val="32"/>
        </w:rPr>
        <w:t>实施</w:t>
      </w:r>
      <w:r>
        <w:rPr>
          <w:rFonts w:ascii="仿宋_GB2312" w:eastAsia="仿宋_GB2312"/>
          <w:b/>
          <w:sz w:val="32"/>
          <w:szCs w:val="32"/>
        </w:rPr>
        <w:t>“</w:t>
      </w:r>
      <w:r>
        <w:rPr>
          <w:rFonts w:ascii="仿宋_GB2312" w:eastAsia="仿宋_GB2312"/>
          <w:b/>
          <w:sz w:val="32"/>
          <w:szCs w:val="32"/>
        </w:rPr>
        <w:t>六项工程</w:t>
      </w:r>
      <w:r>
        <w:rPr>
          <w:rFonts w:ascii="仿宋_GB2312" w:eastAsia="仿宋_GB2312"/>
          <w:b/>
          <w:sz w:val="32"/>
          <w:szCs w:val="32"/>
        </w:rPr>
        <w:t>”</w:t>
      </w:r>
    </w:p>
    <w:p w:rsidR="00B04493" w:rsidRDefault="00A74939">
      <w:pPr>
        <w:pStyle w:val="a0"/>
        <w:spacing w:after="0" w:line="560" w:lineRule="exact"/>
        <w:ind w:firstLineChars="200" w:firstLine="640"/>
        <w:rPr>
          <w:rFonts w:ascii="仿宋_GB2312" w:eastAsia="仿宋_GB2312"/>
          <w:b/>
          <w:sz w:val="32"/>
          <w:szCs w:val="32"/>
        </w:rPr>
      </w:pPr>
      <w:r>
        <w:rPr>
          <w:rFonts w:ascii="仿宋_GB2312" w:eastAsia="仿宋_GB2312"/>
          <w:sz w:val="32"/>
          <w:szCs w:val="32"/>
        </w:rPr>
        <w:t>一是实施农业基础设施提升工程。组织逐地块压实种植责</w:t>
      </w:r>
      <w:r>
        <w:rPr>
          <w:rFonts w:ascii="仿宋_GB2312" w:eastAsia="仿宋_GB2312"/>
          <w:sz w:val="32"/>
          <w:szCs w:val="32"/>
        </w:rPr>
        <w:lastRenderedPageBreak/>
        <w:t>任，确保粮食种植面积稳定在207万亩左右。高质量做好高标准农田新建和改造提升项目。全市农作物耕种收综合机械化率和特色农业机械化水平均提升2个百分点以上。二是实施乡村特色产业提质工程。推进优质稻米、绿色蔬菜等特色产业全产业链深度融合、高质高效，全市农业特色优势产业一二三产融合总产值增幅保持在10%以上。培育作物新品种不少于20个。全市绿色优质农产品占比提高到75%。三是实施新型经营主体提振工程。新增评定50家市级以上示范家庭农场、30家市级以上示范合作社。推进农村金融服务创新，政策性惠农贷款服务支持新型农业经营主体1000户以上、贷款余额达50亿元以上。四是实施和美乡村建设示范工程。认真学习浙江</w:t>
      </w:r>
      <w:r>
        <w:rPr>
          <w:rFonts w:ascii="仿宋_GB2312" w:eastAsia="仿宋_GB2312"/>
          <w:sz w:val="32"/>
          <w:szCs w:val="32"/>
        </w:rPr>
        <w:t>“</w:t>
      </w:r>
      <w:r>
        <w:rPr>
          <w:rFonts w:ascii="仿宋_GB2312" w:eastAsia="仿宋_GB2312"/>
          <w:sz w:val="32"/>
          <w:szCs w:val="32"/>
        </w:rPr>
        <w:t>千万工程</w:t>
      </w:r>
      <w:r>
        <w:rPr>
          <w:rFonts w:ascii="仿宋_GB2312" w:eastAsia="仿宋_GB2312"/>
          <w:sz w:val="32"/>
          <w:szCs w:val="32"/>
        </w:rPr>
        <w:t>”</w:t>
      </w:r>
      <w:r>
        <w:rPr>
          <w:rFonts w:ascii="仿宋_GB2312" w:eastAsia="仿宋_GB2312"/>
          <w:sz w:val="32"/>
          <w:szCs w:val="32"/>
        </w:rPr>
        <w:t>经验，立足南京乡村发展实际，整体打造35个</w:t>
      </w:r>
      <w:r>
        <w:rPr>
          <w:rFonts w:ascii="仿宋_GB2312" w:eastAsia="仿宋_GB2312"/>
          <w:sz w:val="32"/>
          <w:szCs w:val="32"/>
        </w:rPr>
        <w:t>“</w:t>
      </w:r>
      <w:r>
        <w:rPr>
          <w:rFonts w:ascii="仿宋_GB2312" w:eastAsia="仿宋_GB2312"/>
          <w:sz w:val="32"/>
          <w:szCs w:val="32"/>
        </w:rPr>
        <w:t>生态和谐环境美、人气和旺产业美、乡风和畅人文美、共富和顺生活美</w:t>
      </w:r>
      <w:r>
        <w:rPr>
          <w:rFonts w:ascii="仿宋_GB2312" w:eastAsia="仿宋_GB2312"/>
          <w:sz w:val="32"/>
          <w:szCs w:val="32"/>
        </w:rPr>
        <w:t>”</w:t>
      </w:r>
      <w:r>
        <w:rPr>
          <w:rFonts w:ascii="仿宋_GB2312" w:eastAsia="仿宋_GB2312"/>
          <w:sz w:val="32"/>
          <w:szCs w:val="32"/>
        </w:rPr>
        <w:t>的宜居宜业和美乡村。创建14个省级特色田园乡村。五是实施重大项目招引建设工程。招引一批技术含量高、带动能力强、综合效益好的优质农业项目。继续储备开工一批</w:t>
      </w:r>
      <w:r>
        <w:rPr>
          <w:rFonts w:ascii="仿宋_GB2312" w:eastAsia="仿宋_GB2312"/>
          <w:sz w:val="32"/>
          <w:szCs w:val="32"/>
        </w:rPr>
        <w:t>“</w:t>
      </w:r>
      <w:r>
        <w:rPr>
          <w:rFonts w:ascii="仿宋_GB2312" w:eastAsia="仿宋_GB2312"/>
          <w:sz w:val="32"/>
          <w:szCs w:val="32"/>
        </w:rPr>
        <w:t>加、新、高</w:t>
      </w:r>
      <w:r>
        <w:rPr>
          <w:rFonts w:ascii="仿宋_GB2312" w:eastAsia="仿宋_GB2312"/>
          <w:sz w:val="32"/>
          <w:szCs w:val="32"/>
        </w:rPr>
        <w:t>”</w:t>
      </w:r>
      <w:r>
        <w:rPr>
          <w:rFonts w:ascii="仿宋_GB2312" w:eastAsia="仿宋_GB2312"/>
          <w:sz w:val="32"/>
          <w:szCs w:val="32"/>
        </w:rPr>
        <w:t>类型项目，计划建设市级农业农村重大项目200个，择优申报省级重大项目75个。六是实施农村改革深化拓展工程。落实《深化农村改革实施方案》部署，积极探索承包地、宅基地</w:t>
      </w:r>
      <w:r>
        <w:rPr>
          <w:rFonts w:ascii="仿宋_GB2312" w:eastAsia="仿宋_GB2312"/>
          <w:sz w:val="32"/>
          <w:szCs w:val="32"/>
        </w:rPr>
        <w:t>“</w:t>
      </w:r>
      <w:r>
        <w:rPr>
          <w:rFonts w:ascii="仿宋_GB2312" w:eastAsia="仿宋_GB2312"/>
          <w:sz w:val="32"/>
          <w:szCs w:val="32"/>
        </w:rPr>
        <w:t>三权分置</w:t>
      </w:r>
      <w:r>
        <w:rPr>
          <w:rFonts w:ascii="仿宋_GB2312" w:eastAsia="仿宋_GB2312"/>
          <w:sz w:val="32"/>
          <w:szCs w:val="32"/>
        </w:rPr>
        <w:t>”</w:t>
      </w:r>
      <w:r>
        <w:rPr>
          <w:rFonts w:ascii="仿宋_GB2312" w:eastAsia="仿宋_GB2312"/>
          <w:sz w:val="32"/>
          <w:szCs w:val="32"/>
        </w:rPr>
        <w:t>有效实现形式，研究二轮承包到期后再延长三十年政策。积极盘活村集体闲置资产，推进全国农村产权交易规范化整市试点建设。</w:t>
      </w:r>
    </w:p>
    <w:p w:rsidR="00B04493" w:rsidRDefault="00A74939" w:rsidP="00DA2F45">
      <w:pPr>
        <w:pStyle w:val="a0"/>
        <w:spacing w:after="0" w:line="560" w:lineRule="exact"/>
        <w:ind w:firstLineChars="200" w:firstLine="643"/>
        <w:rPr>
          <w:rFonts w:ascii="仿宋_GB2312" w:eastAsia="仿宋_GB2312"/>
          <w:b/>
          <w:sz w:val="32"/>
          <w:szCs w:val="32"/>
        </w:rPr>
      </w:pPr>
      <w:r>
        <w:rPr>
          <w:rFonts w:ascii="仿宋_GB2312" w:eastAsia="仿宋_GB2312"/>
          <w:b/>
          <w:sz w:val="32"/>
          <w:szCs w:val="32"/>
        </w:rPr>
        <w:t>（</w:t>
      </w:r>
      <w:r>
        <w:rPr>
          <w:rFonts w:ascii="仿宋_GB2312" w:eastAsia="仿宋_GB2312" w:hint="eastAsia"/>
          <w:b/>
          <w:sz w:val="32"/>
          <w:szCs w:val="32"/>
        </w:rPr>
        <w:t>2</w:t>
      </w:r>
      <w:r>
        <w:rPr>
          <w:rFonts w:ascii="仿宋_GB2312" w:eastAsia="仿宋_GB2312"/>
          <w:b/>
          <w:sz w:val="32"/>
          <w:szCs w:val="32"/>
        </w:rPr>
        <w:t>）完善</w:t>
      </w:r>
      <w:r>
        <w:rPr>
          <w:rFonts w:ascii="仿宋_GB2312" w:eastAsia="仿宋_GB2312"/>
          <w:b/>
          <w:sz w:val="32"/>
          <w:szCs w:val="32"/>
        </w:rPr>
        <w:t>“</w:t>
      </w:r>
      <w:r>
        <w:rPr>
          <w:rFonts w:ascii="仿宋_GB2312" w:eastAsia="仿宋_GB2312"/>
          <w:b/>
          <w:sz w:val="32"/>
          <w:szCs w:val="32"/>
        </w:rPr>
        <w:t>四项机制</w:t>
      </w:r>
      <w:r>
        <w:rPr>
          <w:rFonts w:ascii="仿宋_GB2312" w:eastAsia="仿宋_GB2312"/>
          <w:b/>
          <w:sz w:val="32"/>
          <w:szCs w:val="32"/>
        </w:rPr>
        <w:t>”</w:t>
      </w:r>
    </w:p>
    <w:p w:rsidR="00B04493" w:rsidRDefault="00A74939" w:rsidP="00DA2F45">
      <w:pPr>
        <w:pStyle w:val="a0"/>
        <w:spacing w:after="0" w:line="560" w:lineRule="exact"/>
        <w:ind w:firstLineChars="200" w:firstLine="643"/>
        <w:rPr>
          <w:rFonts w:ascii="仿宋_GB2312" w:eastAsia="仿宋_GB2312"/>
          <w:sz w:val="32"/>
          <w:szCs w:val="32"/>
        </w:rPr>
      </w:pPr>
      <w:r>
        <w:rPr>
          <w:rFonts w:ascii="仿宋_GB2312" w:eastAsia="仿宋_GB2312"/>
          <w:b/>
          <w:sz w:val="32"/>
          <w:szCs w:val="32"/>
        </w:rPr>
        <w:t>一是</w:t>
      </w:r>
      <w:r>
        <w:rPr>
          <w:rFonts w:ascii="仿宋_GB2312" w:eastAsia="仿宋_GB2312"/>
          <w:sz w:val="32"/>
          <w:szCs w:val="32"/>
        </w:rPr>
        <w:t>完善农业科技服务机制。聚焦都市现代农业强市建设需要，优化</w:t>
      </w:r>
      <w:r>
        <w:rPr>
          <w:rFonts w:ascii="仿宋_GB2312" w:eastAsia="仿宋_GB2312"/>
          <w:sz w:val="32"/>
          <w:szCs w:val="32"/>
        </w:rPr>
        <w:t>“</w:t>
      </w:r>
      <w:r>
        <w:rPr>
          <w:rFonts w:ascii="仿宋_GB2312" w:eastAsia="仿宋_GB2312"/>
          <w:sz w:val="32"/>
          <w:szCs w:val="32"/>
        </w:rPr>
        <w:t>科金兴农</w:t>
      </w:r>
      <w:r>
        <w:rPr>
          <w:rFonts w:ascii="仿宋_GB2312" w:eastAsia="仿宋_GB2312"/>
          <w:sz w:val="32"/>
          <w:szCs w:val="32"/>
        </w:rPr>
        <w:t>”</w:t>
      </w:r>
      <w:r>
        <w:rPr>
          <w:rFonts w:ascii="仿宋_GB2312" w:eastAsia="仿宋_GB2312"/>
          <w:sz w:val="32"/>
          <w:szCs w:val="32"/>
        </w:rPr>
        <w:t>对接服务，分层分类开展精准农业科技服</w:t>
      </w:r>
      <w:r>
        <w:rPr>
          <w:rFonts w:ascii="仿宋_GB2312" w:eastAsia="仿宋_GB2312"/>
          <w:sz w:val="32"/>
          <w:szCs w:val="32"/>
        </w:rPr>
        <w:lastRenderedPageBreak/>
        <w:t>务，加快推动农业新品种、新技术、新装备、新模式迭代升级。</w:t>
      </w:r>
      <w:r>
        <w:rPr>
          <w:rFonts w:ascii="仿宋_GB2312" w:eastAsia="仿宋_GB2312"/>
          <w:b/>
          <w:sz w:val="32"/>
          <w:szCs w:val="32"/>
        </w:rPr>
        <w:t>二是</w:t>
      </w:r>
      <w:r>
        <w:rPr>
          <w:rFonts w:ascii="仿宋_GB2312" w:eastAsia="仿宋_GB2312"/>
          <w:sz w:val="32"/>
          <w:szCs w:val="32"/>
        </w:rPr>
        <w:t>完善农村创新创优支持机制。加大农业农村创业创新支持力度，培塑、挖掘创新创优典型榜样，着力营造各类主体创新创优、增收致富的良好氛围。大力发展以特色种植、特色养殖、特色手工、特色休闲旅游、生产生活服务为重点的庭院经济。</w:t>
      </w:r>
      <w:r>
        <w:rPr>
          <w:rFonts w:ascii="仿宋_GB2312" w:eastAsia="仿宋_GB2312"/>
          <w:b/>
          <w:sz w:val="32"/>
          <w:szCs w:val="32"/>
        </w:rPr>
        <w:t>三是</w:t>
      </w:r>
      <w:r>
        <w:rPr>
          <w:rFonts w:ascii="仿宋_GB2312" w:eastAsia="仿宋_GB2312"/>
          <w:sz w:val="32"/>
          <w:szCs w:val="32"/>
        </w:rPr>
        <w:t>完善农业农村绿色发展机制。扎实开展千村万户百企化肥减量增效行动，建设一批部省级化肥减量增效示范区。持续打造沿江5公里农业绿色发展示范带。加强农业类长江入河排口的整治。扎实推进长江十年禁渔，依法打击违法行为。</w:t>
      </w:r>
      <w:r>
        <w:rPr>
          <w:rFonts w:ascii="仿宋_GB2312" w:eastAsia="仿宋_GB2312"/>
          <w:b/>
          <w:sz w:val="32"/>
          <w:szCs w:val="32"/>
        </w:rPr>
        <w:t>四是</w:t>
      </w:r>
      <w:r>
        <w:rPr>
          <w:rFonts w:ascii="仿宋_GB2312" w:eastAsia="仿宋_GB2312"/>
          <w:sz w:val="32"/>
          <w:szCs w:val="32"/>
        </w:rPr>
        <w:t>完善农民主体作用发挥机制。总结推广村庄长效管护方面的经验做法，激励村集体、农民群众参与人居环境管护。鼓励有条件的村集体经济组织、农民合作组织依法依规成立各类村庄保洁组织或企业。</w:t>
      </w:r>
    </w:p>
    <w:p w:rsidR="00B04493" w:rsidRDefault="00A74939">
      <w:pPr>
        <w:spacing w:line="560" w:lineRule="exact"/>
        <w:ind w:firstLineChars="200" w:firstLine="640"/>
        <w:rPr>
          <w:rFonts w:ascii="黑体" w:eastAsia="黑体"/>
          <w:sz w:val="32"/>
          <w:szCs w:val="32"/>
        </w:rPr>
      </w:pPr>
      <w:r>
        <w:rPr>
          <w:rFonts w:ascii="黑体" w:eastAsia="黑体" w:hint="eastAsia"/>
          <w:sz w:val="32"/>
          <w:szCs w:val="32"/>
        </w:rPr>
        <w:t>二、评价结论</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（一）评价的对象和范围</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本次绩效评价的对象为</w:t>
      </w:r>
      <w:r>
        <w:rPr>
          <w:rFonts w:ascii="仿宋_GB2312" w:eastAsia="仿宋_GB2312"/>
          <w:sz w:val="32"/>
          <w:szCs w:val="32"/>
        </w:rPr>
        <w:t>2024年度南京市农业农村局整体资金15.23亿元，包括部门预算和部门管理使用的专项预算资金</w:t>
      </w:r>
      <w:r>
        <w:rPr>
          <w:rFonts w:ascii="仿宋_GB2312" w:eastAsia="仿宋_GB2312" w:hint="eastAsia"/>
          <w:sz w:val="32"/>
          <w:szCs w:val="32"/>
        </w:rPr>
        <w:t>。具体范围包括2024年度南京市农业农村局部门预算基本支出、项目支出及市级专项资金项目支出。</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（二）评价方法</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本次评价工作主要包括设计分解指标体系、通过调研方式获取基础数据，主要采取听取汇报、询问，现场查看有关凭证、项目绩效自评价表和专项资金绩效自评价报告等方式进行，并核实部门年度履职情况及项目资金绩效目标完成情况等。</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lastRenderedPageBreak/>
        <w:t>（三）评价指标体系设置</w:t>
      </w:r>
    </w:p>
    <w:p w:rsidR="00B04493" w:rsidRDefault="00A74939">
      <w:pPr>
        <w:spacing w:line="560" w:lineRule="exact"/>
        <w:ind w:firstLineChars="200" w:firstLine="640"/>
        <w:rPr>
          <w:rFonts w:ascii="仿宋_GB2312" w:eastAsia="仿宋_GB2312"/>
          <w:sz w:val="32"/>
          <w:szCs w:val="32"/>
        </w:rPr>
      </w:pPr>
      <w:r>
        <w:rPr>
          <w:rFonts w:ascii="仿宋_GB2312" w:eastAsia="仿宋_GB2312" w:hint="eastAsia"/>
          <w:sz w:val="32"/>
          <w:szCs w:val="32"/>
        </w:rPr>
        <w:t>本次评价针对部门整体支出设计绩效评价指标体系，包括部门决策、管理过程、部门履职、履职绩效、满意度、加减分项共6个一级指标，下设二级指标22个、三级指标44个。</w:t>
      </w:r>
    </w:p>
    <w:p w:rsidR="00B04493" w:rsidRDefault="00A74939">
      <w:pPr>
        <w:spacing w:line="560" w:lineRule="exact"/>
        <w:ind w:firstLineChars="200" w:firstLine="640"/>
        <w:rPr>
          <w:rFonts w:ascii="楷体" w:eastAsia="楷体"/>
          <w:sz w:val="32"/>
          <w:szCs w:val="32"/>
        </w:rPr>
      </w:pPr>
      <w:r>
        <w:rPr>
          <w:rFonts w:ascii="楷体" w:eastAsia="楷体" w:hint="eastAsia"/>
          <w:sz w:val="32"/>
          <w:szCs w:val="32"/>
        </w:rPr>
        <w:t>（四）评价结论</w:t>
      </w:r>
    </w:p>
    <w:p w:rsidR="00B04493" w:rsidRDefault="00A7493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年，在市委市政府坚强领导下，市农业农村局坚持以习近平新时代中国特色社会主义思想为指引，认真学习贯彻党的二十届三中全会精神，牢牢把握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在推进农业现代化上走在前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重大要求，深入学习运用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千万工程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经验，立足南京都市现代农业发展实际，高水平建设都市现代农业强市，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各项重点工作成效显著。</w:t>
      </w:r>
      <w:r>
        <w:rPr>
          <w:rFonts w:ascii="Times New Roman" w:eastAsia="仿宋_GB2312" w:hAnsi="Times New Roman" w:cs="Times New Roman" w:hint="eastAsia"/>
          <w:sz w:val="32"/>
          <w:szCs w:val="32"/>
        </w:rPr>
        <w:t>基本实现年度绩效目标。</w:t>
      </w:r>
    </w:p>
    <w:p w:rsidR="00B04493" w:rsidRDefault="00A7493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根据《中共中央国务院关于全面实施预算绩效管理的意见》、省财政厅《关于全面实施预算绩效管理的实施意见》及《关于印发</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年南京市市级预算部门（单位）预算绩效管理责任清单的通知》等相关文件要求，本次绩效评价综合运用绩效评价指标体系及评分标准，对南京市农业农村局本级</w:t>
      </w:r>
      <w:r>
        <w:rPr>
          <w:rFonts w:ascii="Times New Roman" w:eastAsia="仿宋_GB2312" w:hAnsi="Times New Roman" w:cs="Times New Roman" w:hint="eastAsia"/>
          <w:sz w:val="32"/>
          <w:szCs w:val="32"/>
        </w:rPr>
        <w:t xml:space="preserve"> 2024</w:t>
      </w:r>
      <w:r>
        <w:rPr>
          <w:rFonts w:ascii="Times New Roman" w:eastAsia="仿宋_GB2312" w:hAnsi="Times New Roman" w:cs="Times New Roman" w:hint="eastAsia"/>
          <w:sz w:val="32"/>
          <w:szCs w:val="32"/>
        </w:rPr>
        <w:t>年部门预算整体支出及管理的市级专项资金进行客观评价，最终评分结果：</w:t>
      </w:r>
      <w:r>
        <w:rPr>
          <w:rFonts w:ascii="Times New Roman" w:eastAsia="仿宋_GB2312" w:hAnsi="Times New Roman" w:cs="Times New Roman" w:hint="eastAsia"/>
          <w:sz w:val="32"/>
          <w:szCs w:val="32"/>
        </w:rPr>
        <w:t>95.15</w:t>
      </w:r>
      <w:r>
        <w:rPr>
          <w:rFonts w:ascii="Times New Roman" w:eastAsia="仿宋_GB2312" w:hAnsi="Times New Roman" w:cs="Times New Roman" w:hint="eastAsia"/>
          <w:sz w:val="32"/>
          <w:szCs w:val="32"/>
        </w:rPr>
        <w:t>分，等级为“优”。各部分权重和分值如下：</w:t>
      </w:r>
    </w:p>
    <w:p w:rsidR="00B04493" w:rsidRDefault="00A74939">
      <w:pPr>
        <w:spacing w:line="560" w:lineRule="exact"/>
        <w:jc w:val="center"/>
        <w:rPr>
          <w:rFonts w:ascii="仿宋_GB2312" w:eastAsia="仿宋_GB2312"/>
          <w:b/>
          <w:sz w:val="30"/>
          <w:szCs w:val="30"/>
        </w:rPr>
      </w:pPr>
      <w:r>
        <w:rPr>
          <w:rFonts w:ascii="仿宋_GB2312" w:eastAsia="仿宋_GB2312" w:hint="eastAsia"/>
          <w:b/>
          <w:sz w:val="30"/>
          <w:szCs w:val="30"/>
        </w:rPr>
        <w:t>部门整体绩效评价得分情况总表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5"/>
        <w:gridCol w:w="1065"/>
        <w:gridCol w:w="1065"/>
        <w:gridCol w:w="1065"/>
        <w:gridCol w:w="1065"/>
        <w:gridCol w:w="1065"/>
        <w:gridCol w:w="1066"/>
        <w:gridCol w:w="1066"/>
      </w:tblGrid>
      <w:tr w:rsidR="00B04493">
        <w:trPr>
          <w:jc w:val="center"/>
        </w:trPr>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一级指标</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部门决策</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管理过程</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部门履职</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履职绩效</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满意度</w:t>
            </w:r>
          </w:p>
        </w:tc>
        <w:tc>
          <w:tcPr>
            <w:tcW w:w="1066"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加减分项</w:t>
            </w:r>
          </w:p>
        </w:tc>
        <w:tc>
          <w:tcPr>
            <w:tcW w:w="1066"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合计分值</w:t>
            </w:r>
          </w:p>
        </w:tc>
      </w:tr>
      <w:tr w:rsidR="00B04493">
        <w:trPr>
          <w:jc w:val="center"/>
        </w:trPr>
        <w:tc>
          <w:tcPr>
            <w:tcW w:w="1065" w:type="dxa"/>
            <w:vAlign w:val="center"/>
          </w:tcPr>
          <w:p w:rsidR="00B04493" w:rsidRDefault="00A74939">
            <w:pPr>
              <w:spacing w:line="560" w:lineRule="exact"/>
              <w:jc w:val="center"/>
              <w:rPr>
                <w:rFonts w:ascii="仿宋" w:eastAsia="仿宋" w:cs="仿宋"/>
                <w:b/>
                <w:sz w:val="24"/>
                <w:szCs w:val="24"/>
              </w:rPr>
            </w:pPr>
            <w:r>
              <w:rPr>
                <w:rFonts w:ascii="仿宋" w:eastAsia="仿宋" w:cs="仿宋" w:hint="eastAsia"/>
                <w:sz w:val="24"/>
                <w:szCs w:val="24"/>
              </w:rPr>
              <w:t>权重</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30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40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16</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4</w:t>
            </w:r>
          </w:p>
        </w:tc>
        <w:tc>
          <w:tcPr>
            <w:tcW w:w="1066" w:type="dxa"/>
            <w:vAlign w:val="center"/>
          </w:tcPr>
          <w:p w:rsidR="00B04493" w:rsidRDefault="00B04493">
            <w:pPr>
              <w:spacing w:line="560" w:lineRule="exact"/>
              <w:jc w:val="center"/>
              <w:rPr>
                <w:rFonts w:ascii="仿宋" w:eastAsia="仿宋" w:cs="仿宋"/>
                <w:sz w:val="24"/>
                <w:szCs w:val="24"/>
              </w:rPr>
            </w:pPr>
          </w:p>
        </w:tc>
        <w:tc>
          <w:tcPr>
            <w:tcW w:w="1066"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100</w:t>
            </w:r>
          </w:p>
        </w:tc>
      </w:tr>
      <w:tr w:rsidR="00B04493">
        <w:trPr>
          <w:jc w:val="center"/>
        </w:trPr>
        <w:tc>
          <w:tcPr>
            <w:tcW w:w="1065" w:type="dxa"/>
            <w:vAlign w:val="center"/>
          </w:tcPr>
          <w:p w:rsidR="00B04493" w:rsidRDefault="00A74939">
            <w:pPr>
              <w:spacing w:line="560" w:lineRule="exact"/>
              <w:jc w:val="center"/>
              <w:rPr>
                <w:rFonts w:ascii="仿宋" w:eastAsia="仿宋" w:cs="仿宋"/>
                <w:b/>
                <w:sz w:val="24"/>
                <w:szCs w:val="24"/>
              </w:rPr>
            </w:pPr>
            <w:r>
              <w:rPr>
                <w:rFonts w:ascii="仿宋" w:eastAsia="仿宋" w:cs="仿宋" w:hint="eastAsia"/>
                <w:sz w:val="24"/>
                <w:szCs w:val="24"/>
              </w:rPr>
              <w:t>得分</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25.25</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39.96</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16</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3.94</w:t>
            </w:r>
          </w:p>
        </w:tc>
        <w:tc>
          <w:tcPr>
            <w:tcW w:w="1066" w:type="dxa"/>
            <w:vAlign w:val="center"/>
          </w:tcPr>
          <w:p w:rsidR="00B04493" w:rsidRDefault="00B04493">
            <w:pPr>
              <w:spacing w:line="560" w:lineRule="exact"/>
              <w:jc w:val="center"/>
              <w:rPr>
                <w:rFonts w:ascii="仿宋" w:eastAsia="仿宋" w:cs="仿宋"/>
                <w:sz w:val="24"/>
                <w:szCs w:val="24"/>
              </w:rPr>
            </w:pPr>
          </w:p>
        </w:tc>
        <w:tc>
          <w:tcPr>
            <w:tcW w:w="1066"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95.15</w:t>
            </w:r>
          </w:p>
        </w:tc>
      </w:tr>
      <w:tr w:rsidR="00B04493">
        <w:trPr>
          <w:jc w:val="center"/>
        </w:trPr>
        <w:tc>
          <w:tcPr>
            <w:tcW w:w="1065" w:type="dxa"/>
            <w:vAlign w:val="center"/>
          </w:tcPr>
          <w:p w:rsidR="00B04493" w:rsidRDefault="00A74939">
            <w:pPr>
              <w:spacing w:line="560" w:lineRule="exact"/>
              <w:jc w:val="center"/>
              <w:rPr>
                <w:rFonts w:ascii="仿宋" w:eastAsia="仿宋" w:cs="仿宋"/>
                <w:b/>
                <w:sz w:val="24"/>
                <w:szCs w:val="24"/>
              </w:rPr>
            </w:pPr>
            <w:r>
              <w:rPr>
                <w:rFonts w:ascii="仿宋" w:eastAsia="仿宋" w:cs="仿宋" w:hint="eastAsia"/>
                <w:sz w:val="24"/>
                <w:szCs w:val="24"/>
              </w:rPr>
              <w:t>得分率</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100%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84.17%</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99.9%</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100%</w:t>
            </w:r>
          </w:p>
        </w:tc>
        <w:tc>
          <w:tcPr>
            <w:tcW w:w="1065"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98.5%</w:t>
            </w:r>
          </w:p>
        </w:tc>
        <w:tc>
          <w:tcPr>
            <w:tcW w:w="1066" w:type="dxa"/>
            <w:vAlign w:val="center"/>
          </w:tcPr>
          <w:p w:rsidR="00B04493" w:rsidRDefault="00B04493">
            <w:pPr>
              <w:spacing w:line="560" w:lineRule="exact"/>
              <w:jc w:val="center"/>
              <w:rPr>
                <w:rFonts w:ascii="仿宋" w:eastAsia="仿宋" w:cs="仿宋"/>
                <w:sz w:val="24"/>
                <w:szCs w:val="24"/>
              </w:rPr>
            </w:pPr>
          </w:p>
        </w:tc>
        <w:tc>
          <w:tcPr>
            <w:tcW w:w="1066" w:type="dxa"/>
            <w:vAlign w:val="center"/>
          </w:tcPr>
          <w:p w:rsidR="00B04493" w:rsidRDefault="00A74939">
            <w:pPr>
              <w:spacing w:line="560" w:lineRule="exact"/>
              <w:jc w:val="center"/>
              <w:rPr>
                <w:rFonts w:ascii="仿宋" w:eastAsia="仿宋" w:cs="仿宋"/>
                <w:sz w:val="24"/>
                <w:szCs w:val="24"/>
              </w:rPr>
            </w:pPr>
            <w:r>
              <w:rPr>
                <w:rFonts w:ascii="仿宋" w:eastAsia="仿宋" w:cs="仿宋" w:hint="eastAsia"/>
                <w:sz w:val="24"/>
                <w:szCs w:val="24"/>
              </w:rPr>
              <w:t>95.15%</w:t>
            </w:r>
          </w:p>
        </w:tc>
      </w:tr>
    </w:tbl>
    <w:p w:rsidR="00B04493" w:rsidRDefault="00A74939" w:rsidP="006473F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注：具体指标体系得分情况详见附件。</w:t>
      </w:r>
    </w:p>
    <w:p w:rsidR="006473F3" w:rsidRDefault="00A74939" w:rsidP="006473F3">
      <w:pPr>
        <w:pStyle w:val="a0"/>
        <w:spacing w:line="560" w:lineRule="exact"/>
        <w:rPr>
          <w:rFonts w:ascii="仿宋_GB2312" w:eastAsia="仿宋_GB2312" w:cs="仿宋"/>
          <w:sz w:val="32"/>
          <w:szCs w:val="32"/>
        </w:rPr>
      </w:pPr>
      <w:r>
        <w:t xml:space="preserve">      </w:t>
      </w:r>
      <w:r>
        <w:rPr>
          <w:rFonts w:ascii="仿宋_GB2312" w:eastAsia="仿宋_GB2312" w:hint="eastAsia"/>
          <w:sz w:val="32"/>
          <w:szCs w:val="32"/>
        </w:rPr>
        <w:t xml:space="preserve"> </w:t>
      </w:r>
      <w:r>
        <w:rPr>
          <w:rFonts w:ascii="仿宋_GB2312" w:eastAsia="仿宋_GB2312"/>
          <w:sz w:val="32"/>
          <w:szCs w:val="32"/>
        </w:rPr>
        <w:t>扣分项集中在管理过程、部门履职和满意度三个方面，管理过程指标中的</w:t>
      </w:r>
      <w:r>
        <w:rPr>
          <w:rFonts w:ascii="仿宋_GB2312" w:eastAsia="仿宋_GB2312" w:hint="eastAsia"/>
          <w:sz w:val="32"/>
          <w:szCs w:val="32"/>
        </w:rPr>
        <w:t>主要问题</w:t>
      </w:r>
      <w:r>
        <w:rPr>
          <w:rFonts w:ascii="仿宋_GB2312" w:eastAsia="仿宋_GB2312"/>
          <w:sz w:val="32"/>
          <w:szCs w:val="32"/>
        </w:rPr>
        <w:t>为预算执行率和项目建设情况不达预期、政府采购办法部分条例不适应现行要求；部门履职指标中的</w:t>
      </w:r>
      <w:r>
        <w:rPr>
          <w:rFonts w:ascii="仿宋_GB2312" w:eastAsia="仿宋_GB2312" w:hint="eastAsia"/>
          <w:sz w:val="32"/>
          <w:szCs w:val="32"/>
        </w:rPr>
        <w:t>主要问题</w:t>
      </w:r>
      <w:r>
        <w:rPr>
          <w:rFonts w:ascii="仿宋_GB2312" w:eastAsia="仿宋_GB2312"/>
          <w:sz w:val="32"/>
          <w:szCs w:val="32"/>
        </w:rPr>
        <w:t>为2024年度</w:t>
      </w:r>
      <w:r>
        <w:rPr>
          <w:rFonts w:ascii="仿宋_GB2312" w:eastAsia="仿宋_GB2312" w:cs="仿宋"/>
          <w:sz w:val="32"/>
          <w:szCs w:val="32"/>
        </w:rPr>
        <w:t>市级</w:t>
      </w:r>
      <w:r>
        <w:rPr>
          <w:rFonts w:ascii="仿宋_GB2312" w:eastAsia="仿宋_GB2312" w:cs="仿宋" w:hint="eastAsia"/>
          <w:sz w:val="32"/>
          <w:szCs w:val="32"/>
        </w:rPr>
        <w:t>美丽</w:t>
      </w:r>
      <w:r>
        <w:rPr>
          <w:rFonts w:ascii="仿宋_GB2312" w:eastAsia="仿宋_GB2312" w:cs="仿宋"/>
          <w:sz w:val="32"/>
          <w:szCs w:val="32"/>
        </w:rPr>
        <w:t>宜居村项目未全部完成；满意度</w:t>
      </w:r>
      <w:r>
        <w:rPr>
          <w:rFonts w:ascii="仿宋_GB2312" w:eastAsia="仿宋_GB2312"/>
          <w:sz w:val="32"/>
          <w:szCs w:val="32"/>
        </w:rPr>
        <w:t>指标中的</w:t>
      </w:r>
      <w:r>
        <w:rPr>
          <w:rFonts w:ascii="仿宋_GB2312" w:eastAsia="仿宋_GB2312" w:hint="eastAsia"/>
          <w:sz w:val="32"/>
          <w:szCs w:val="32"/>
        </w:rPr>
        <w:t>主要问题</w:t>
      </w:r>
      <w:r>
        <w:rPr>
          <w:rFonts w:ascii="仿宋_GB2312" w:eastAsia="仿宋_GB2312"/>
          <w:sz w:val="32"/>
          <w:szCs w:val="32"/>
        </w:rPr>
        <w:t>为</w:t>
      </w:r>
      <w:r>
        <w:rPr>
          <w:rFonts w:ascii="仿宋_GB2312" w:eastAsia="仿宋_GB2312" w:cs="仿宋" w:hint="eastAsia"/>
          <w:sz w:val="32"/>
          <w:szCs w:val="32"/>
        </w:rPr>
        <w:t>农村低收入人口满意度</w:t>
      </w:r>
      <w:r w:rsidR="006473F3">
        <w:rPr>
          <w:rFonts w:ascii="仿宋_GB2312" w:eastAsia="仿宋_GB2312" w:cs="仿宋"/>
          <w:sz w:val="32"/>
          <w:szCs w:val="32"/>
        </w:rPr>
        <w:t>不达标</w:t>
      </w:r>
      <w:r w:rsidR="006473F3">
        <w:rPr>
          <w:rFonts w:ascii="仿宋_GB2312" w:eastAsia="仿宋_GB2312" w:cs="仿宋" w:hint="eastAsia"/>
          <w:sz w:val="32"/>
          <w:szCs w:val="32"/>
        </w:rPr>
        <w:t>。</w:t>
      </w:r>
    </w:p>
    <w:p w:rsidR="00B04493" w:rsidRPr="006473F3" w:rsidRDefault="00A74939" w:rsidP="006473F3">
      <w:pPr>
        <w:pStyle w:val="a0"/>
        <w:spacing w:line="560" w:lineRule="exact"/>
        <w:ind w:firstLineChars="200" w:firstLine="640"/>
        <w:rPr>
          <w:rFonts w:ascii="仿宋_GB2312" w:eastAsia="仿宋_GB2312" w:cs="仿宋"/>
          <w:sz w:val="32"/>
          <w:szCs w:val="32"/>
        </w:rPr>
      </w:pPr>
      <w:r>
        <w:rPr>
          <w:rFonts w:ascii="仿宋_GB2312" w:eastAsia="仿宋_GB2312"/>
          <w:sz w:val="32"/>
          <w:szCs w:val="32"/>
        </w:rPr>
        <w:t>建议采取动态监控、定期通报和将执行率与</w:t>
      </w:r>
      <w:r w:rsidR="00F43113">
        <w:rPr>
          <w:rFonts w:ascii="仿宋_GB2312" w:eastAsia="仿宋_GB2312"/>
          <w:sz w:val="32"/>
          <w:szCs w:val="32"/>
        </w:rPr>
        <w:t>后续</w:t>
      </w:r>
      <w:r>
        <w:rPr>
          <w:rFonts w:ascii="仿宋_GB2312" w:eastAsia="仿宋_GB2312"/>
          <w:sz w:val="32"/>
          <w:szCs w:val="32"/>
        </w:rPr>
        <w:t>资金安排挂钩等手段</w:t>
      </w:r>
      <w:r w:rsidR="00F43113">
        <w:rPr>
          <w:rFonts w:ascii="仿宋_GB2312" w:eastAsia="仿宋_GB2312" w:hint="eastAsia"/>
          <w:sz w:val="32"/>
          <w:szCs w:val="32"/>
        </w:rPr>
        <w:t>，</w:t>
      </w:r>
      <w:r w:rsidR="00F43113">
        <w:rPr>
          <w:rFonts w:ascii="仿宋_GB2312" w:eastAsia="仿宋_GB2312"/>
          <w:sz w:val="32"/>
          <w:szCs w:val="32"/>
        </w:rPr>
        <w:t>进一步</w:t>
      </w:r>
      <w:r>
        <w:rPr>
          <w:rFonts w:ascii="仿宋_GB2312" w:eastAsia="仿宋_GB2312"/>
          <w:sz w:val="32"/>
          <w:szCs w:val="32"/>
        </w:rPr>
        <w:t>提高预算执行效率</w:t>
      </w:r>
      <w:r w:rsidR="00F43113">
        <w:rPr>
          <w:rFonts w:ascii="仿宋_GB2312" w:eastAsia="仿宋_GB2312" w:hint="eastAsia"/>
          <w:sz w:val="32"/>
          <w:szCs w:val="32"/>
        </w:rPr>
        <w:t>；</w:t>
      </w:r>
      <w:r>
        <w:rPr>
          <w:rFonts w:ascii="仿宋_GB2312" w:eastAsia="仿宋_GB2312"/>
          <w:sz w:val="32"/>
          <w:szCs w:val="32"/>
        </w:rPr>
        <w:t>按照新政策新要求完成政府采购办法修订工作</w:t>
      </w:r>
      <w:r w:rsidR="00F43113">
        <w:rPr>
          <w:rFonts w:ascii="仿宋_GB2312" w:eastAsia="仿宋_GB2312" w:hint="eastAsia"/>
          <w:sz w:val="32"/>
          <w:szCs w:val="32"/>
        </w:rPr>
        <w:t>；</w:t>
      </w:r>
      <w:r>
        <w:rPr>
          <w:rFonts w:ascii="仿宋_GB2312" w:eastAsia="仿宋_GB2312"/>
          <w:sz w:val="32"/>
          <w:szCs w:val="32"/>
        </w:rPr>
        <w:t>加强项目全</w:t>
      </w:r>
      <w:r w:rsidR="00F43113">
        <w:rPr>
          <w:rFonts w:ascii="仿宋_GB2312" w:eastAsia="仿宋_GB2312" w:hint="eastAsia"/>
          <w:sz w:val="32"/>
          <w:szCs w:val="32"/>
        </w:rPr>
        <w:t>链条“穿透式”</w:t>
      </w:r>
      <w:r>
        <w:rPr>
          <w:rFonts w:ascii="仿宋_GB2312" w:eastAsia="仿宋_GB2312"/>
          <w:sz w:val="32"/>
          <w:szCs w:val="32"/>
        </w:rPr>
        <w:t>管理</w:t>
      </w:r>
      <w:r w:rsidR="00F43113">
        <w:rPr>
          <w:rFonts w:ascii="仿宋_GB2312" w:eastAsia="仿宋_GB2312" w:hint="eastAsia"/>
          <w:sz w:val="32"/>
          <w:szCs w:val="32"/>
        </w:rPr>
        <w:t>并</w:t>
      </w:r>
      <w:r>
        <w:rPr>
          <w:rFonts w:ascii="仿宋_GB2312" w:eastAsia="仿宋_GB2312"/>
          <w:sz w:val="32"/>
          <w:szCs w:val="32"/>
        </w:rPr>
        <w:t>及时</w:t>
      </w:r>
      <w:r w:rsidR="00F43113">
        <w:rPr>
          <w:rFonts w:ascii="仿宋_GB2312" w:eastAsia="仿宋_GB2312"/>
          <w:sz w:val="32"/>
          <w:szCs w:val="32"/>
        </w:rPr>
        <w:t>对各区</w:t>
      </w:r>
      <w:r w:rsidR="00DA2F45">
        <w:rPr>
          <w:rFonts w:ascii="仿宋_GB2312" w:eastAsia="仿宋_GB2312" w:hint="eastAsia"/>
          <w:sz w:val="32"/>
          <w:szCs w:val="32"/>
        </w:rPr>
        <w:t>予以</w:t>
      </w:r>
      <w:r>
        <w:rPr>
          <w:rFonts w:ascii="仿宋_GB2312" w:eastAsia="仿宋_GB2312"/>
          <w:sz w:val="32"/>
          <w:szCs w:val="32"/>
        </w:rPr>
        <w:t>指导督导</w:t>
      </w:r>
      <w:r w:rsidR="00DA2F45">
        <w:rPr>
          <w:rFonts w:ascii="仿宋_GB2312" w:eastAsia="仿宋_GB2312" w:hint="eastAsia"/>
          <w:sz w:val="32"/>
          <w:szCs w:val="32"/>
        </w:rPr>
        <w:t>，推进</w:t>
      </w:r>
      <w:r>
        <w:rPr>
          <w:rFonts w:ascii="仿宋_GB2312" w:eastAsia="仿宋_GB2312"/>
          <w:sz w:val="32"/>
          <w:szCs w:val="32"/>
        </w:rPr>
        <w:t>项目顺利</w:t>
      </w:r>
      <w:r w:rsidR="00DA2F45">
        <w:rPr>
          <w:rFonts w:ascii="仿宋_GB2312" w:eastAsia="仿宋_GB2312" w:hint="eastAsia"/>
          <w:sz w:val="32"/>
          <w:szCs w:val="32"/>
        </w:rPr>
        <w:t>建成</w:t>
      </w:r>
      <w:r>
        <w:rPr>
          <w:rFonts w:ascii="仿宋_GB2312" w:eastAsia="仿宋_GB2312"/>
          <w:sz w:val="32"/>
          <w:szCs w:val="32"/>
        </w:rPr>
        <w:t>。</w:t>
      </w:r>
    </w:p>
    <w:p w:rsidR="00B04493" w:rsidRDefault="00A74939">
      <w:pPr>
        <w:spacing w:line="560" w:lineRule="exact"/>
        <w:ind w:firstLineChars="200" w:firstLine="640"/>
        <w:rPr>
          <w:rFonts w:ascii="黑体" w:eastAsia="黑体"/>
          <w:sz w:val="32"/>
          <w:szCs w:val="32"/>
        </w:rPr>
      </w:pPr>
      <w:r>
        <w:rPr>
          <w:rFonts w:ascii="黑体" w:eastAsia="黑体" w:hint="eastAsia"/>
          <w:sz w:val="32"/>
          <w:szCs w:val="32"/>
        </w:rPr>
        <w:t>三、部门履职成效</w:t>
      </w:r>
    </w:p>
    <w:p w:rsidR="00B04493" w:rsidRDefault="00A7493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锚定高水平建设都市现代农业强市目标，在产业强农、创业惠农、强村富农、改革兴农等方面持续发力，奋力推动全市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工作继续走在全省、全国前列。</w:t>
      </w:r>
    </w:p>
    <w:p w:rsidR="00B04493" w:rsidRDefault="00A74939" w:rsidP="00DA2F45">
      <w:pPr>
        <w:spacing w:line="560" w:lineRule="exact"/>
        <w:ind w:firstLineChars="200" w:firstLine="643"/>
      </w:pPr>
      <w:r>
        <w:rPr>
          <w:rFonts w:ascii="仿宋_GB2312" w:eastAsia="仿宋_GB2312"/>
          <w:b/>
          <w:sz w:val="32"/>
          <w:szCs w:val="32"/>
        </w:rPr>
        <w:t>一是农业农村综合功能稳步增强。</w:t>
      </w:r>
      <w:r>
        <w:rPr>
          <w:rFonts w:eastAsia="仿宋_GB2312"/>
          <w:b/>
          <w:sz w:val="32"/>
          <w:szCs w:val="32"/>
        </w:rPr>
        <w:t>粮食等重要农产品生产能力稳中有增。</w:t>
      </w:r>
      <w:r>
        <w:rPr>
          <w:rFonts w:eastAsia="仿宋_GB2312"/>
          <w:sz w:val="32"/>
          <w:szCs w:val="32"/>
        </w:rPr>
        <w:t>以良田良种良机良法</w:t>
      </w:r>
      <w:r>
        <w:rPr>
          <w:rFonts w:eastAsia="仿宋_GB2312"/>
          <w:sz w:val="32"/>
          <w:szCs w:val="32"/>
        </w:rPr>
        <w:t>“</w:t>
      </w:r>
      <w:r>
        <w:rPr>
          <w:rFonts w:eastAsia="仿宋_GB2312"/>
          <w:sz w:val="32"/>
          <w:szCs w:val="32"/>
        </w:rPr>
        <w:t>四良</w:t>
      </w:r>
      <w:r>
        <w:rPr>
          <w:rFonts w:eastAsia="仿宋_GB2312"/>
          <w:sz w:val="32"/>
          <w:szCs w:val="32"/>
        </w:rPr>
        <w:t>”</w:t>
      </w:r>
      <w:r>
        <w:rPr>
          <w:rFonts w:eastAsia="仿宋_GB2312"/>
          <w:sz w:val="32"/>
          <w:szCs w:val="32"/>
        </w:rPr>
        <w:t>整合为重点，稻麦油绿色高产高效示范方成效显著，全市优良食味水稻种植占比达</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，小麦、油菜实收测产最高分别达</w:t>
      </w:r>
      <w:r>
        <w:rPr>
          <w:rFonts w:ascii="Times New Roman" w:eastAsia="仿宋_GB2312" w:hAnsi="Times New Roman" w:cs="Times New Roman"/>
          <w:sz w:val="32"/>
          <w:szCs w:val="32"/>
        </w:rPr>
        <w:t>638</w:t>
      </w:r>
      <w:r>
        <w:rPr>
          <w:rFonts w:ascii="Times New Roman" w:eastAsia="仿宋_GB2312" w:hAnsi="Times New Roman" w:cs="Times New Roman"/>
          <w:sz w:val="32"/>
          <w:szCs w:val="32"/>
        </w:rPr>
        <w:t>公斤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w:t>
      </w:r>
      <w:r>
        <w:rPr>
          <w:rFonts w:ascii="Times New Roman" w:eastAsia="仿宋_GB2312" w:hAnsi="Times New Roman" w:cs="Times New Roman"/>
          <w:sz w:val="32"/>
          <w:szCs w:val="32"/>
        </w:rPr>
        <w:t>311</w:t>
      </w:r>
      <w:r>
        <w:rPr>
          <w:rFonts w:ascii="Times New Roman" w:eastAsia="仿宋_GB2312" w:hAnsi="Times New Roman" w:cs="Times New Roman"/>
          <w:sz w:val="32"/>
          <w:szCs w:val="32"/>
        </w:rPr>
        <w:t>公斤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亩，均创历史新高。根据统计部门反馈，今年我市夏粮种植面积</w:t>
      </w:r>
      <w:r>
        <w:rPr>
          <w:rFonts w:ascii="Times New Roman" w:eastAsia="仿宋_GB2312" w:hAnsi="Times New Roman" w:cs="Times New Roman"/>
          <w:sz w:val="32"/>
          <w:szCs w:val="32"/>
        </w:rPr>
        <w:t>72.94</w:t>
      </w:r>
      <w:r>
        <w:rPr>
          <w:rFonts w:ascii="Times New Roman" w:eastAsia="仿宋_GB2312" w:hAnsi="Times New Roman" w:cs="Times New Roman"/>
          <w:sz w:val="32"/>
          <w:szCs w:val="32"/>
        </w:rPr>
        <w:t>万亩、较上年增加</w:t>
      </w:r>
      <w:r>
        <w:rPr>
          <w:rFonts w:ascii="Times New Roman" w:eastAsia="仿宋_GB2312" w:hAnsi="Times New Roman" w:cs="Times New Roman"/>
          <w:sz w:val="32"/>
          <w:szCs w:val="32"/>
        </w:rPr>
        <w:t>6.3</w:t>
      </w:r>
      <w:r>
        <w:rPr>
          <w:rFonts w:ascii="Times New Roman" w:eastAsia="仿宋_GB2312" w:hAnsi="Times New Roman" w:cs="Times New Roman"/>
          <w:sz w:val="32"/>
          <w:szCs w:val="32"/>
        </w:rPr>
        <w:t>万亩，单产</w:t>
      </w:r>
      <w:r>
        <w:rPr>
          <w:rFonts w:ascii="Times New Roman" w:eastAsia="仿宋_GB2312" w:hAnsi="Times New Roman" w:cs="Times New Roman"/>
          <w:sz w:val="32"/>
          <w:szCs w:val="32"/>
        </w:rPr>
        <w:t>335.92</w:t>
      </w:r>
      <w:r>
        <w:rPr>
          <w:rFonts w:ascii="Times New Roman" w:eastAsia="仿宋_GB2312" w:hAnsi="Times New Roman" w:cs="Times New Roman"/>
          <w:sz w:val="32"/>
          <w:szCs w:val="32"/>
        </w:rPr>
        <w:t>公斤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亩、较上年增</w:t>
      </w:r>
      <w:r>
        <w:rPr>
          <w:rFonts w:ascii="Times New Roman" w:eastAsia="仿宋_GB2312" w:hAnsi="Times New Roman" w:cs="Times New Roman"/>
          <w:sz w:val="32"/>
          <w:szCs w:val="32"/>
        </w:rPr>
        <w:t>2.96</w:t>
      </w:r>
      <w:r>
        <w:rPr>
          <w:rFonts w:ascii="Times New Roman" w:eastAsia="仿宋_GB2312" w:hAnsi="Times New Roman" w:cs="Times New Roman"/>
          <w:sz w:val="32"/>
          <w:szCs w:val="32"/>
        </w:rPr>
        <w:t>公斤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亩，总产</w:t>
      </w:r>
      <w:r>
        <w:rPr>
          <w:rFonts w:ascii="Times New Roman" w:eastAsia="仿宋_GB2312" w:hAnsi="Times New Roman" w:cs="Times New Roman"/>
          <w:sz w:val="32"/>
          <w:szCs w:val="32"/>
        </w:rPr>
        <w:t>24.5</w:t>
      </w:r>
      <w:r>
        <w:rPr>
          <w:rFonts w:ascii="Times New Roman" w:eastAsia="仿宋_GB2312" w:hAnsi="Times New Roman" w:cs="Times New Roman"/>
          <w:sz w:val="32"/>
          <w:szCs w:val="32"/>
        </w:rPr>
        <w:t>万吨、较上年增加</w:t>
      </w:r>
      <w:r>
        <w:rPr>
          <w:rFonts w:ascii="Times New Roman" w:eastAsia="仿宋_GB2312" w:hAnsi="Times New Roman" w:cs="Times New Roman"/>
          <w:sz w:val="32"/>
          <w:szCs w:val="32"/>
        </w:rPr>
        <w:t>2.31</w:t>
      </w:r>
      <w:r>
        <w:rPr>
          <w:rFonts w:ascii="Times New Roman" w:eastAsia="仿宋_GB2312" w:hAnsi="Times New Roman" w:cs="Times New Roman"/>
          <w:sz w:val="32"/>
          <w:szCs w:val="32"/>
        </w:rPr>
        <w:t>万吨。据调度，秋粮种植面积</w:t>
      </w:r>
      <w:r>
        <w:rPr>
          <w:rFonts w:ascii="Times New Roman" w:eastAsia="仿宋_GB2312" w:hAnsi="Times New Roman" w:cs="Times New Roman"/>
          <w:sz w:val="32"/>
          <w:szCs w:val="32"/>
        </w:rPr>
        <w:t>148.93</w:t>
      </w:r>
      <w:r>
        <w:rPr>
          <w:rFonts w:ascii="Times New Roman" w:eastAsia="仿宋_GB2312" w:hAnsi="Times New Roman" w:cs="Times New Roman"/>
          <w:sz w:val="32"/>
          <w:szCs w:val="32"/>
        </w:rPr>
        <w:t>万亩，蔬菜、水产、畜禽等农产品生产总体平稳，全市累计认证绿色、有机和地理标志农产品总数达</w:t>
      </w:r>
      <w:r>
        <w:rPr>
          <w:rFonts w:ascii="Times New Roman" w:eastAsia="仿宋_GB2312" w:hAnsi="Times New Roman" w:cs="Times New Roman"/>
          <w:sz w:val="32"/>
          <w:szCs w:val="32"/>
        </w:rPr>
        <w:t>701</w:t>
      </w:r>
      <w:r>
        <w:rPr>
          <w:rFonts w:ascii="Times New Roman" w:eastAsia="仿宋_GB2312" w:hAnsi="Times New Roman" w:cs="Times New Roman"/>
          <w:sz w:val="32"/>
          <w:szCs w:val="32"/>
        </w:rPr>
        <w:t>个，绿色优质农产品比重达</w:t>
      </w:r>
      <w:r>
        <w:rPr>
          <w:rFonts w:ascii="Times New Roman" w:eastAsia="仿宋_GB2312" w:hAnsi="Times New Roman" w:cs="Times New Roman"/>
          <w:sz w:val="32"/>
          <w:szCs w:val="32"/>
        </w:rPr>
        <w:t>74.6</w:t>
      </w:r>
      <w:r>
        <w:rPr>
          <w:rFonts w:ascii="Times New Roman" w:eastAsia="仿宋_GB2312" w:hAnsi="Times New Roman" w:cs="Times New Roman"/>
          <w:sz w:val="32"/>
          <w:szCs w:val="32"/>
        </w:rPr>
        <w:t>％</w:t>
      </w:r>
      <w:r>
        <w:rPr>
          <w:rFonts w:eastAsia="仿宋_GB2312"/>
          <w:sz w:val="32"/>
          <w:szCs w:val="32"/>
        </w:rPr>
        <w:t>，位列全省前列。</w:t>
      </w:r>
      <w:r>
        <w:rPr>
          <w:rFonts w:eastAsia="仿宋_GB2312"/>
          <w:b/>
          <w:sz w:val="32"/>
          <w:szCs w:val="32"/>
        </w:rPr>
        <w:lastRenderedPageBreak/>
        <w:t>乡村现代生活条件更加完备。</w:t>
      </w:r>
      <w:r>
        <w:rPr>
          <w:rFonts w:eastAsia="仿宋_GB2312"/>
          <w:sz w:val="32"/>
          <w:szCs w:val="32"/>
        </w:rPr>
        <w:t>深入学习运用浙江</w:t>
      </w:r>
      <w:r>
        <w:rPr>
          <w:rFonts w:eastAsia="仿宋_GB2312"/>
          <w:sz w:val="32"/>
          <w:szCs w:val="32"/>
        </w:rPr>
        <w:t>“</w:t>
      </w:r>
      <w:r>
        <w:rPr>
          <w:rFonts w:eastAsia="仿宋_GB2312"/>
          <w:sz w:val="32"/>
          <w:szCs w:val="32"/>
        </w:rPr>
        <w:t>千万工程</w:t>
      </w:r>
      <w:r>
        <w:rPr>
          <w:rFonts w:eastAsia="仿宋_GB2312"/>
          <w:sz w:val="32"/>
          <w:szCs w:val="32"/>
        </w:rPr>
        <w:t>”</w:t>
      </w:r>
      <w:r>
        <w:rPr>
          <w:rFonts w:eastAsia="仿宋_GB2312"/>
          <w:sz w:val="32"/>
          <w:szCs w:val="32"/>
        </w:rPr>
        <w:t>经验，</w:t>
      </w:r>
      <w:r>
        <w:rPr>
          <w:rFonts w:ascii="Times New Roman" w:eastAsia="仿宋_GB2312" w:hAnsi="Times New Roman" w:cs="Times New Roman" w:hint="eastAsia"/>
          <w:sz w:val="32"/>
          <w:szCs w:val="32"/>
        </w:rPr>
        <w:t>全市已累计建成市级及以上各类美丽宜居乡村</w:t>
      </w:r>
      <w:r>
        <w:rPr>
          <w:rFonts w:ascii="Times New Roman" w:eastAsia="仿宋_GB2312" w:hAnsi="Times New Roman" w:cs="Times New Roman" w:hint="eastAsia"/>
          <w:sz w:val="32"/>
          <w:szCs w:val="32"/>
        </w:rPr>
        <w:t>2900</w:t>
      </w:r>
      <w:r>
        <w:rPr>
          <w:rFonts w:ascii="Times New Roman" w:eastAsia="仿宋_GB2312" w:hAnsi="Times New Roman" w:cs="Times New Roman" w:hint="eastAsia"/>
          <w:sz w:val="32"/>
          <w:szCs w:val="32"/>
        </w:rPr>
        <w:t>多个，</w:t>
      </w:r>
      <w:r>
        <w:rPr>
          <w:rFonts w:ascii="Times New Roman" w:eastAsia="仿宋_GB2312" w:hAnsi="Times New Roman" w:cs="Times New Roman"/>
          <w:spacing w:val="15"/>
          <w:sz w:val="32"/>
          <w:szCs w:val="32"/>
          <w:shd w:val="clear" w:color="auto" w:fill="FFFFFF"/>
        </w:rPr>
        <w:t>自然村覆盖率（除拆迁撤并类村庄）达</w:t>
      </w:r>
      <w:r>
        <w:rPr>
          <w:rFonts w:ascii="Times New Roman" w:eastAsia="仿宋_GB2312" w:hAnsi="Times New Roman" w:cs="Times New Roman"/>
          <w:spacing w:val="15"/>
          <w:sz w:val="32"/>
          <w:szCs w:val="32"/>
          <w:shd w:val="clear" w:color="auto" w:fill="FFFFFF"/>
        </w:rPr>
        <w:t>50%</w:t>
      </w:r>
      <w:r>
        <w:rPr>
          <w:rFonts w:ascii="Times New Roman" w:eastAsia="仿宋_GB2312" w:hAnsi="Times New Roman" w:cs="Times New Roman"/>
          <w:spacing w:val="15"/>
          <w:sz w:val="32"/>
          <w:szCs w:val="32"/>
          <w:shd w:val="clear" w:color="auto" w:fill="FFFFFF"/>
        </w:rPr>
        <w:t>以上，</w:t>
      </w:r>
      <w:r>
        <w:rPr>
          <w:rFonts w:ascii="Times New Roman" w:eastAsia="仿宋_GB2312" w:hAnsi="Times New Roman" w:cs="Times New Roman"/>
          <w:sz w:val="32"/>
          <w:szCs w:val="32"/>
          <w:shd w:val="clear" w:color="auto" w:fill="FFFFFF"/>
        </w:rPr>
        <w:t>农村生活垃圾分类处理自然村覆盖率达</w:t>
      </w:r>
      <w:r>
        <w:rPr>
          <w:rFonts w:ascii="Times New Roman" w:eastAsia="仿宋_GB2312" w:hAnsi="Times New Roman" w:cs="Times New Roman"/>
          <w:sz w:val="32"/>
          <w:szCs w:val="32"/>
          <w:shd w:val="clear" w:color="auto" w:fill="FFFFFF"/>
        </w:rPr>
        <w:t>100%</w:t>
      </w:r>
      <w:r>
        <w:rPr>
          <w:rFonts w:ascii="Times New Roman" w:eastAsia="仿宋_GB2312" w:hAnsi="Times New Roman" w:cs="Times New Roman"/>
          <w:sz w:val="32"/>
          <w:szCs w:val="32"/>
          <w:shd w:val="clear" w:color="auto" w:fill="FFFFFF"/>
        </w:rPr>
        <w:t>，农村生活污水治理自然村覆盖率超</w:t>
      </w:r>
      <w:r>
        <w:rPr>
          <w:rFonts w:ascii="Times New Roman" w:eastAsia="仿宋_GB2312" w:hAnsi="Times New Roman" w:cs="Times New Roman"/>
          <w:sz w:val="32"/>
          <w:szCs w:val="32"/>
          <w:shd w:val="clear" w:color="auto" w:fill="FFFFFF"/>
        </w:rPr>
        <w:t>95%</w:t>
      </w:r>
      <w:r>
        <w:rPr>
          <w:rFonts w:ascii="Times New Roman" w:eastAsia="仿宋_GB2312" w:hAnsi="Times New Roman" w:cs="Times New Roman"/>
          <w:sz w:val="32"/>
          <w:szCs w:val="32"/>
          <w:shd w:val="clear" w:color="auto" w:fill="FFFFFF"/>
        </w:rPr>
        <w:t>，无害化卫生户厕普及率达</w:t>
      </w:r>
      <w:r>
        <w:rPr>
          <w:rFonts w:ascii="Times New Roman" w:eastAsia="仿宋_GB2312" w:hAnsi="Times New Roman" w:cs="Times New Roman"/>
          <w:sz w:val="32"/>
          <w:szCs w:val="32"/>
          <w:shd w:val="clear" w:color="auto" w:fill="FFFFFF"/>
        </w:rPr>
        <w:t>99.9%</w:t>
      </w:r>
      <w:r>
        <w:rPr>
          <w:rFonts w:ascii="Times New Roman" w:eastAsia="仿宋_GB2312" w:hAnsi="Times New Roman" w:cs="Times New Roman" w:hint="eastAsia"/>
          <w:sz w:val="32"/>
          <w:szCs w:val="32"/>
          <w:shd w:val="clear" w:color="auto" w:fill="FFFFFF"/>
        </w:rPr>
        <w:t>。</w:t>
      </w:r>
      <w:r>
        <w:rPr>
          <w:rFonts w:eastAsia="仿宋_GB2312"/>
          <w:sz w:val="32"/>
          <w:szCs w:val="32"/>
        </w:rPr>
        <w:t>累计创建全国文明村镇</w:t>
      </w:r>
      <w:r>
        <w:rPr>
          <w:rFonts w:eastAsia="仿宋_GB2312"/>
          <w:sz w:val="32"/>
          <w:szCs w:val="32"/>
        </w:rPr>
        <w:t>21</w:t>
      </w:r>
      <w:r>
        <w:rPr>
          <w:rFonts w:eastAsia="仿宋_GB2312"/>
          <w:sz w:val="32"/>
          <w:szCs w:val="32"/>
        </w:rPr>
        <w:t>个</w:t>
      </w:r>
      <w:r>
        <w:rPr>
          <w:rFonts w:eastAsia="仿宋_GB2312" w:hint="eastAsia"/>
          <w:sz w:val="32"/>
          <w:szCs w:val="32"/>
        </w:rPr>
        <w:t>，</w:t>
      </w:r>
      <w:r>
        <w:rPr>
          <w:rFonts w:eastAsia="仿宋_GB2312"/>
          <w:sz w:val="32"/>
          <w:szCs w:val="32"/>
        </w:rPr>
        <w:t>溧水区上方村、高淳区和睦涧村等</w:t>
      </w:r>
      <w:r>
        <w:rPr>
          <w:rFonts w:eastAsia="仿宋_GB2312"/>
          <w:sz w:val="32"/>
          <w:szCs w:val="32"/>
        </w:rPr>
        <w:t>10</w:t>
      </w:r>
      <w:r>
        <w:rPr>
          <w:rFonts w:eastAsia="仿宋_GB2312"/>
          <w:sz w:val="32"/>
          <w:szCs w:val="32"/>
        </w:rPr>
        <w:t>个村入选全国乡村治理示范村</w:t>
      </w:r>
      <w:r>
        <w:rPr>
          <w:rFonts w:eastAsia="仿宋_GB2312" w:hint="eastAsia"/>
          <w:sz w:val="32"/>
          <w:szCs w:val="32"/>
        </w:rPr>
        <w:t>，</w:t>
      </w:r>
      <w:r>
        <w:rPr>
          <w:rFonts w:eastAsia="仿宋_GB2312"/>
          <w:sz w:val="32"/>
          <w:szCs w:val="32"/>
        </w:rPr>
        <w:t>高淳区武家嘴村等</w:t>
      </w:r>
      <w:r>
        <w:rPr>
          <w:rFonts w:eastAsia="仿宋_GB2312"/>
          <w:sz w:val="32"/>
          <w:szCs w:val="32"/>
        </w:rPr>
        <w:t>12</w:t>
      </w:r>
      <w:r>
        <w:rPr>
          <w:rFonts w:eastAsia="仿宋_GB2312"/>
          <w:sz w:val="32"/>
          <w:szCs w:val="32"/>
        </w:rPr>
        <w:t>个村被评为全国民主法治示范村。</w:t>
      </w:r>
      <w:r>
        <w:rPr>
          <w:rFonts w:eastAsia="仿宋_GB2312"/>
          <w:b/>
          <w:sz w:val="32"/>
          <w:szCs w:val="32"/>
        </w:rPr>
        <w:t>农业绿色发展深入推进。</w:t>
      </w:r>
      <w:r>
        <w:rPr>
          <w:rFonts w:eastAsia="仿宋_GB2312"/>
          <w:sz w:val="32"/>
          <w:szCs w:val="32"/>
        </w:rPr>
        <w:t>高质量推进第三次全国土壤普查，通过率居全省前列。新建和改造提升高标准农田</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79</w:t>
      </w:r>
      <w:r>
        <w:rPr>
          <w:rFonts w:ascii="Times New Roman" w:eastAsia="仿宋_GB2312" w:hAnsi="Times New Roman" w:cs="Times New Roman"/>
          <w:sz w:val="32"/>
          <w:szCs w:val="32"/>
        </w:rPr>
        <w:t>万亩</w:t>
      </w:r>
      <w:r>
        <w:rPr>
          <w:rFonts w:ascii="Times New Roman" w:eastAsia="仿宋_GB2312" w:hAnsi="Times New Roman" w:cs="Times New Roman" w:hint="eastAsia"/>
          <w:sz w:val="32"/>
          <w:szCs w:val="32"/>
        </w:rPr>
        <w:t>，</w:t>
      </w:r>
      <w:r>
        <w:rPr>
          <w:rFonts w:eastAsia="仿宋"/>
          <w:color w:val="000000"/>
          <w:kern w:val="0"/>
          <w:sz w:val="32"/>
          <w:szCs w:val="32"/>
        </w:rPr>
        <w:t>农业综合生产能力明显提高、抗御自然灾害能力明显增强</w:t>
      </w:r>
      <w:r>
        <w:rPr>
          <w:rFonts w:ascii="Times New Roman" w:eastAsia="仿宋_GB2312" w:hAnsi="Times New Roman" w:cs="Times New Roman"/>
          <w:sz w:val="32"/>
          <w:szCs w:val="32"/>
        </w:rPr>
        <w:t>。全市化肥、化学农药使用量较</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年削减</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，畜禽粪污综合利用率、秸秆综合利用率均超过</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。抓紧长江禁渔，科学规范开展渔业增殖放流，今年累计放流各类水生生物苗种</w:t>
      </w:r>
      <w:r>
        <w:rPr>
          <w:rFonts w:ascii="Times New Roman" w:eastAsia="仿宋_GB2312" w:hAnsi="Times New Roman" w:cs="Times New Roman"/>
          <w:sz w:val="32"/>
          <w:szCs w:val="32"/>
        </w:rPr>
        <w:t>5100</w:t>
      </w:r>
      <w:r>
        <w:rPr>
          <w:rFonts w:ascii="Times New Roman" w:eastAsia="仿宋_GB2312" w:hAnsi="Times New Roman" w:cs="Times New Roman"/>
          <w:sz w:val="32"/>
          <w:szCs w:val="32"/>
        </w:rPr>
        <w:t>余万</w:t>
      </w:r>
      <w:r>
        <w:rPr>
          <w:rFonts w:eastAsia="仿宋_GB2312"/>
          <w:bCs/>
          <w:sz w:val="32"/>
          <w:szCs w:val="32"/>
        </w:rPr>
        <w:t>尾，</w:t>
      </w:r>
      <w:r>
        <w:rPr>
          <w:rFonts w:eastAsia="仿宋_GB2312"/>
          <w:sz w:val="32"/>
          <w:szCs w:val="32"/>
        </w:rPr>
        <w:t>超额完成省厅下达目标任务。同时拧紧农业安全生产链条，未发生较大</w:t>
      </w:r>
      <w:r>
        <w:rPr>
          <w:rFonts w:eastAsia="仿宋_GB2312" w:hint="eastAsia"/>
          <w:sz w:val="32"/>
          <w:szCs w:val="32"/>
        </w:rPr>
        <w:t>及</w:t>
      </w:r>
      <w:r>
        <w:rPr>
          <w:rFonts w:eastAsia="仿宋_GB2312"/>
          <w:sz w:val="32"/>
          <w:szCs w:val="32"/>
        </w:rPr>
        <w:t>以上安全生产事故和有影响的安全事故。</w:t>
      </w:r>
    </w:p>
    <w:p w:rsidR="00B04493" w:rsidRDefault="00A74939" w:rsidP="00DA2F45">
      <w:pPr>
        <w:spacing w:line="560" w:lineRule="exact"/>
        <w:ind w:firstLineChars="200" w:firstLine="643"/>
        <w:rPr>
          <w:rFonts w:eastAsia="仿宋_GB2312"/>
          <w:bCs/>
          <w:sz w:val="32"/>
          <w:szCs w:val="32"/>
        </w:rPr>
      </w:pPr>
      <w:r>
        <w:rPr>
          <w:rFonts w:ascii="仿宋_GB2312" w:eastAsia="仿宋_GB2312"/>
          <w:b/>
          <w:sz w:val="32"/>
          <w:szCs w:val="32"/>
        </w:rPr>
        <w:t>二是农业科技创新步伐持续加快。</w:t>
      </w:r>
      <w:r>
        <w:rPr>
          <w:rFonts w:eastAsia="仿宋_GB2312"/>
          <w:b/>
          <w:sz w:val="32"/>
          <w:szCs w:val="32"/>
        </w:rPr>
        <w:t>着力打造农业科创</w:t>
      </w:r>
      <w:r>
        <w:rPr>
          <w:rFonts w:eastAsia="仿宋_GB2312"/>
          <w:b/>
          <w:sz w:val="32"/>
          <w:szCs w:val="32"/>
        </w:rPr>
        <w:t>“</w:t>
      </w:r>
      <w:r>
        <w:rPr>
          <w:rFonts w:eastAsia="仿宋_GB2312"/>
          <w:b/>
          <w:sz w:val="32"/>
          <w:szCs w:val="32"/>
        </w:rPr>
        <w:t>策源地</w:t>
      </w:r>
      <w:r>
        <w:rPr>
          <w:rFonts w:eastAsia="仿宋_GB2312"/>
          <w:b/>
          <w:sz w:val="32"/>
          <w:szCs w:val="32"/>
        </w:rPr>
        <w:t>”</w:t>
      </w:r>
      <w:r>
        <w:rPr>
          <w:rFonts w:eastAsia="仿宋_GB2312"/>
          <w:b/>
          <w:sz w:val="32"/>
          <w:szCs w:val="32"/>
        </w:rPr>
        <w:t>。</w:t>
      </w:r>
      <w:r>
        <w:rPr>
          <w:rFonts w:eastAsia="仿宋_GB2312"/>
          <w:bCs/>
          <w:sz w:val="32"/>
          <w:szCs w:val="32"/>
        </w:rPr>
        <w:t>发挥国家农高区、国家农创中心和钟山育种生物实验室等</w:t>
      </w:r>
      <w:r>
        <w:rPr>
          <w:rFonts w:eastAsia="仿宋_GB2312"/>
          <w:bCs/>
          <w:sz w:val="32"/>
          <w:szCs w:val="32"/>
        </w:rPr>
        <w:t>“</w:t>
      </w:r>
      <w:r>
        <w:rPr>
          <w:rFonts w:eastAsia="仿宋_GB2312"/>
          <w:bCs/>
          <w:sz w:val="32"/>
          <w:szCs w:val="32"/>
        </w:rPr>
        <w:t>国字号</w:t>
      </w:r>
      <w:r>
        <w:rPr>
          <w:rFonts w:eastAsia="仿宋_GB2312"/>
          <w:bCs/>
          <w:sz w:val="32"/>
          <w:szCs w:val="32"/>
        </w:rPr>
        <w:t>”</w:t>
      </w:r>
      <w:r>
        <w:rPr>
          <w:rFonts w:eastAsia="仿宋_GB2312"/>
          <w:bCs/>
          <w:sz w:val="32"/>
          <w:szCs w:val="32"/>
        </w:rPr>
        <w:t>农业科创平台集聚优势，打造形成农业领域集群式院士创新基地，累计建设市以上科研平</w:t>
      </w:r>
      <w:r>
        <w:rPr>
          <w:rFonts w:ascii="Times New Roman" w:eastAsia="仿宋_GB2312" w:hAnsi="Times New Roman" w:cs="Times New Roman"/>
          <w:sz w:val="32"/>
          <w:szCs w:val="32"/>
        </w:rPr>
        <w:t>台</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余个，培育发展涉农高新技术企业超</w:t>
      </w:r>
      <w:r>
        <w:rPr>
          <w:rFonts w:ascii="Times New Roman" w:eastAsia="仿宋_GB2312" w:hAnsi="Times New Roman" w:cs="Times New Roman"/>
          <w:sz w:val="32"/>
          <w:szCs w:val="32"/>
        </w:rPr>
        <w:t>80</w:t>
      </w:r>
      <w:r>
        <w:rPr>
          <w:rFonts w:eastAsia="仿宋_GB2312"/>
          <w:bCs/>
          <w:sz w:val="32"/>
          <w:szCs w:val="32"/>
        </w:rPr>
        <w:t>家。</w:t>
      </w:r>
      <w:r>
        <w:rPr>
          <w:rFonts w:eastAsia="仿宋_GB2312"/>
          <w:b/>
          <w:sz w:val="32"/>
          <w:szCs w:val="32"/>
        </w:rPr>
        <w:t>着力优化科技服务支撑。</w:t>
      </w:r>
      <w:r>
        <w:rPr>
          <w:rFonts w:eastAsia="仿宋_GB2312"/>
          <w:bCs/>
          <w:sz w:val="32"/>
          <w:szCs w:val="32"/>
        </w:rPr>
        <w:t>“</w:t>
      </w:r>
      <w:r>
        <w:rPr>
          <w:rFonts w:eastAsia="仿宋_GB2312"/>
          <w:bCs/>
          <w:sz w:val="32"/>
          <w:szCs w:val="32"/>
        </w:rPr>
        <w:t>科金兴农服务日</w:t>
      </w:r>
      <w:r>
        <w:rPr>
          <w:rFonts w:eastAsia="仿宋_GB2312"/>
          <w:bCs/>
          <w:sz w:val="32"/>
          <w:szCs w:val="32"/>
        </w:rPr>
        <w:t>”</w:t>
      </w:r>
      <w:r>
        <w:rPr>
          <w:rFonts w:eastAsia="仿宋_GB2312"/>
          <w:bCs/>
          <w:sz w:val="32"/>
          <w:szCs w:val="32"/>
        </w:rPr>
        <w:t>平台持续发挥作用，今年来举办</w:t>
      </w:r>
      <w:r>
        <w:rPr>
          <w:rFonts w:ascii="Times New Roman" w:eastAsia="仿宋_GB2312" w:hAnsi="Times New Roman" w:cs="Times New Roman"/>
          <w:sz w:val="32"/>
          <w:szCs w:val="32"/>
        </w:rPr>
        <w:t>专题活动</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场，共约</w:t>
      </w:r>
      <w:r>
        <w:rPr>
          <w:rFonts w:ascii="Times New Roman" w:eastAsia="仿宋_GB2312" w:hAnsi="Times New Roman" w:cs="Times New Roman"/>
          <w:sz w:val="32"/>
          <w:szCs w:val="32"/>
        </w:rPr>
        <w:t>650</w:t>
      </w:r>
      <w:r>
        <w:rPr>
          <w:rFonts w:ascii="Times New Roman" w:eastAsia="仿宋_GB2312" w:hAnsi="Times New Roman" w:cs="Times New Roman"/>
          <w:sz w:val="32"/>
          <w:szCs w:val="32"/>
        </w:rPr>
        <w:t>人次参加、对接服务主体</w:t>
      </w:r>
      <w:r>
        <w:rPr>
          <w:rFonts w:ascii="Times New Roman" w:eastAsia="仿宋_GB2312" w:hAnsi="Times New Roman" w:cs="Times New Roman"/>
          <w:sz w:val="32"/>
          <w:szCs w:val="32"/>
        </w:rPr>
        <w:t>165</w:t>
      </w:r>
      <w:r>
        <w:rPr>
          <w:rFonts w:ascii="Times New Roman" w:eastAsia="仿宋_GB2312" w:hAnsi="Times New Roman" w:cs="Times New Roman"/>
          <w:sz w:val="32"/>
          <w:szCs w:val="32"/>
        </w:rPr>
        <w:t>个、协调解决问题</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个。推广农业新品种、新技术、新装备、新模式等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成果，引导推进</w:t>
      </w:r>
      <w:r>
        <w:rPr>
          <w:rFonts w:ascii="Times New Roman" w:eastAsia="仿宋_GB2312" w:hAnsi="Times New Roman" w:cs="Times New Roman"/>
          <w:sz w:val="32"/>
          <w:szCs w:val="32"/>
        </w:rPr>
        <w:lastRenderedPageBreak/>
        <w:t>科研院校在生产基地牵头共建专家工作室、服务站</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个，集成引入配套展示技术应用成果</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余项。围绕产业发展瓶颈，联合开展产学研技术攻关，申报发明专利</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余项。推动农业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机器换人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，农作物耕种收综合机械化率达</w:t>
      </w:r>
      <w:r w:rsidR="00AC347C">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，农业机械化应用水平达</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eastAsia="仿宋_GB2312"/>
          <w:b/>
          <w:sz w:val="32"/>
          <w:szCs w:val="32"/>
        </w:rPr>
        <w:t>着力建强</w:t>
      </w:r>
      <w:r>
        <w:rPr>
          <w:rFonts w:eastAsia="仿宋_GB2312"/>
          <w:b/>
          <w:sz w:val="32"/>
          <w:szCs w:val="32"/>
        </w:rPr>
        <w:t>“</w:t>
      </w:r>
      <w:r>
        <w:rPr>
          <w:rFonts w:eastAsia="仿宋_GB2312"/>
          <w:b/>
          <w:sz w:val="32"/>
          <w:szCs w:val="32"/>
        </w:rPr>
        <w:t>三农</w:t>
      </w:r>
      <w:r>
        <w:rPr>
          <w:rFonts w:eastAsia="仿宋_GB2312"/>
          <w:b/>
          <w:sz w:val="32"/>
          <w:szCs w:val="32"/>
        </w:rPr>
        <w:t>”</w:t>
      </w:r>
      <w:r>
        <w:rPr>
          <w:rFonts w:eastAsia="仿宋_GB2312"/>
          <w:b/>
          <w:sz w:val="32"/>
          <w:szCs w:val="32"/>
        </w:rPr>
        <w:t>人才队伍。</w:t>
      </w:r>
      <w:r>
        <w:rPr>
          <w:rFonts w:eastAsia="仿宋_GB2312"/>
          <w:bCs/>
          <w:sz w:val="32"/>
          <w:szCs w:val="32"/>
        </w:rPr>
        <w:t>推进</w:t>
      </w:r>
      <w:r>
        <w:rPr>
          <w:rFonts w:eastAsia="仿宋_GB2312"/>
          <w:bCs/>
          <w:sz w:val="32"/>
          <w:szCs w:val="32"/>
        </w:rPr>
        <w:t>“</w:t>
      </w:r>
      <w:r>
        <w:rPr>
          <w:rFonts w:eastAsia="仿宋_GB2312"/>
          <w:bCs/>
          <w:sz w:val="32"/>
          <w:szCs w:val="32"/>
        </w:rPr>
        <w:t>智汇三农</w:t>
      </w:r>
      <w:r>
        <w:rPr>
          <w:rFonts w:eastAsia="仿宋_GB2312"/>
          <w:bCs/>
          <w:sz w:val="32"/>
          <w:szCs w:val="32"/>
        </w:rPr>
        <w:t>”</w:t>
      </w:r>
      <w:r>
        <w:rPr>
          <w:rFonts w:eastAsia="仿宋_GB2312"/>
          <w:bCs/>
          <w:sz w:val="32"/>
          <w:szCs w:val="32"/>
        </w:rPr>
        <w:t>人才工程，</w:t>
      </w:r>
      <w:r>
        <w:rPr>
          <w:rFonts w:ascii="Times New Roman" w:eastAsia="仿宋_GB2312" w:hAnsi="Times New Roman" w:cs="Times New Roman"/>
          <w:sz w:val="32"/>
          <w:szCs w:val="32"/>
        </w:rPr>
        <w:t>全年完成高素质农民培训超</w:t>
      </w:r>
      <w:r>
        <w:rPr>
          <w:rFonts w:ascii="Times New Roman" w:eastAsia="仿宋_GB2312" w:hAnsi="Times New Roman" w:cs="Times New Roman" w:hint="eastAsia"/>
          <w:sz w:val="32"/>
          <w:szCs w:val="32"/>
        </w:rPr>
        <w:t>4030</w:t>
      </w:r>
      <w:r>
        <w:rPr>
          <w:rFonts w:ascii="Times New Roman" w:eastAsia="仿宋_GB2312" w:hAnsi="Times New Roman" w:cs="Times New Roman"/>
          <w:sz w:val="32"/>
          <w:szCs w:val="32"/>
        </w:rPr>
        <w:t>人次、农技人员素质提升培训超</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人次。联合南京农业大学培育助飞</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头雁种苗</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名乡村产业振兴带头人入选省级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头雁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培育行动。新增认定</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家市级农民田间学校、累计达</w:t>
      </w:r>
      <w:r>
        <w:rPr>
          <w:rFonts w:ascii="Times New Roman" w:eastAsia="仿宋_GB2312" w:hAnsi="Times New Roman" w:cs="Times New Roman"/>
          <w:sz w:val="32"/>
          <w:szCs w:val="32"/>
        </w:rPr>
        <w:t>68</w:t>
      </w:r>
      <w:r>
        <w:rPr>
          <w:rFonts w:ascii="Times New Roman" w:eastAsia="仿宋_GB2312" w:hAnsi="Times New Roman" w:cs="Times New Roman"/>
          <w:sz w:val="32"/>
          <w:szCs w:val="32"/>
        </w:rPr>
        <w:t>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家单位获评第一批全国</w:t>
      </w:r>
      <w:r>
        <w:rPr>
          <w:rFonts w:eastAsia="仿宋_GB2312"/>
          <w:bCs/>
          <w:sz w:val="32"/>
          <w:szCs w:val="32"/>
        </w:rPr>
        <w:t>县级优质农民田间学校。</w:t>
      </w:r>
    </w:p>
    <w:p w:rsidR="00B04493" w:rsidRDefault="00A74939" w:rsidP="00DA2F45">
      <w:pPr>
        <w:pStyle w:val="-"/>
        <w:widowControl w:val="0"/>
        <w:spacing w:line="560" w:lineRule="exact"/>
        <w:ind w:firstLine="643"/>
      </w:pPr>
      <w:r>
        <w:rPr>
          <w:rFonts w:ascii="仿宋_GB2312"/>
          <w:b/>
          <w:bCs w:val="0"/>
        </w:rPr>
        <w:t>三是乡村特色产业质效加速升级。</w:t>
      </w:r>
      <w:r>
        <w:rPr>
          <w:b/>
        </w:rPr>
        <w:t>深化产业融合发展。</w:t>
      </w:r>
      <w:r>
        <w:t>坚持链式发展思维，加快推动优质稻米、绿色蔬菜、精品蟹虾等八个特色产业</w:t>
      </w:r>
      <w:r>
        <w:t>“</w:t>
      </w:r>
      <w:r>
        <w:t>接二连三</w:t>
      </w:r>
      <w:r>
        <w:t>”</w:t>
      </w:r>
      <w:r>
        <w:t>全产业链发展，初步实现了抓产品向抓产业、抓环节向抓体系、重一产生产向重三产融合、种得好向卖得好等一系列转变，</w:t>
      </w:r>
      <w:r>
        <w:rPr>
          <w:rFonts w:hint="eastAsia"/>
          <w:bCs w:val="0"/>
        </w:rPr>
        <w:t>2024</w:t>
      </w:r>
      <w:r>
        <w:rPr>
          <w:rFonts w:hint="eastAsia"/>
          <w:bCs w:val="0"/>
        </w:rPr>
        <w:t>年</w:t>
      </w:r>
      <w:r>
        <w:rPr>
          <w:bCs w:val="0"/>
        </w:rPr>
        <w:t>全市农业特色产业三产融合总产值达</w:t>
      </w:r>
      <w:r>
        <w:rPr>
          <w:rFonts w:hint="eastAsia"/>
          <w:bCs w:val="0"/>
        </w:rPr>
        <w:t>469.9</w:t>
      </w:r>
      <w:r>
        <w:rPr>
          <w:bCs w:val="0"/>
        </w:rPr>
        <w:t>亿元，增长</w:t>
      </w:r>
      <w:r>
        <w:rPr>
          <w:rFonts w:hint="eastAsia"/>
          <w:bCs w:val="0"/>
        </w:rPr>
        <w:t>17.9</w:t>
      </w:r>
      <w:r>
        <w:rPr>
          <w:bCs w:val="0"/>
        </w:rPr>
        <w:t>%</w:t>
      </w:r>
      <w:r>
        <w:rPr>
          <w:bCs w:val="0"/>
        </w:rPr>
        <w:t>。</w:t>
      </w:r>
      <w:r>
        <w:t>积极发展乡村旅游、创意休闲、短链鲜食等融合业态，成功举办</w:t>
      </w:r>
      <w:r>
        <w:t>2024</w:t>
      </w:r>
      <w:r>
        <w:t>年中国农民丰收节暨</w:t>
      </w:r>
      <w:r>
        <w:rPr>
          <w:lang w:val="zh-CN"/>
        </w:rPr>
        <w:t>第</w:t>
      </w:r>
      <w:r>
        <w:t>二十</w:t>
      </w:r>
      <w:r>
        <w:rPr>
          <w:lang w:val="zh-CN"/>
        </w:rPr>
        <w:t>届南京农业嘉年华</w:t>
      </w:r>
      <w:r>
        <w:t>，累计培育市级主题创意农园</w:t>
      </w:r>
      <w:r>
        <w:t>96</w:t>
      </w:r>
      <w:r>
        <w:t>家、都市农园建设单位</w:t>
      </w:r>
      <w:r>
        <w:t>16</w:t>
      </w:r>
      <w:r>
        <w:t>家、乡村党政机关会议定点单位</w:t>
      </w:r>
      <w:r>
        <w:t>65</w:t>
      </w:r>
      <w:r>
        <w:t>家。</w:t>
      </w:r>
      <w:r>
        <w:rPr>
          <w:rFonts w:hint="eastAsia"/>
        </w:rPr>
        <w:t>2024</w:t>
      </w:r>
      <w:r>
        <w:rPr>
          <w:rFonts w:hint="eastAsia"/>
        </w:rPr>
        <w:t>年</w:t>
      </w:r>
      <w:r>
        <w:t>全市休闲农业接待人次</w:t>
      </w:r>
      <w:r>
        <w:rPr>
          <w:rFonts w:hint="eastAsia"/>
        </w:rPr>
        <w:t>4454</w:t>
      </w:r>
      <w:r>
        <w:t>万人次，实现综合收入</w:t>
      </w:r>
      <w:r>
        <w:rPr>
          <w:rFonts w:hint="eastAsia"/>
        </w:rPr>
        <w:t>162.11</w:t>
      </w:r>
      <w:r>
        <w:t>亿元。</w:t>
      </w:r>
      <w:r>
        <w:rPr>
          <w:b/>
        </w:rPr>
        <w:t>强化涉农项目招引。</w:t>
      </w:r>
      <w:r>
        <w:rPr>
          <w:bCs w:val="0"/>
        </w:rPr>
        <w:t>举办各类农业招商推介活动超过</w:t>
      </w:r>
      <w:r>
        <w:rPr>
          <w:bCs w:val="0"/>
        </w:rPr>
        <w:t>40</w:t>
      </w:r>
      <w:r>
        <w:rPr>
          <w:bCs w:val="0"/>
        </w:rPr>
        <w:t>场，</w:t>
      </w:r>
      <w:r>
        <w:rPr>
          <w:bCs w:val="0"/>
          <w:color w:val="000000"/>
        </w:rPr>
        <w:t>签约涉农项目</w:t>
      </w:r>
      <w:r>
        <w:rPr>
          <w:bCs w:val="0"/>
          <w:color w:val="000000"/>
        </w:rPr>
        <w:t>90</w:t>
      </w:r>
      <w:r>
        <w:rPr>
          <w:bCs w:val="0"/>
          <w:color w:val="000000"/>
        </w:rPr>
        <w:t>余个，计划投资总金额超过</w:t>
      </w:r>
      <w:r>
        <w:rPr>
          <w:bCs w:val="0"/>
          <w:color w:val="000000"/>
        </w:rPr>
        <w:t>120</w:t>
      </w:r>
      <w:r>
        <w:rPr>
          <w:bCs w:val="0"/>
          <w:color w:val="000000"/>
        </w:rPr>
        <w:t>亿</w:t>
      </w:r>
      <w:r>
        <w:rPr>
          <w:bCs w:val="0"/>
        </w:rPr>
        <w:t>元。</w:t>
      </w:r>
      <w:r>
        <w:t>开工建设农业农村重大项目</w:t>
      </w:r>
      <w:r>
        <w:t>246</w:t>
      </w:r>
      <w:r>
        <w:t>个，已完成投资</w:t>
      </w:r>
      <w:r>
        <w:t>1</w:t>
      </w:r>
      <w:r>
        <w:rPr>
          <w:rFonts w:hint="eastAsia"/>
        </w:rPr>
        <w:t>24.15</w:t>
      </w:r>
      <w:r>
        <w:t>亿元，投资完成率</w:t>
      </w:r>
      <w:r>
        <w:rPr>
          <w:rFonts w:hint="eastAsia"/>
        </w:rPr>
        <w:t>100.21</w:t>
      </w:r>
      <w:r>
        <w:t>%</w:t>
      </w:r>
      <w:r>
        <w:t>。依托地方特色资源，试点推出</w:t>
      </w:r>
      <w:r>
        <w:t>“</w:t>
      </w:r>
      <w:r>
        <w:t>莱斯乡村共享小</w:t>
      </w:r>
      <w:r>
        <w:lastRenderedPageBreak/>
        <w:t>院</w:t>
      </w:r>
      <w:r>
        <w:t>+”</w:t>
      </w:r>
      <w:r>
        <w:t>，目前签约共享小院</w:t>
      </w:r>
      <w:r>
        <w:rPr>
          <w:rFonts w:hint="eastAsia"/>
        </w:rPr>
        <w:t>25</w:t>
      </w:r>
      <w:r>
        <w:t>栋、撬动投资</w:t>
      </w:r>
      <w:r>
        <w:t>1600</w:t>
      </w:r>
      <w:r>
        <w:t>多万元。</w:t>
      </w:r>
      <w:r>
        <w:rPr>
          <w:b/>
        </w:rPr>
        <w:t>优化品牌营销服务。</w:t>
      </w:r>
      <w:r>
        <w:t>实施</w:t>
      </w:r>
      <w:r>
        <w:t>“</w:t>
      </w:r>
      <w:r>
        <w:t>绿色优质农产品进万家</w:t>
      </w:r>
      <w:r>
        <w:t>”</w:t>
      </w:r>
      <w:r>
        <w:t>行动，举办产销对接专场推介会</w:t>
      </w:r>
      <w:r>
        <w:t>3</w:t>
      </w:r>
      <w:r>
        <w:t>场，签约金额约</w:t>
      </w:r>
      <w:r>
        <w:t>2300</w:t>
      </w:r>
      <w:r>
        <w:t>万元；开展</w:t>
      </w:r>
      <w:r>
        <w:t>“</w:t>
      </w:r>
      <w:r>
        <w:t>惠农市集</w:t>
      </w:r>
      <w:r>
        <w:t>·</w:t>
      </w:r>
      <w:r>
        <w:t>园园牵手</w:t>
      </w:r>
      <w:r>
        <w:t>”</w:t>
      </w:r>
      <w:r>
        <w:t>主题活动</w:t>
      </w:r>
      <w:r>
        <w:t>40</w:t>
      </w:r>
      <w:r>
        <w:t>余场，带动销售约</w:t>
      </w:r>
      <w:r>
        <w:t>3500</w:t>
      </w:r>
      <w:r>
        <w:t>万元。完善区域公用品牌</w:t>
      </w:r>
      <w:r>
        <w:t>“</w:t>
      </w:r>
      <w:r>
        <w:t>母子品牌</w:t>
      </w:r>
      <w:r>
        <w:t>”</w:t>
      </w:r>
      <w:r>
        <w:t>服务体系，</w:t>
      </w:r>
      <w:r>
        <w:t>“</w:t>
      </w:r>
      <w:r>
        <w:t>食礼秦淮</w:t>
      </w:r>
      <w:r>
        <w:t>”</w:t>
      </w:r>
      <w:r>
        <w:t>授权主体达</w:t>
      </w:r>
      <w:r>
        <w:t>240</w:t>
      </w:r>
      <w:r>
        <w:t>家，涉及品类</w:t>
      </w:r>
      <w:r>
        <w:t>1383</w:t>
      </w:r>
      <w:r>
        <w:t>种，带动农产品销售</w:t>
      </w:r>
      <w:r>
        <w:rPr>
          <w:rFonts w:hint="eastAsia"/>
        </w:rPr>
        <w:t>4.45</w:t>
      </w:r>
      <w:r>
        <w:t>亿元。</w:t>
      </w:r>
      <w:r>
        <w:t>“</w:t>
      </w:r>
      <w:r>
        <w:t>莱斯乡村</w:t>
      </w:r>
      <w:r>
        <w:t>”</w:t>
      </w:r>
      <w:r>
        <w:t>一站式服务平台上线各类产品</w:t>
      </w:r>
      <w:r>
        <w:t>2300</w:t>
      </w:r>
      <w:r>
        <w:t>余款，带动周边农民增加营业额超</w:t>
      </w:r>
      <w:r>
        <w:t>5000</w:t>
      </w:r>
      <w:r>
        <w:t>万元。</w:t>
      </w:r>
    </w:p>
    <w:p w:rsidR="00B04493" w:rsidRDefault="00A74939" w:rsidP="00DA2F45">
      <w:pPr>
        <w:pStyle w:val="-"/>
        <w:widowControl w:val="0"/>
        <w:spacing w:line="560" w:lineRule="exact"/>
        <w:ind w:firstLine="643"/>
        <w:rPr>
          <w:b/>
        </w:rPr>
      </w:pPr>
      <w:r>
        <w:rPr>
          <w:rFonts w:ascii="仿宋_GB2312"/>
          <w:b/>
          <w:bCs w:val="0"/>
        </w:rPr>
        <w:t>四是新型经营主体队伍不断壮大。深入推进主体提振行</w:t>
      </w:r>
      <w:r>
        <w:rPr>
          <w:b/>
        </w:rPr>
        <w:t>动。</w:t>
      </w:r>
      <w:r>
        <w:t>将新型农业经营主体作为推进农业现代化走在前的重要载体，持续加大头部型、领军型主体培育力度，累计发展市级以上农业龙头企业</w:t>
      </w:r>
      <w:r>
        <w:t>286</w:t>
      </w:r>
      <w:r>
        <w:t>家，其中国家级</w:t>
      </w:r>
      <w:r>
        <w:t>11</w:t>
      </w:r>
      <w:r>
        <w:t>家、省级</w:t>
      </w:r>
      <w:r>
        <w:rPr>
          <w:rFonts w:hint="eastAsia"/>
        </w:rPr>
        <w:t>68</w:t>
      </w:r>
      <w:r>
        <w:t>家，培育家庭农场</w:t>
      </w:r>
      <w:r>
        <w:t>7616</w:t>
      </w:r>
      <w:r>
        <w:t>家、农民专业合作社</w:t>
      </w:r>
      <w:r>
        <w:t>3970</w:t>
      </w:r>
      <w:r>
        <w:t>家，</w:t>
      </w:r>
      <w:r>
        <w:rPr>
          <w:color w:val="000000"/>
        </w:rPr>
        <w:t>现有年销售额超</w:t>
      </w:r>
      <w:r>
        <w:rPr>
          <w:color w:val="000000"/>
        </w:rPr>
        <w:t>50</w:t>
      </w:r>
      <w:r>
        <w:rPr>
          <w:color w:val="000000"/>
        </w:rPr>
        <w:t>万元的家庭农场</w:t>
      </w:r>
      <w:r>
        <w:rPr>
          <w:color w:val="000000"/>
        </w:rPr>
        <w:t>2065</w:t>
      </w:r>
      <w:r>
        <w:rPr>
          <w:color w:val="000000"/>
        </w:rPr>
        <w:t>家，超千万的农民专业合作社</w:t>
      </w:r>
      <w:r>
        <w:rPr>
          <w:color w:val="000000"/>
        </w:rPr>
        <w:t>41</w:t>
      </w:r>
      <w:r>
        <w:rPr>
          <w:color w:val="000000"/>
        </w:rPr>
        <w:t>家，超亿元的农业龙头企业</w:t>
      </w:r>
      <w:r>
        <w:rPr>
          <w:color w:val="000000"/>
        </w:rPr>
        <w:t>75</w:t>
      </w:r>
      <w:r>
        <w:rPr>
          <w:color w:val="000000"/>
        </w:rPr>
        <w:t>家、超百亿</w:t>
      </w:r>
      <w:r>
        <w:rPr>
          <w:color w:val="000000"/>
        </w:rPr>
        <w:t>3</w:t>
      </w:r>
      <w:r>
        <w:rPr>
          <w:color w:val="000000"/>
        </w:rPr>
        <w:t>家。</w:t>
      </w:r>
      <w:r>
        <w:rPr>
          <w:b/>
          <w:color w:val="000000"/>
        </w:rPr>
        <w:t>强</w:t>
      </w:r>
      <w:r>
        <w:rPr>
          <w:b/>
        </w:rPr>
        <w:t>化金融支持保障。</w:t>
      </w:r>
      <w:r>
        <w:t>依托</w:t>
      </w:r>
      <w:r>
        <w:t>“</w:t>
      </w:r>
      <w:r>
        <w:t>金陵</w:t>
      </w:r>
      <w:r>
        <w:t>”</w:t>
      </w:r>
      <w:r>
        <w:t>系列惠农金融产品，集成运用贷款贴息、保费补助等政策，农业经营主体综合融资成本保持在</w:t>
      </w:r>
      <w:r>
        <w:t>2%</w:t>
      </w:r>
      <w:r>
        <w:t>以下（全省最低），累计授信</w:t>
      </w:r>
      <w:r>
        <w:t>698.1</w:t>
      </w:r>
      <w:r>
        <w:t>亿元，累计放贷超</w:t>
      </w:r>
      <w:r>
        <w:t>250.6</w:t>
      </w:r>
      <w:r>
        <w:t>亿元，新增放贷</w:t>
      </w:r>
      <w:r>
        <w:t>34.9</w:t>
      </w:r>
      <w:r>
        <w:t>亿元，贷款余额</w:t>
      </w:r>
      <w:r>
        <w:t>68.6</w:t>
      </w:r>
      <w:r>
        <w:t>亿元，同比增长</w:t>
      </w:r>
      <w:r>
        <w:t>10.9%</w:t>
      </w:r>
      <w:r>
        <w:t>，共惠及农业生产经营主体</w:t>
      </w:r>
      <w:r>
        <w:t>10.16</w:t>
      </w:r>
      <w:r>
        <w:t>万户。</w:t>
      </w:r>
      <w:r>
        <w:rPr>
          <w:b/>
        </w:rPr>
        <w:t>完善联农带农机制。</w:t>
      </w:r>
      <w:r>
        <w:rPr>
          <w:kern w:val="0"/>
        </w:rPr>
        <w:t>积极推动农业农村创业创新，全年补助农村初始创业项目</w:t>
      </w:r>
      <w:r>
        <w:rPr>
          <w:kern w:val="0"/>
        </w:rPr>
        <w:t>13</w:t>
      </w:r>
      <w:r>
        <w:rPr>
          <w:rFonts w:hint="eastAsia"/>
          <w:kern w:val="0"/>
        </w:rPr>
        <w:t>4</w:t>
      </w:r>
      <w:r>
        <w:rPr>
          <w:kern w:val="0"/>
        </w:rPr>
        <w:t>个，累计培育</w:t>
      </w:r>
      <w:r>
        <w:rPr>
          <w:rFonts w:hint="eastAsia"/>
          <w:kern w:val="0"/>
        </w:rPr>
        <w:t>1216</w:t>
      </w:r>
      <w:r>
        <w:rPr>
          <w:kern w:val="0"/>
        </w:rPr>
        <w:t>名农村双创带头人，农村双创基地</w:t>
      </w:r>
      <w:r>
        <w:rPr>
          <w:rFonts w:hint="eastAsia"/>
          <w:kern w:val="0"/>
        </w:rPr>
        <w:t>74</w:t>
      </w:r>
      <w:r>
        <w:rPr>
          <w:kern w:val="0"/>
        </w:rPr>
        <w:t>个。探索</w:t>
      </w:r>
      <w:r>
        <w:rPr>
          <w:kern w:val="0"/>
        </w:rPr>
        <w:t>“</w:t>
      </w:r>
      <w:r>
        <w:rPr>
          <w:kern w:val="0"/>
        </w:rPr>
        <w:t>庭院经济</w:t>
      </w:r>
      <w:r>
        <w:rPr>
          <w:kern w:val="0"/>
        </w:rPr>
        <w:t>+”</w:t>
      </w:r>
      <w:r>
        <w:rPr>
          <w:kern w:val="0"/>
        </w:rPr>
        <w:t>新模式，有序推进全市</w:t>
      </w:r>
      <w:r>
        <w:rPr>
          <w:kern w:val="0"/>
        </w:rPr>
        <w:t>28</w:t>
      </w:r>
      <w:r>
        <w:rPr>
          <w:kern w:val="0"/>
        </w:rPr>
        <w:t>个行政村、</w:t>
      </w:r>
      <w:r>
        <w:rPr>
          <w:kern w:val="0"/>
        </w:rPr>
        <w:t>280</w:t>
      </w:r>
      <w:r>
        <w:rPr>
          <w:kern w:val="0"/>
        </w:rPr>
        <w:t>户农户庭院经济高质量发展试点工作，带农增收初见成效。</w:t>
      </w:r>
      <w:r>
        <w:t>打造产业化联合体</w:t>
      </w:r>
      <w:r>
        <w:t>80</w:t>
      </w:r>
      <w:r>
        <w:t>个，培</w:t>
      </w:r>
      <w:r>
        <w:lastRenderedPageBreak/>
        <w:t>育各类农业社会化服务组织</w:t>
      </w:r>
      <w:r>
        <w:t>811</w:t>
      </w:r>
      <w:r>
        <w:t>个，全市家庭农场吸纳周边农户就业超过</w:t>
      </w:r>
      <w:r>
        <w:t>1.5</w:t>
      </w:r>
      <w:r>
        <w:t>万人，农民合作社社员近</w:t>
      </w:r>
      <w:r>
        <w:t>25</w:t>
      </w:r>
      <w:r>
        <w:t>万人、</w:t>
      </w:r>
      <w:r>
        <w:t>2000</w:t>
      </w:r>
      <w:r>
        <w:t>多家合作社实现了二次分红。</w:t>
      </w:r>
    </w:p>
    <w:p w:rsidR="00B04493" w:rsidRDefault="00A74939" w:rsidP="00DA2F45">
      <w:pPr>
        <w:pStyle w:val="a0"/>
        <w:spacing w:line="560" w:lineRule="exact"/>
        <w:ind w:firstLineChars="200" w:firstLine="643"/>
      </w:pPr>
      <w:r>
        <w:rPr>
          <w:rFonts w:ascii="仿宋_GB2312" w:eastAsia="仿宋_GB2312"/>
          <w:b/>
          <w:sz w:val="32"/>
          <w:szCs w:val="32"/>
        </w:rPr>
        <w:t>五是深化农村综合改革蹄疾步稳。</w:t>
      </w:r>
      <w:r>
        <w:rPr>
          <w:rFonts w:eastAsia="仿宋_GB2312"/>
          <w:b/>
          <w:bCs/>
          <w:sz w:val="32"/>
          <w:szCs w:val="32"/>
        </w:rPr>
        <w:t>规范开展承包地二轮延包工作。</w:t>
      </w:r>
      <w:r>
        <w:rPr>
          <w:rFonts w:eastAsia="仿宋_GB2312"/>
          <w:sz w:val="32"/>
          <w:szCs w:val="32"/>
        </w:rPr>
        <w:t>江宁区、浦口区、六合区、溧水区、高淳区、栖霞区获批农业农村部</w:t>
      </w:r>
      <w:r>
        <w:rPr>
          <w:rFonts w:ascii="Times New Roman" w:eastAsia="仿宋_GB2312" w:hAnsi="Times New Roman" w:cs="Times New Roman"/>
          <w:bCs/>
          <w:sz w:val="32"/>
          <w:szCs w:val="32"/>
        </w:rPr>
        <w:t>2024</w:t>
      </w:r>
      <w:r>
        <w:rPr>
          <w:rFonts w:ascii="Times New Roman" w:eastAsia="仿宋_GB2312" w:hAnsi="Times New Roman" w:cs="Times New Roman"/>
          <w:bCs/>
          <w:sz w:val="32"/>
          <w:szCs w:val="32"/>
        </w:rPr>
        <w:t>年整县延包试点，江北新区葛塘街道获批省厅整乡镇延包试点，我市二轮延包实现实质性</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整市试点</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推进。在全省率先制定第二轮土地承包到期后再延长</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年工作方案，结合实际制定土地延包</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十步工作法</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，下发二轮延包</w:t>
      </w:r>
      <w:r>
        <w:rPr>
          <w:rFonts w:eastAsia="仿宋_GB2312"/>
          <w:sz w:val="32"/>
          <w:szCs w:val="32"/>
        </w:rPr>
        <w:t>政策汇编和实务汇编，</w:t>
      </w:r>
      <w:r>
        <w:rPr>
          <w:rFonts w:eastAsia="仿宋_GB2312"/>
          <w:sz w:val="32"/>
          <w:szCs w:val="32"/>
        </w:rPr>
        <w:t>“</w:t>
      </w:r>
      <w:r>
        <w:rPr>
          <w:rFonts w:eastAsia="仿宋_GB2312"/>
          <w:sz w:val="32"/>
          <w:szCs w:val="32"/>
        </w:rPr>
        <w:t>一街镇一村</w:t>
      </w:r>
      <w:r>
        <w:rPr>
          <w:rFonts w:eastAsia="仿宋_GB2312"/>
          <w:sz w:val="32"/>
          <w:szCs w:val="32"/>
        </w:rPr>
        <w:t>”</w:t>
      </w:r>
      <w:r>
        <w:rPr>
          <w:rFonts w:eastAsia="仿宋_GB2312"/>
          <w:sz w:val="32"/>
          <w:szCs w:val="32"/>
        </w:rPr>
        <w:t>试点工作全面推开。</w:t>
      </w:r>
      <w:r>
        <w:rPr>
          <w:rFonts w:eastAsia="仿宋_GB2312"/>
          <w:b/>
          <w:bCs/>
          <w:sz w:val="32"/>
          <w:szCs w:val="32"/>
        </w:rPr>
        <w:t>稳妥推进农村宅基地管理改革。</w:t>
      </w:r>
      <w:r>
        <w:rPr>
          <w:rFonts w:eastAsia="仿宋_GB2312"/>
          <w:sz w:val="32"/>
          <w:szCs w:val="32"/>
        </w:rPr>
        <w:t>完成全市统一的宅基地管理信息系统建设、验收和上线使用，收集全</w:t>
      </w:r>
      <w:r>
        <w:rPr>
          <w:rFonts w:ascii="Times New Roman" w:eastAsia="仿宋_GB2312" w:hAnsi="Times New Roman" w:cs="Times New Roman"/>
          <w:bCs/>
          <w:sz w:val="32"/>
          <w:szCs w:val="32"/>
        </w:rPr>
        <w:t>市近</w:t>
      </w:r>
      <w:r>
        <w:rPr>
          <w:rFonts w:ascii="Times New Roman" w:eastAsia="仿宋_GB2312" w:hAnsi="Times New Roman" w:cs="Times New Roman"/>
          <w:bCs/>
          <w:sz w:val="32"/>
          <w:szCs w:val="32"/>
        </w:rPr>
        <w:t>60</w:t>
      </w:r>
      <w:r>
        <w:rPr>
          <w:rFonts w:ascii="Times New Roman" w:eastAsia="仿宋_GB2312" w:hAnsi="Times New Roman" w:cs="Times New Roman"/>
          <w:bCs/>
          <w:sz w:val="32"/>
          <w:szCs w:val="32"/>
        </w:rPr>
        <w:t>万宗宅基地数据，整理录入系统</w:t>
      </w:r>
      <w:r>
        <w:rPr>
          <w:rFonts w:ascii="Times New Roman" w:eastAsia="仿宋_GB2312" w:hAnsi="Times New Roman" w:cs="Times New Roman"/>
          <w:bCs/>
          <w:sz w:val="32"/>
          <w:szCs w:val="32"/>
        </w:rPr>
        <w:t>40</w:t>
      </w:r>
      <w:r>
        <w:rPr>
          <w:rFonts w:ascii="Times New Roman" w:eastAsia="仿宋_GB2312" w:hAnsi="Times New Roman" w:cs="Times New Roman"/>
          <w:bCs/>
          <w:sz w:val="32"/>
          <w:szCs w:val="32"/>
        </w:rPr>
        <w:t>余万宗，实现宅基地数据基本落图。实现宅基地线上审批</w:t>
      </w:r>
      <w:r>
        <w:rPr>
          <w:rFonts w:ascii="Times New Roman" w:eastAsia="仿宋_GB2312" w:hAnsi="Times New Roman" w:cs="Times New Roman" w:hint="eastAsia"/>
          <w:bCs/>
          <w:sz w:val="32"/>
          <w:szCs w:val="32"/>
        </w:rPr>
        <w:t>134</w:t>
      </w:r>
      <w:r>
        <w:rPr>
          <w:rFonts w:ascii="Times New Roman" w:eastAsia="仿宋_GB2312" w:hAnsi="Times New Roman" w:cs="Times New Roman"/>
          <w:bCs/>
          <w:sz w:val="32"/>
          <w:szCs w:val="32"/>
        </w:rPr>
        <w:t>宗、线上流转</w:t>
      </w:r>
      <w:r>
        <w:rPr>
          <w:rFonts w:ascii="Times New Roman" w:eastAsia="仿宋_GB2312" w:hAnsi="Times New Roman" w:cs="Times New Roman"/>
          <w:bCs/>
          <w:sz w:val="32"/>
          <w:szCs w:val="32"/>
        </w:rPr>
        <w:t>5</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宗；盘活利用闲置宅基地</w:t>
      </w:r>
      <w:r>
        <w:rPr>
          <w:rFonts w:ascii="Times New Roman" w:eastAsia="仿宋_GB2312" w:hAnsi="Times New Roman" w:cs="Times New Roman"/>
          <w:bCs/>
          <w:sz w:val="32"/>
          <w:szCs w:val="32"/>
        </w:rPr>
        <w:t>1855</w:t>
      </w:r>
      <w:r>
        <w:rPr>
          <w:rFonts w:ascii="Times New Roman" w:eastAsia="仿宋_GB2312" w:hAnsi="Times New Roman" w:cs="Times New Roman"/>
          <w:bCs/>
          <w:sz w:val="32"/>
          <w:szCs w:val="32"/>
        </w:rPr>
        <w:t>宗，</w:t>
      </w:r>
      <w:r>
        <w:rPr>
          <w:rFonts w:ascii="Times New Roman" w:eastAsia="仿宋_GB2312" w:hAnsi="Times New Roman" w:cs="Times New Roman"/>
          <w:bCs/>
          <w:sz w:val="32"/>
          <w:szCs w:val="32"/>
        </w:rPr>
        <w:t>24.6</w:t>
      </w:r>
      <w:r>
        <w:rPr>
          <w:rFonts w:ascii="Times New Roman" w:eastAsia="仿宋_GB2312" w:hAnsi="Times New Roman" w:cs="Times New Roman"/>
          <w:bCs/>
          <w:sz w:val="32"/>
          <w:szCs w:val="32"/>
        </w:rPr>
        <w:t>万平方米；闲置农房</w:t>
      </w:r>
      <w:r>
        <w:rPr>
          <w:rFonts w:ascii="Times New Roman" w:eastAsia="仿宋_GB2312" w:hAnsi="Times New Roman" w:cs="Times New Roman"/>
          <w:bCs/>
          <w:sz w:val="32"/>
          <w:szCs w:val="32"/>
        </w:rPr>
        <w:t>2656</w:t>
      </w:r>
      <w:r>
        <w:rPr>
          <w:rFonts w:ascii="Times New Roman" w:eastAsia="仿宋_GB2312" w:hAnsi="Times New Roman" w:cs="Times New Roman"/>
          <w:bCs/>
          <w:sz w:val="32"/>
          <w:szCs w:val="32"/>
        </w:rPr>
        <w:t>栋，建筑面积</w:t>
      </w:r>
      <w:r>
        <w:rPr>
          <w:rFonts w:ascii="Times New Roman" w:eastAsia="仿宋_GB2312" w:hAnsi="Times New Roman" w:cs="Times New Roman"/>
          <w:bCs/>
          <w:sz w:val="32"/>
          <w:szCs w:val="32"/>
        </w:rPr>
        <w:t>41.92</w:t>
      </w:r>
      <w:r>
        <w:rPr>
          <w:rFonts w:ascii="Times New Roman" w:eastAsia="仿宋_GB2312" w:hAnsi="Times New Roman" w:cs="Times New Roman"/>
          <w:bCs/>
          <w:sz w:val="32"/>
          <w:szCs w:val="32"/>
        </w:rPr>
        <w:t>万平方</w:t>
      </w:r>
      <w:r>
        <w:rPr>
          <w:rFonts w:eastAsia="仿宋_GB2312"/>
          <w:sz w:val="32"/>
          <w:szCs w:val="32"/>
        </w:rPr>
        <w:t>米。</w:t>
      </w:r>
      <w:r>
        <w:rPr>
          <w:rFonts w:eastAsia="仿宋_GB2312"/>
          <w:b/>
          <w:bCs/>
          <w:sz w:val="32"/>
          <w:szCs w:val="32"/>
        </w:rPr>
        <w:t>增强集体经济活力</w:t>
      </w:r>
      <w:r>
        <w:rPr>
          <w:rFonts w:eastAsia="仿宋_GB2312"/>
          <w:sz w:val="32"/>
          <w:szCs w:val="32"/>
        </w:rPr>
        <w:t>。整市推进全国农村产权流转交易规范化建设整市试点取得阶段性成效，江苏省首张碳票（农业碳票）在高淳区成功交易。扎实开展农村集体</w:t>
      </w:r>
      <w:r>
        <w:rPr>
          <w:rFonts w:eastAsia="仿宋_GB2312"/>
          <w:sz w:val="32"/>
          <w:szCs w:val="32"/>
        </w:rPr>
        <w:t>“</w:t>
      </w:r>
      <w:r>
        <w:rPr>
          <w:rFonts w:eastAsia="仿宋_GB2312"/>
          <w:sz w:val="32"/>
          <w:szCs w:val="32"/>
        </w:rPr>
        <w:t>三资</w:t>
      </w:r>
      <w:r>
        <w:rPr>
          <w:rFonts w:eastAsia="仿宋_GB2312"/>
          <w:sz w:val="32"/>
          <w:szCs w:val="32"/>
        </w:rPr>
        <w:t>”</w:t>
      </w:r>
      <w:r>
        <w:rPr>
          <w:rFonts w:eastAsia="仿宋_GB2312"/>
          <w:sz w:val="32"/>
          <w:szCs w:val="32"/>
        </w:rPr>
        <w:t>监管突出问题集中专项整治，累计减少村级负债超</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6</w:t>
      </w:r>
      <w:r>
        <w:rPr>
          <w:rFonts w:ascii="Times New Roman" w:eastAsia="仿宋_GB2312" w:hAnsi="Times New Roman" w:cs="Times New Roman"/>
          <w:bCs/>
          <w:sz w:val="32"/>
          <w:szCs w:val="32"/>
        </w:rPr>
        <w:t>亿元，村级资产负债率从</w:t>
      </w:r>
      <w:r>
        <w:rPr>
          <w:rFonts w:ascii="Times New Roman" w:eastAsia="仿宋_GB2312" w:hAnsi="Times New Roman" w:cs="Times New Roman"/>
          <w:bCs/>
          <w:sz w:val="32"/>
          <w:szCs w:val="32"/>
        </w:rPr>
        <w:t>29.7%</w:t>
      </w:r>
      <w:r>
        <w:rPr>
          <w:rFonts w:ascii="Times New Roman" w:eastAsia="仿宋_GB2312" w:hAnsi="Times New Roman" w:cs="Times New Roman"/>
          <w:bCs/>
          <w:sz w:val="32"/>
          <w:szCs w:val="32"/>
        </w:rPr>
        <w:t>降至</w:t>
      </w:r>
      <w:r>
        <w:rPr>
          <w:rFonts w:ascii="Times New Roman" w:eastAsia="仿宋_GB2312" w:hAnsi="Times New Roman" w:cs="Times New Roman" w:hint="eastAsia"/>
          <w:bCs/>
          <w:sz w:val="32"/>
          <w:szCs w:val="32"/>
        </w:rPr>
        <w:t>16.97</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。深入开展农村集体闲置资源资产盘活三年行动，今年新盘活</w:t>
      </w:r>
      <w:r>
        <w:rPr>
          <w:rFonts w:ascii="Times New Roman" w:eastAsia="仿宋_GB2312" w:hAnsi="Times New Roman" w:cs="Times New Roman"/>
          <w:bCs/>
          <w:sz w:val="32"/>
          <w:szCs w:val="32"/>
        </w:rPr>
        <w:t>31</w:t>
      </w:r>
      <w:r>
        <w:rPr>
          <w:rFonts w:ascii="Times New Roman" w:eastAsia="仿宋_GB2312" w:hAnsi="Times New Roman" w:cs="Times New Roman"/>
          <w:bCs/>
          <w:sz w:val="32"/>
          <w:szCs w:val="32"/>
        </w:rPr>
        <w:t>个农村集体闲置资产项目，增加村集体经营性收入</w:t>
      </w:r>
      <w:r>
        <w:rPr>
          <w:rFonts w:ascii="Times New Roman" w:eastAsia="仿宋_GB2312" w:hAnsi="Times New Roman" w:cs="Times New Roman"/>
          <w:bCs/>
          <w:sz w:val="32"/>
          <w:szCs w:val="32"/>
        </w:rPr>
        <w:t>1008.47</w:t>
      </w:r>
      <w:r>
        <w:rPr>
          <w:rFonts w:ascii="Times New Roman" w:eastAsia="仿宋_GB2312" w:hAnsi="Times New Roman" w:cs="Times New Roman"/>
          <w:bCs/>
          <w:sz w:val="32"/>
          <w:szCs w:val="32"/>
        </w:rPr>
        <w:t>万元。</w:t>
      </w:r>
    </w:p>
    <w:p w:rsidR="00B04493" w:rsidRDefault="00A74939">
      <w:pPr>
        <w:spacing w:line="560" w:lineRule="exact"/>
        <w:ind w:firstLineChars="200" w:firstLine="640"/>
        <w:rPr>
          <w:rFonts w:ascii="黑体" w:eastAsia="黑体"/>
          <w:sz w:val="32"/>
          <w:szCs w:val="32"/>
        </w:rPr>
      </w:pPr>
      <w:r>
        <w:rPr>
          <w:rFonts w:ascii="黑体" w:eastAsia="黑体" w:hint="eastAsia"/>
          <w:sz w:val="32"/>
          <w:szCs w:val="32"/>
        </w:rPr>
        <w:t>四、存在问题及原因分析</w:t>
      </w:r>
    </w:p>
    <w:p w:rsidR="00B04493" w:rsidRDefault="00A74939">
      <w:pPr>
        <w:autoSpaceDE w:val="0"/>
        <w:autoSpaceDN w:val="0"/>
        <w:adjustRightInd w:val="0"/>
        <w:spacing w:line="560" w:lineRule="exact"/>
        <w:ind w:firstLineChars="195" w:firstLine="624"/>
        <w:rPr>
          <w:rFonts w:ascii="仿宋_GB2312" w:eastAsia="仿宋_GB2312" w:cs="Times New Roman"/>
          <w:color w:val="000000"/>
          <w:sz w:val="32"/>
          <w:szCs w:val="32"/>
        </w:rPr>
      </w:pPr>
      <w:r>
        <w:rPr>
          <w:rFonts w:ascii="仿宋_GB2312" w:eastAsia="仿宋_GB2312" w:cs="Times New Roman" w:hint="eastAsia"/>
          <w:color w:val="000000"/>
          <w:sz w:val="32"/>
          <w:szCs w:val="32"/>
        </w:rPr>
        <w:t>2024年，南京市农业农村局锚定目标、凝心聚力、真抓实</w:t>
      </w:r>
      <w:r>
        <w:rPr>
          <w:rFonts w:ascii="仿宋_GB2312" w:eastAsia="仿宋_GB2312" w:cs="Times New Roman" w:hint="eastAsia"/>
          <w:color w:val="000000"/>
          <w:sz w:val="32"/>
          <w:szCs w:val="32"/>
        </w:rPr>
        <w:lastRenderedPageBreak/>
        <w:t>干</w:t>
      </w:r>
      <w:r>
        <w:rPr>
          <w:rFonts w:ascii="Times New Roman" w:eastAsia="仿宋_GB2312" w:hAnsi="Times New Roman" w:cs="Times New Roman" w:hint="eastAsia"/>
          <w:sz w:val="32"/>
          <w:szCs w:val="32"/>
        </w:rPr>
        <w:t>，各项工作如期达成目标，取得了一定成效，</w:t>
      </w:r>
      <w:r>
        <w:rPr>
          <w:rFonts w:ascii="仿宋_GB2312" w:eastAsia="仿宋_GB2312" w:cs="Times New Roman" w:hint="eastAsia"/>
          <w:color w:val="000000"/>
          <w:sz w:val="32"/>
          <w:szCs w:val="32"/>
        </w:rPr>
        <w:t>但也存在预算执行进度有待加快、过程监管实效有待加强、项目绩效有待提升等问题。</w:t>
      </w:r>
      <w:r>
        <w:rPr>
          <w:rFonts w:ascii="仿宋_GB2312" w:eastAsia="仿宋_GB2312" w:cs="Times New Roman"/>
          <w:color w:val="000000"/>
          <w:sz w:val="32"/>
          <w:szCs w:val="32"/>
        </w:rPr>
        <w:t>主要原因为</w:t>
      </w:r>
      <w:r w:rsidR="00DA2F45">
        <w:rPr>
          <w:rFonts w:ascii="仿宋_GB2312" w:eastAsia="仿宋_GB2312" w:cs="Times New Roman" w:hint="eastAsia"/>
          <w:color w:val="000000"/>
          <w:sz w:val="32"/>
          <w:szCs w:val="32"/>
        </w:rPr>
        <w:t>部分项目前期准备不足</w:t>
      </w:r>
      <w:r w:rsidR="00634B2C">
        <w:rPr>
          <w:rFonts w:ascii="仿宋_GB2312" w:eastAsia="仿宋_GB2312" w:cs="Times New Roman" w:hint="eastAsia"/>
          <w:color w:val="000000"/>
          <w:sz w:val="32"/>
          <w:szCs w:val="32"/>
        </w:rPr>
        <w:t>和</w:t>
      </w:r>
      <w:r w:rsidR="00DA2F45">
        <w:rPr>
          <w:rFonts w:ascii="仿宋_GB2312" w:eastAsia="仿宋_GB2312" w:cs="Times New Roman" w:hint="eastAsia"/>
          <w:color w:val="000000"/>
          <w:sz w:val="32"/>
          <w:szCs w:val="32"/>
        </w:rPr>
        <w:t>区级资金拨付至主体进度较慢</w:t>
      </w:r>
      <w:r w:rsidR="00634B2C">
        <w:rPr>
          <w:rFonts w:ascii="仿宋_GB2312" w:eastAsia="仿宋_GB2312" w:cs="Times New Roman" w:hint="eastAsia"/>
          <w:color w:val="000000"/>
          <w:sz w:val="32"/>
          <w:szCs w:val="32"/>
        </w:rPr>
        <w:t>；</w:t>
      </w:r>
      <w:r w:rsidR="00DA2F45">
        <w:rPr>
          <w:rFonts w:ascii="仿宋_GB2312" w:eastAsia="仿宋_GB2312" w:cs="Times New Roman" w:hint="eastAsia"/>
          <w:color w:val="000000"/>
          <w:sz w:val="32"/>
          <w:szCs w:val="32"/>
        </w:rPr>
        <w:t>部分项目督导指导不及时、</w:t>
      </w:r>
      <w:r>
        <w:rPr>
          <w:rFonts w:ascii="仿宋_GB2312" w:eastAsia="仿宋_GB2312" w:cs="Times New Roman" w:hint="eastAsia"/>
          <w:color w:val="000000"/>
          <w:sz w:val="32"/>
          <w:szCs w:val="32"/>
        </w:rPr>
        <w:t>整改跟踪不到位</w:t>
      </w:r>
      <w:r w:rsidR="00634B2C">
        <w:rPr>
          <w:rFonts w:ascii="仿宋_GB2312" w:eastAsia="仿宋_GB2312" w:cs="Times New Roman" w:hint="eastAsia"/>
          <w:color w:val="000000"/>
          <w:sz w:val="32"/>
          <w:szCs w:val="32"/>
        </w:rPr>
        <w:t>；绩效</w:t>
      </w:r>
      <w:r>
        <w:rPr>
          <w:rFonts w:ascii="仿宋_GB2312" w:eastAsia="仿宋_GB2312" w:cs="Times New Roman" w:hint="eastAsia"/>
          <w:color w:val="000000"/>
          <w:sz w:val="32"/>
          <w:szCs w:val="32"/>
        </w:rPr>
        <w:t>目标完成情况不达预期等。</w:t>
      </w:r>
    </w:p>
    <w:p w:rsidR="00B04493" w:rsidRDefault="00A74939">
      <w:pPr>
        <w:spacing w:line="560" w:lineRule="exact"/>
        <w:ind w:firstLineChars="200" w:firstLine="640"/>
        <w:rPr>
          <w:rFonts w:ascii="黑体" w:eastAsia="黑体"/>
          <w:sz w:val="32"/>
          <w:szCs w:val="32"/>
        </w:rPr>
      </w:pPr>
      <w:r>
        <w:rPr>
          <w:rFonts w:ascii="黑体" w:eastAsia="黑体" w:hint="eastAsia"/>
          <w:sz w:val="32"/>
          <w:szCs w:val="32"/>
        </w:rPr>
        <w:t>五、有关建议</w:t>
      </w:r>
    </w:p>
    <w:p w:rsidR="00B04493" w:rsidRDefault="00A74939">
      <w:pPr>
        <w:pStyle w:val="a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要将发现解决问题、完善工作举措作为提高管理水平、促进工作质效的突破口，重点做好以下三方面工作：</w:t>
      </w:r>
      <w:r>
        <w:rPr>
          <w:rFonts w:ascii="Times New Roman" w:eastAsia="仿宋_GB2312" w:hAnsi="Times New Roman" w:cs="Times New Roman" w:hint="eastAsia"/>
          <w:b/>
          <w:sz w:val="32"/>
          <w:szCs w:val="32"/>
        </w:rPr>
        <w:t>一是注重系统谋划，提高预算执行效率。</w:t>
      </w:r>
      <w:r>
        <w:rPr>
          <w:rFonts w:ascii="Times New Roman" w:eastAsia="仿宋_GB2312" w:hAnsi="Times New Roman" w:cs="Times New Roman" w:hint="eastAsia"/>
          <w:sz w:val="32"/>
          <w:szCs w:val="32"/>
        </w:rPr>
        <w:t>从精准编制预算、优选储备项目和做足前期准备工作入手，增强预算执行与编制的衔接、资金与项目的衔接。财经会每月通报各条线资金项目执行情况，调度项目建设和资金使用中的困难和问题，各条线进一步加强对基层资金拨付、使用的指导督促和协调帮助，按照时间节点要求，倒排工期、加快推进，确保各级资金尽早拨付至主体支持农业农村发展，提高资金使用效率。</w:t>
      </w:r>
      <w:r>
        <w:rPr>
          <w:rFonts w:ascii="Times New Roman" w:eastAsia="仿宋_GB2312" w:hAnsi="Times New Roman" w:cs="Times New Roman" w:hint="eastAsia"/>
          <w:b/>
          <w:sz w:val="32"/>
          <w:szCs w:val="32"/>
        </w:rPr>
        <w:t>二是压实主体责任，落实过程监管机制。</w:t>
      </w:r>
      <w:r>
        <w:rPr>
          <w:rFonts w:ascii="Times New Roman" w:eastAsia="仿宋_GB2312" w:hAnsi="Times New Roman" w:cs="Times New Roman" w:hint="eastAsia"/>
          <w:sz w:val="32"/>
          <w:szCs w:val="32"/>
        </w:rPr>
        <w:t>各条线和各层级要按照职责分工，切实履行主体责任，严格执行常态化“线上</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线下”督导机制，用好各级项目管理系统、阳光惠民监管系统等信息化平台，数字赋能各关键环节，健全动态监测、专题调度、定期督导的监管格局。针对督导发现问题，要深入分析研究，从加强项目储备、优化管理措施、加大督导力度等方面实施有效的推进举措，形成解难题、促管理、提质效的长效机制。</w:t>
      </w:r>
      <w:r>
        <w:rPr>
          <w:rFonts w:ascii="Times New Roman" w:eastAsia="仿宋_GB2312" w:hAnsi="Times New Roman" w:cs="Times New Roman" w:hint="eastAsia"/>
          <w:b/>
          <w:sz w:val="32"/>
          <w:szCs w:val="32"/>
        </w:rPr>
        <w:t>三是坚持绩效引领，优化财政资金配置。</w:t>
      </w:r>
      <w:r>
        <w:rPr>
          <w:rFonts w:ascii="Times New Roman" w:eastAsia="仿宋_GB2312" w:hAnsi="Times New Roman" w:cs="Times New Roman" w:hint="eastAsia"/>
          <w:sz w:val="32"/>
          <w:szCs w:val="32"/>
        </w:rPr>
        <w:t>充分发挥绩效管理在优化资金投向、提高项目质效、改进政策管理方面的积极作用。通过绩效前评估及目标设</w:t>
      </w:r>
      <w:r>
        <w:rPr>
          <w:rFonts w:ascii="Times New Roman" w:eastAsia="仿宋_GB2312" w:hAnsi="Times New Roman" w:cs="Times New Roman" w:hint="eastAsia"/>
          <w:sz w:val="32"/>
          <w:szCs w:val="32"/>
        </w:rPr>
        <w:lastRenderedPageBreak/>
        <w:t>定环节，从源头提高资金使用科学性；利用绩效监控环节，在管理中期及时纠偏正向，增强项目实施规范性；根据绩效评价结果，按照“低效压减、无效取消”的原则，对低效、无效项目及时调整优化，倒逼各资金项目提高效益，确保资金用在刀刃上。</w:t>
      </w:r>
    </w:p>
    <w:p w:rsidR="00B04493" w:rsidRDefault="00A74939">
      <w:pPr>
        <w:pStyle w:val="a0"/>
        <w:spacing w:line="560" w:lineRule="exact"/>
        <w:ind w:firstLineChars="200" w:firstLine="640"/>
        <w:rPr>
          <w:rFonts w:ascii="黑体" w:eastAsia="黑体"/>
          <w:sz w:val="32"/>
          <w:szCs w:val="32"/>
        </w:rPr>
      </w:pPr>
      <w:r>
        <w:rPr>
          <w:rFonts w:ascii="黑体" w:eastAsia="黑体" w:hint="eastAsia"/>
          <w:sz w:val="32"/>
          <w:szCs w:val="32"/>
        </w:rPr>
        <w:t>六、评价工作开展情况及其他需要说明的情况</w:t>
      </w:r>
    </w:p>
    <w:p w:rsidR="00B04493" w:rsidRDefault="00A74939">
      <w:pPr>
        <w:pStyle w:val="a0"/>
        <w:spacing w:line="560" w:lineRule="exact"/>
        <w:ind w:firstLineChars="200" w:firstLine="640"/>
        <w:rPr>
          <w:rFonts w:ascii="Times New Roman" w:eastAsia="仿宋_GB2312" w:hAnsi="Times New Roman" w:cs="Times New Roman"/>
          <w:sz w:val="32"/>
          <w:szCs w:val="32"/>
        </w:rPr>
        <w:sectPr w:rsidR="00B04493">
          <w:headerReference w:type="default" r:id="rId8"/>
          <w:footerReference w:type="default" r:id="rId9"/>
          <w:pgSz w:w="11906" w:h="16838"/>
          <w:pgMar w:top="1440" w:right="1576" w:bottom="1440" w:left="1576" w:header="851" w:footer="992" w:gutter="0"/>
          <w:cols w:space="720"/>
          <w:docGrid w:type="lines" w:linePitch="312"/>
        </w:sectPr>
      </w:pPr>
      <w:r>
        <w:rPr>
          <w:rFonts w:ascii="Times New Roman" w:eastAsia="仿宋_GB2312" w:hAnsi="Times New Roman" w:cs="Times New Roman" w:hint="eastAsia"/>
          <w:sz w:val="32"/>
          <w:szCs w:val="32"/>
        </w:rPr>
        <w:t>无。</w:t>
      </w:r>
    </w:p>
    <w:tbl>
      <w:tblPr>
        <w:tblpPr w:leftFromText="180" w:rightFromText="180" w:vertAnchor="text" w:horzAnchor="page" w:tblpX="686" w:tblpY="-1578"/>
        <w:tblOverlap w:val="never"/>
        <w:tblW w:w="15809" w:type="dxa"/>
        <w:tblLayout w:type="fixed"/>
        <w:tblLook w:val="0000" w:firstRow="0" w:lastRow="0" w:firstColumn="0" w:lastColumn="0" w:noHBand="0" w:noVBand="0"/>
      </w:tblPr>
      <w:tblGrid>
        <w:gridCol w:w="1242"/>
        <w:gridCol w:w="661"/>
        <w:gridCol w:w="1607"/>
        <w:gridCol w:w="2268"/>
        <w:gridCol w:w="1276"/>
        <w:gridCol w:w="851"/>
        <w:gridCol w:w="3543"/>
        <w:gridCol w:w="1560"/>
        <w:gridCol w:w="850"/>
        <w:gridCol w:w="1951"/>
      </w:tblGrid>
      <w:tr w:rsidR="00202EA2" w:rsidTr="00202EA2">
        <w:trPr>
          <w:trHeight w:val="270"/>
        </w:trPr>
        <w:tc>
          <w:tcPr>
            <w:tcW w:w="1903" w:type="dxa"/>
            <w:gridSpan w:val="2"/>
            <w:tcBorders>
              <w:top w:val="nil"/>
              <w:left w:val="nil"/>
              <w:bottom w:val="nil"/>
              <w:right w:val="nil"/>
            </w:tcBorders>
          </w:tcPr>
          <w:p w:rsidR="00202EA2" w:rsidRDefault="00202EA2" w:rsidP="00202EA2">
            <w:pPr>
              <w:jc w:val="center"/>
              <w:rPr>
                <w:rFonts w:ascii="方正小标宋简体" w:eastAsia="方正小标宋简体"/>
                <w:sz w:val="32"/>
                <w:szCs w:val="32"/>
              </w:rPr>
            </w:pPr>
          </w:p>
        </w:tc>
        <w:tc>
          <w:tcPr>
            <w:tcW w:w="11955" w:type="dxa"/>
            <w:gridSpan w:val="7"/>
            <w:tcBorders>
              <w:top w:val="nil"/>
              <w:left w:val="nil"/>
              <w:bottom w:val="nil"/>
              <w:right w:val="nil"/>
            </w:tcBorders>
            <w:shd w:val="clear" w:color="auto" w:fill="auto"/>
            <w:noWrap/>
            <w:vAlign w:val="center"/>
          </w:tcPr>
          <w:p w:rsidR="00202EA2" w:rsidRDefault="00202EA2" w:rsidP="00202EA2">
            <w:pPr>
              <w:jc w:val="center"/>
              <w:rPr>
                <w:rFonts w:ascii="方正小标宋简体" w:eastAsia="方正小标宋简体"/>
                <w:sz w:val="32"/>
                <w:szCs w:val="32"/>
              </w:rPr>
            </w:pPr>
          </w:p>
          <w:p w:rsidR="00202EA2" w:rsidRDefault="00202EA2" w:rsidP="00202EA2">
            <w:pPr>
              <w:jc w:val="center"/>
              <w:rPr>
                <w:rFonts w:ascii="方正小标宋简体" w:eastAsia="方正小标宋简体"/>
                <w:sz w:val="32"/>
                <w:szCs w:val="32"/>
              </w:rPr>
            </w:pPr>
          </w:p>
          <w:p w:rsidR="00202EA2" w:rsidRDefault="00202EA2" w:rsidP="00202EA2">
            <w:pPr>
              <w:jc w:val="center"/>
              <w:rPr>
                <w:rFonts w:ascii="方正小标宋简体" w:eastAsia="方正小标宋简体" w:cs="宋体"/>
                <w:color w:val="000000"/>
                <w:sz w:val="30"/>
                <w:szCs w:val="30"/>
              </w:rPr>
            </w:pPr>
            <w:r>
              <w:rPr>
                <w:rFonts w:ascii="方正小标宋简体" w:eastAsia="方正小标宋简体" w:hint="eastAsia"/>
                <w:sz w:val="32"/>
                <w:szCs w:val="32"/>
              </w:rPr>
              <w:t>2024年度南京市农业农村局部门整体绩效自评价指标体系评分表</w:t>
            </w:r>
          </w:p>
        </w:tc>
        <w:tc>
          <w:tcPr>
            <w:tcW w:w="1951" w:type="dxa"/>
            <w:tcBorders>
              <w:top w:val="nil"/>
              <w:left w:val="nil"/>
              <w:bottom w:val="nil"/>
              <w:right w:val="nil"/>
            </w:tcBorders>
          </w:tcPr>
          <w:p w:rsidR="00202EA2" w:rsidRDefault="00202EA2" w:rsidP="00202EA2">
            <w:pPr>
              <w:jc w:val="center"/>
              <w:rPr>
                <w:rFonts w:ascii="方正小标宋简体" w:eastAsia="方正小标宋简体"/>
                <w:sz w:val="32"/>
                <w:szCs w:val="32"/>
              </w:rPr>
            </w:pPr>
          </w:p>
        </w:tc>
      </w:tr>
      <w:tr w:rsidR="00202EA2" w:rsidTr="00202EA2">
        <w:trPr>
          <w:trHeight w:val="501"/>
        </w:trPr>
        <w:tc>
          <w:tcPr>
            <w:tcW w:w="57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评价指标</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目标值</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权重</w:t>
            </w:r>
          </w:p>
        </w:tc>
        <w:tc>
          <w:tcPr>
            <w:tcW w:w="3543"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评分依据</w:t>
            </w:r>
          </w:p>
        </w:tc>
        <w:tc>
          <w:tcPr>
            <w:tcW w:w="1560" w:type="dxa"/>
            <w:vMerge w:val="restart"/>
            <w:tcBorders>
              <w:top w:val="single" w:sz="4" w:space="0" w:color="000000"/>
              <w:left w:val="single" w:sz="4" w:space="0" w:color="000000"/>
              <w:right w:val="single" w:sz="4" w:space="0" w:color="000000"/>
            </w:tcBorders>
            <w:vAlign w:val="center"/>
          </w:tcPr>
          <w:p w:rsidR="00202EA2" w:rsidRDefault="00202EA2" w:rsidP="00202EA2">
            <w:pPr>
              <w:widowControl/>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完成值</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得分</w:t>
            </w:r>
          </w:p>
        </w:tc>
        <w:tc>
          <w:tcPr>
            <w:tcW w:w="1951" w:type="dxa"/>
            <w:tcBorders>
              <w:top w:val="single" w:sz="4" w:space="0" w:color="000000"/>
              <w:left w:val="single" w:sz="4" w:space="0" w:color="000000"/>
              <w:right w:val="single" w:sz="4" w:space="0" w:color="000000"/>
            </w:tcBorders>
          </w:tcPr>
          <w:p w:rsidR="00202EA2" w:rsidRDefault="00202EA2" w:rsidP="00202EA2">
            <w:pPr>
              <w:jc w:val="center"/>
              <w:textAlignment w:val="center"/>
              <w:rPr>
                <w:rFonts w:ascii="黑体" w:eastAsia="黑体" w:cs="黑体"/>
                <w:color w:val="000000"/>
                <w:kern w:val="0"/>
                <w:sz w:val="24"/>
                <w:szCs w:val="24"/>
              </w:rPr>
            </w:pPr>
          </w:p>
          <w:p w:rsidR="00202EA2" w:rsidRDefault="00202EA2" w:rsidP="00202EA2">
            <w:pPr>
              <w:jc w:val="center"/>
              <w:textAlignment w:val="center"/>
              <w:rPr>
                <w:rFonts w:ascii="黑体" w:eastAsia="黑体" w:cs="黑体"/>
                <w:color w:val="000000"/>
                <w:kern w:val="0"/>
                <w:sz w:val="24"/>
                <w:szCs w:val="24"/>
              </w:rPr>
            </w:pPr>
            <w:r>
              <w:rPr>
                <w:rFonts w:ascii="黑体" w:eastAsia="黑体" w:cs="黑体" w:hint="eastAsia"/>
                <w:color w:val="000000"/>
                <w:kern w:val="0"/>
                <w:sz w:val="24"/>
                <w:szCs w:val="24"/>
              </w:rPr>
              <w:t>未完成原因分析</w:t>
            </w:r>
          </w:p>
        </w:tc>
      </w:tr>
      <w:tr w:rsidR="00202EA2" w:rsidTr="00202EA2">
        <w:trPr>
          <w:trHeight w:val="285"/>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sz w:val="24"/>
              </w:rPr>
            </w:pPr>
            <w:r>
              <w:rPr>
                <w:rFonts w:ascii="黑体" w:eastAsia="黑体" w:cs="黑体" w:hint="eastAsia"/>
                <w:color w:val="000000"/>
                <w:kern w:val="0"/>
                <w:sz w:val="24"/>
                <w:szCs w:val="24"/>
              </w:rPr>
              <w:t>一级指标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sz w:val="24"/>
              </w:rPr>
            </w:pPr>
            <w:r>
              <w:rPr>
                <w:rFonts w:ascii="黑体" w:eastAsia="黑体" w:cs="黑体" w:hint="eastAsia"/>
                <w:color w:val="000000"/>
                <w:kern w:val="0"/>
                <w:sz w:val="24"/>
                <w:szCs w:val="24"/>
              </w:rPr>
              <w:t>二级指标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黑体" w:eastAsia="黑体" w:cs="黑体"/>
                <w:color w:val="000000"/>
                <w:sz w:val="24"/>
              </w:rPr>
            </w:pPr>
            <w:r>
              <w:rPr>
                <w:rFonts w:ascii="黑体" w:eastAsia="黑体" w:cs="黑体" w:hint="eastAsia"/>
                <w:color w:val="000000"/>
                <w:kern w:val="0"/>
                <w:sz w:val="24"/>
                <w:szCs w:val="24"/>
              </w:rPr>
              <w:t>三级指标</w:t>
            </w:r>
          </w:p>
        </w:tc>
        <w:tc>
          <w:tcPr>
            <w:tcW w:w="1276"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851"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3543"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1560" w:type="dxa"/>
            <w:vMerge/>
            <w:tcBorders>
              <w:left w:val="single" w:sz="4" w:space="0" w:color="000000"/>
              <w:bottom w:val="single" w:sz="4" w:space="0" w:color="000000"/>
              <w:right w:val="single" w:sz="4" w:space="0" w:color="000000"/>
            </w:tcBorders>
            <w:vAlign w:val="center"/>
          </w:tcPr>
          <w:p w:rsidR="00202EA2" w:rsidRDefault="00202EA2" w:rsidP="00202EA2"/>
        </w:tc>
        <w:tc>
          <w:tcPr>
            <w:tcW w:w="850"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1951" w:type="dxa"/>
            <w:tcBorders>
              <w:left w:val="single" w:sz="4" w:space="0" w:color="000000"/>
              <w:bottom w:val="single" w:sz="4" w:space="0" w:color="000000"/>
              <w:right w:val="single" w:sz="4" w:space="0" w:color="000000"/>
            </w:tcBorders>
          </w:tcPr>
          <w:p w:rsidR="00202EA2" w:rsidRDefault="00202EA2" w:rsidP="00202EA2"/>
        </w:tc>
      </w:tr>
      <w:tr w:rsidR="00202EA2" w:rsidTr="00202EA2">
        <w:trPr>
          <w:trHeight w:val="285"/>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t>部门决策（10分）</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决策机制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决策制度的科学性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科学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制度科学、合理得满分，否则不得分。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科学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决策流程的规范性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决策过程规范得满分，否则不得分。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中长期规划</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中长期规划明确性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明确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规划合理、明确得满分，否则不得分。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明确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387"/>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中长期规划与部门职能的匹配性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规划与职能匹配性较高得满分，否则不得分。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年度工作计划</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年度工作计划明确性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明确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年度计划明确、合理得满分，否则不得分。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明确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57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年度工作计划与部门职能的匹配性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规划与职能匹配性较高得满分，否则不得分。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66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年度工作计划与南京市“十四五”现代农业发展规划的匹配性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与南京市“十四五”现代农业发展规划的匹配性较高得满分，否则不得分。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2</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预算编制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预算编制科学规范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科学规范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科学规范得满分，否则不得分。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科学规范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57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预算编制与重点工作任务的匹配性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预算编制与重点工作任务的匹配性较高得满分，否则不得分。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匹配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570"/>
        </w:trPr>
        <w:tc>
          <w:tcPr>
            <w:tcW w:w="1242"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b/>
                <w:bCs/>
                <w:color w:val="000000"/>
                <w:kern w:val="0"/>
                <w:sz w:val="24"/>
              </w:rPr>
            </w:pPr>
            <w:r>
              <w:rPr>
                <w:rFonts w:ascii="仿宋" w:eastAsia="仿宋" w:cs="仿宋" w:hint="eastAsia"/>
                <w:b/>
                <w:bCs/>
                <w:color w:val="000000"/>
                <w:kern w:val="0"/>
                <w:sz w:val="24"/>
                <w:szCs w:val="24"/>
              </w:rPr>
              <w:t>管理过程</w:t>
            </w:r>
          </w:p>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t>（30分）</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预算执行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部门预算执行率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达到100%得2分，如未完成按相应比例扣分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97%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2.91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任务完成基础上，进一步节约经费</w:t>
            </w:r>
          </w:p>
        </w:tc>
      </w:tr>
      <w:tr w:rsidR="00202EA2" w:rsidTr="00202EA2">
        <w:trPr>
          <w:trHeight w:val="57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专项资金拨付至主体执行率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达到100%得2分，如未完成按相应比例扣分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73.97%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2.22</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部分资金按合同和建设进度分期付款</w:t>
            </w:r>
          </w:p>
        </w:tc>
      </w:tr>
      <w:tr w:rsidR="00202EA2" w:rsidTr="00202EA2">
        <w:trPr>
          <w:trHeight w:val="408"/>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“三公”经费控制率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经费使用未超支得满分，否则不得分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2</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p>
        </w:tc>
      </w:tr>
      <w:tr w:rsidR="00202EA2" w:rsidTr="00202EA2">
        <w:trPr>
          <w:trHeight w:val="388"/>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预决算等信息公开情况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公开</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及时按要求公开得满分，否则不得分。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及时公开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2</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50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收支管理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收支管理制度健全性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健全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收支管理制度健全得满分，否则不得分。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健全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55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收支管理执行规范性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收支管理制度执行有效得满分，否则不得分。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资产管理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资产管理制度健全性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健全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资产管理制度健全得满分，否则不得分。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健全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资产管理执行规范性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资产管理制度执行有效得满分，否则不得分。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sz w:val="24"/>
              </w:rPr>
            </w:pPr>
            <w:r>
              <w:rPr>
                <w:rFonts w:ascii="仿宋" w:eastAsia="仿宋" w:cs="仿宋" w:hint="eastAsia"/>
                <w:kern w:val="0"/>
                <w:sz w:val="24"/>
                <w:szCs w:val="24"/>
              </w:rPr>
              <w:t>政府采购管理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政府采购管理制度健全性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健全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政府采购管理制度健全</w:t>
            </w:r>
            <w:r>
              <w:rPr>
                <w:rFonts w:ascii="仿宋" w:eastAsia="仿宋" w:cs="仿宋" w:hint="eastAsia"/>
                <w:color w:val="000000"/>
                <w:kern w:val="0"/>
                <w:sz w:val="20"/>
                <w:szCs w:val="20"/>
              </w:rPr>
              <w:t>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部分条款不适应现行要求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0.8</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部分条款不适应现行要求，已于25年修订完毕</w:t>
            </w:r>
          </w:p>
        </w:tc>
      </w:tr>
      <w:tr w:rsidR="00202EA2" w:rsidTr="00202EA2">
        <w:trPr>
          <w:trHeight w:val="419"/>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政府采购管理执行规范性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规范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政府采购管理制度执行有效</w:t>
            </w:r>
            <w:r>
              <w:rPr>
                <w:rFonts w:ascii="仿宋" w:eastAsia="仿宋" w:cs="仿宋" w:hint="eastAsia"/>
                <w:color w:val="000000"/>
                <w:kern w:val="0"/>
                <w:sz w:val="20"/>
                <w:szCs w:val="20"/>
              </w:rPr>
              <w:t>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规范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4"/>
                <w:szCs w:val="24"/>
              </w:rPr>
              <w:t>项目管理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专项资金项目建成率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完成得满分；未完成按比例扣分。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68.22%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2.73</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受农业周期影响，部分项目</w:t>
            </w:r>
            <w:r w:rsidR="0007319B">
              <w:rPr>
                <w:rFonts w:ascii="仿宋" w:eastAsia="仿宋" w:cs="仿宋" w:hint="eastAsia"/>
                <w:kern w:val="0"/>
                <w:sz w:val="20"/>
                <w:szCs w:val="20"/>
              </w:rPr>
              <w:t>跨年实施</w:t>
            </w:r>
          </w:p>
        </w:tc>
      </w:tr>
      <w:tr w:rsidR="00202EA2" w:rsidTr="00202EA2">
        <w:trPr>
          <w:trHeight w:val="39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专项资金项目验收率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完成得满分；未完成按比例扣分。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39.7%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1.59</w:t>
            </w:r>
          </w:p>
        </w:tc>
        <w:tc>
          <w:tcPr>
            <w:tcW w:w="1951" w:type="dxa"/>
            <w:tcBorders>
              <w:top w:val="single" w:sz="4" w:space="0" w:color="000000"/>
              <w:left w:val="single" w:sz="4" w:space="0" w:color="000000"/>
              <w:bottom w:val="single" w:sz="4" w:space="0" w:color="000000"/>
              <w:right w:val="single" w:sz="4" w:space="0" w:color="000000"/>
            </w:tcBorders>
          </w:tcPr>
          <w:p w:rsidR="00202EA2" w:rsidRDefault="0007319B"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受农业周期影响，部分项目跨年实施</w:t>
            </w: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sz w:val="24"/>
              </w:rPr>
            </w:pPr>
            <w:r>
              <w:rPr>
                <w:rFonts w:ascii="仿宋" w:eastAsia="仿宋" w:cs="仿宋" w:hint="eastAsia"/>
                <w:kern w:val="0"/>
                <w:sz w:val="24"/>
                <w:szCs w:val="24"/>
              </w:rPr>
              <w:t>内部控制管理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内部控制建设情况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健全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建立健全内部控制制度</w:t>
            </w:r>
            <w:r>
              <w:rPr>
                <w:rFonts w:ascii="仿宋" w:eastAsia="仿宋" w:cs="仿宋" w:hint="eastAsia"/>
                <w:color w:val="000000"/>
                <w:kern w:val="0"/>
                <w:sz w:val="20"/>
                <w:szCs w:val="20"/>
              </w:rPr>
              <w:t>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健全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内部控制执行情况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有效</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内部控制有效</w:t>
            </w:r>
            <w:r>
              <w:rPr>
                <w:rFonts w:ascii="仿宋" w:eastAsia="仿宋" w:cs="仿宋" w:hint="eastAsia"/>
                <w:color w:val="000000"/>
                <w:kern w:val="0"/>
                <w:sz w:val="20"/>
                <w:szCs w:val="20"/>
              </w:rPr>
              <w:t>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有效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内部控制监督评价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有效</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kern w:val="0"/>
                <w:sz w:val="20"/>
                <w:szCs w:val="20"/>
              </w:rPr>
            </w:pPr>
            <w:r>
              <w:rPr>
                <w:rFonts w:ascii="仿宋" w:eastAsia="仿宋" w:cs="仿宋" w:hint="eastAsia"/>
                <w:kern w:val="0"/>
                <w:sz w:val="20"/>
                <w:szCs w:val="20"/>
              </w:rPr>
              <w:t>完成内控评价报告</w:t>
            </w:r>
            <w:r>
              <w:rPr>
                <w:rFonts w:ascii="仿宋" w:eastAsia="仿宋" w:cs="仿宋" w:hint="eastAsia"/>
                <w:color w:val="000000"/>
                <w:kern w:val="0"/>
                <w:sz w:val="20"/>
                <w:szCs w:val="20"/>
              </w:rPr>
              <w:t>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有效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kern w:val="0"/>
                <w:sz w:val="20"/>
                <w:szCs w:val="20"/>
              </w:rPr>
            </w:pPr>
            <w:r>
              <w:rPr>
                <w:rFonts w:ascii="仿宋" w:eastAsia="仿宋" w:cs="仿宋" w:hint="eastAsia"/>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kern w:val="0"/>
                <w:sz w:val="20"/>
                <w:szCs w:val="20"/>
              </w:rPr>
            </w:pPr>
          </w:p>
        </w:tc>
      </w:tr>
      <w:tr w:rsidR="00202EA2" w:rsidTr="00202EA2">
        <w:trPr>
          <w:trHeight w:val="285"/>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t>预算绩效管理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组织管理情况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良好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制度健全得满分，否则不得分。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良好</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334"/>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工作开展情况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有效</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建立指标体系、开展评价工作得满分，否则不得分。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有效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285"/>
        </w:trPr>
        <w:tc>
          <w:tcPr>
            <w:tcW w:w="1242"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绩效信息公开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及时公开</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按要求及时公开得满分，否则不得分。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及时公开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0"/>
                <w:szCs w:val="20"/>
              </w:rPr>
            </w:pPr>
          </w:p>
        </w:tc>
      </w:tr>
      <w:tr w:rsidR="00202EA2" w:rsidTr="00202EA2">
        <w:trPr>
          <w:trHeight w:val="386"/>
        </w:trPr>
        <w:tc>
          <w:tcPr>
            <w:tcW w:w="1242" w:type="dxa"/>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szCs w:val="24"/>
              </w:rPr>
            </w:pPr>
          </w:p>
          <w:p w:rsidR="00202EA2" w:rsidRDefault="00202EA2" w:rsidP="00202EA2">
            <w:pPr>
              <w:widowControl/>
              <w:jc w:val="center"/>
              <w:textAlignment w:val="center"/>
              <w:rPr>
                <w:rFonts w:ascii="仿宋" w:eastAsia="仿宋" w:cs="仿宋"/>
                <w:b/>
                <w:bCs/>
                <w:color w:val="000000"/>
                <w:kern w:val="0"/>
                <w:sz w:val="24"/>
              </w:rPr>
            </w:pPr>
            <w:r>
              <w:rPr>
                <w:rFonts w:ascii="仿宋" w:eastAsia="仿宋" w:cs="仿宋" w:hint="eastAsia"/>
                <w:b/>
                <w:bCs/>
                <w:color w:val="000000"/>
                <w:kern w:val="0"/>
                <w:sz w:val="24"/>
                <w:szCs w:val="24"/>
              </w:rPr>
              <w:t>部门履职</w:t>
            </w:r>
          </w:p>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t>（40分）</w:t>
            </w:r>
          </w:p>
        </w:tc>
        <w:tc>
          <w:tcPr>
            <w:tcW w:w="2268" w:type="dxa"/>
            <w:gridSpan w:val="2"/>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kern w:val="0"/>
                <w:sz w:val="24"/>
                <w:szCs w:val="24"/>
              </w:rPr>
              <w:lastRenderedPageBreak/>
              <w:t>农业基础设施提升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新建、改造高标准农田面积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≥2.05、3.74</w:t>
            </w:r>
            <w:r>
              <w:rPr>
                <w:rFonts w:ascii="仿宋" w:eastAsia="仿宋" w:cs="仿宋"/>
                <w:color w:val="000000"/>
                <w:kern w:val="0"/>
                <w:sz w:val="20"/>
                <w:szCs w:val="20"/>
              </w:rPr>
              <w:t xml:space="preserve"> </w:t>
            </w:r>
            <w:r>
              <w:rPr>
                <w:rFonts w:ascii="仿宋" w:eastAsia="仿宋" w:cs="仿宋" w:hint="eastAsia"/>
                <w:color w:val="000000"/>
                <w:kern w:val="0"/>
                <w:sz w:val="20"/>
                <w:szCs w:val="20"/>
              </w:rPr>
              <w:t>万亩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完成任务，得满分；未完成按比例扣分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2.07、3.74万亩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left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color w:val="000000"/>
                <w:kern w:val="0"/>
                <w:sz w:val="20"/>
                <w:szCs w:val="20"/>
              </w:rPr>
              <w:t>农作物耕种收机械化率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w:t>
            </w:r>
            <w:r>
              <w:rPr>
                <w:rFonts w:ascii="仿宋" w:eastAsia="仿宋" w:cs="仿宋"/>
                <w:color w:val="000000"/>
                <w:kern w:val="0"/>
                <w:sz w:val="20"/>
                <w:szCs w:val="20"/>
              </w:rPr>
              <w:t>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≥89%，得满分；未完成按比例扣分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456"/>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left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新建设施蔬菜园艺项目面积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≥500亩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≥500亩,得满分；未完成按比例扣分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4288.54亩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42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left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宋体" w:hint="eastAsia"/>
                <w:color w:val="000000"/>
                <w:kern w:val="0"/>
                <w:sz w:val="20"/>
                <w:szCs w:val="20"/>
              </w:rPr>
              <w:t>渔业设施项目建设完成率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完成得满分；</w:t>
            </w:r>
            <w:r>
              <w:rPr>
                <w:rFonts w:ascii="仿宋" w:eastAsia="仿宋" w:cs="宋体" w:hint="eastAsia"/>
                <w:color w:val="000000"/>
                <w:kern w:val="0"/>
                <w:sz w:val="20"/>
                <w:szCs w:val="20"/>
              </w:rPr>
              <w:t>每减少5个百分点扣一分，扣完为止</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45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4"/>
                <w:szCs w:val="24"/>
              </w:rPr>
            </w:pPr>
            <w:r>
              <w:rPr>
                <w:rFonts w:ascii="仿宋" w:eastAsia="仿宋" w:cs="仿宋" w:hint="eastAsia"/>
                <w:color w:val="000000"/>
                <w:kern w:val="0"/>
                <w:sz w:val="24"/>
                <w:szCs w:val="24"/>
              </w:rPr>
              <w:t>乡村特色产业提质</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rPr>
            </w:pPr>
            <w:r>
              <w:rPr>
                <w:rFonts w:ascii="仿宋" w:eastAsia="仿宋" w:cs="宋体"/>
                <w:color w:val="000000"/>
                <w:kern w:val="0"/>
                <w:sz w:val="20"/>
                <w:szCs w:val="20"/>
              </w:rPr>
              <w:t>全市农业特色产业三产融合总产值</w:t>
            </w:r>
            <w:r>
              <w:rPr>
                <w:rFonts w:ascii="仿宋" w:eastAsia="仿宋" w:cs="宋体" w:hint="eastAsia"/>
                <w:color w:val="000000"/>
                <w:kern w:val="0"/>
                <w:sz w:val="20"/>
                <w:szCs w:val="20"/>
              </w:rPr>
              <w:t>增幅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Times New Roman" w:hAnsi="Times New Roman"/>
                <w:color w:val="000000"/>
                <w:kern w:val="0"/>
                <w:sz w:val="16"/>
                <w:szCs w:val="21"/>
              </w:rPr>
              <w:t>≥</w:t>
            </w:r>
            <w:r>
              <w:rPr>
                <w:rFonts w:ascii="Times New Roman" w:hAnsi="Times New Roman" w:hint="eastAsia"/>
                <w:color w:val="000000"/>
                <w:kern w:val="0"/>
                <w:sz w:val="16"/>
                <w:szCs w:val="21"/>
              </w:rPr>
              <w:t>10</w:t>
            </w:r>
            <w:r>
              <w:rPr>
                <w:rFonts w:ascii="Times New Roman" w:hAnsi="Times New Roman"/>
                <w:color w:val="000000"/>
                <w:kern w:val="0"/>
                <w:sz w:val="16"/>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2"/>
              </w:rPr>
            </w:pPr>
            <w:r>
              <w:rPr>
                <w:rFonts w:ascii="Times New Roman" w:hAnsi="Times New Roman"/>
                <w:color w:val="000000"/>
                <w:kern w:val="0"/>
                <w:sz w:val="16"/>
                <w:szCs w:val="21"/>
              </w:rPr>
              <w:t>≥</w:t>
            </w:r>
            <w:r>
              <w:rPr>
                <w:rFonts w:ascii="Times New Roman" w:hAnsi="Times New Roman" w:hint="eastAsia"/>
                <w:color w:val="000000"/>
                <w:kern w:val="0"/>
                <w:sz w:val="16"/>
                <w:szCs w:val="21"/>
              </w:rPr>
              <w:t>10</w:t>
            </w:r>
            <w:r>
              <w:rPr>
                <w:rFonts w:ascii="Times New Roman" w:hAnsi="Times New Roman"/>
                <w:color w:val="000000"/>
                <w:kern w:val="0"/>
                <w:sz w:val="16"/>
                <w:szCs w:val="21"/>
              </w:rPr>
              <w:t>%</w:t>
            </w:r>
            <w:r>
              <w:rPr>
                <w:rFonts w:ascii="Times New Roman" w:hAnsi="Times New Roman" w:hint="eastAsia"/>
                <w:color w:val="000000"/>
                <w:kern w:val="0"/>
                <w:sz w:val="16"/>
                <w:szCs w:val="21"/>
              </w:rPr>
              <w:t>，得满分</w:t>
            </w:r>
            <w:r>
              <w:rPr>
                <w:rFonts w:ascii="仿宋" w:eastAsia="仿宋" w:cs="仿宋" w:hint="eastAsia"/>
                <w:color w:val="000000"/>
                <w:kern w:val="0"/>
                <w:sz w:val="20"/>
                <w:szCs w:val="20"/>
              </w:rPr>
              <w:t>；未完成按比例扣分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Times New Roman" w:hAnsi="Times New Roman" w:hint="eastAsia"/>
                <w:color w:val="000000"/>
                <w:kern w:val="0"/>
                <w:sz w:val="16"/>
                <w:szCs w:val="21"/>
              </w:rPr>
              <w:t>17.9</w:t>
            </w:r>
            <w:r>
              <w:rPr>
                <w:rFonts w:ascii="Times New Roman" w:hAnsi="Times New Roman"/>
                <w:color w:val="000000"/>
                <w:kern w:val="0"/>
                <w:sz w:val="16"/>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46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_GB2312" w:eastAsia="仿宋_GB2312" w:cs="仿宋_GB2312" w:hint="eastAsia"/>
                <w:sz w:val="20"/>
                <w:szCs w:val="20"/>
              </w:rPr>
              <w:t>重大项目完成年度投资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_GB2312" w:eastAsia="仿宋_GB2312" w:cs="仿宋_GB2312" w:hint="eastAsia"/>
                <w:sz w:val="20"/>
                <w:szCs w:val="20"/>
              </w:rPr>
              <w:t>≥100亿元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Times New Roman" w:hAnsi="Times New Roman"/>
                <w:color w:val="000000"/>
                <w:kern w:val="0"/>
                <w:sz w:val="16"/>
                <w:szCs w:val="21"/>
              </w:rPr>
              <w:t>≥</w:t>
            </w:r>
            <w:r>
              <w:rPr>
                <w:rFonts w:ascii="Times New Roman" w:hAnsi="Times New Roman" w:hint="eastAsia"/>
                <w:color w:val="000000"/>
                <w:kern w:val="0"/>
                <w:sz w:val="16"/>
                <w:szCs w:val="21"/>
              </w:rPr>
              <w:t>100</w:t>
            </w:r>
            <w:r>
              <w:rPr>
                <w:rFonts w:ascii="Times New Roman" w:hAnsi="Times New Roman" w:hint="eastAsia"/>
                <w:color w:val="000000"/>
                <w:kern w:val="0"/>
                <w:sz w:val="16"/>
                <w:szCs w:val="21"/>
              </w:rPr>
              <w:t>亿元，得满分</w:t>
            </w:r>
            <w:r>
              <w:rPr>
                <w:rFonts w:ascii="仿宋" w:eastAsia="仿宋" w:cs="仿宋" w:hint="eastAsia"/>
                <w:color w:val="000000"/>
                <w:kern w:val="0"/>
                <w:sz w:val="20"/>
                <w:szCs w:val="20"/>
              </w:rPr>
              <w:t>；未完成按比例扣分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124.15亿元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kern w:val="0"/>
                <w:sz w:val="20"/>
                <w:szCs w:val="20"/>
              </w:rPr>
            </w:pPr>
            <w:r>
              <w:rPr>
                <w:rFonts w:ascii="仿宋" w:eastAsia="仿宋" w:cs="仿宋" w:hint="eastAsia"/>
                <w:color w:val="000000"/>
                <w:kern w:val="0"/>
                <w:sz w:val="24"/>
                <w:szCs w:val="24"/>
              </w:rPr>
              <w:t>和美乡村建设示范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color w:val="000000"/>
                <w:kern w:val="0"/>
                <w:sz w:val="20"/>
                <w:szCs w:val="20"/>
              </w:rPr>
              <w:t>建设市级</w:t>
            </w:r>
            <w:r>
              <w:rPr>
                <w:rFonts w:ascii="仿宋" w:eastAsia="仿宋" w:cs="仿宋" w:hint="eastAsia"/>
                <w:color w:val="000000"/>
                <w:kern w:val="0"/>
                <w:sz w:val="20"/>
                <w:szCs w:val="20"/>
              </w:rPr>
              <w:t>美丽</w:t>
            </w:r>
            <w:r>
              <w:rPr>
                <w:rFonts w:ascii="仿宋" w:eastAsia="仿宋" w:cs="仿宋"/>
                <w:color w:val="000000"/>
                <w:kern w:val="0"/>
                <w:sz w:val="20"/>
                <w:szCs w:val="20"/>
              </w:rPr>
              <w:t>宜居村</w:t>
            </w:r>
            <w:r>
              <w:rPr>
                <w:rFonts w:ascii="仿宋" w:eastAsia="仿宋" w:cs="仿宋" w:hint="eastAsia"/>
                <w:color w:val="000000"/>
                <w:kern w:val="0"/>
                <w:sz w:val="20"/>
                <w:szCs w:val="20"/>
              </w:rPr>
              <w:t>个数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≥100个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≥100个，得满分；未完成按比例扣分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99个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3.96</w:t>
            </w:r>
          </w:p>
        </w:tc>
        <w:tc>
          <w:tcPr>
            <w:tcW w:w="1951" w:type="dxa"/>
            <w:tcBorders>
              <w:top w:val="single" w:sz="4" w:space="0" w:color="000000"/>
              <w:left w:val="single" w:sz="4" w:space="0" w:color="000000"/>
              <w:bottom w:val="single" w:sz="4" w:space="0" w:color="000000"/>
              <w:right w:val="single" w:sz="4" w:space="0" w:color="000000"/>
            </w:tcBorders>
          </w:tcPr>
          <w:p w:rsidR="00202EA2" w:rsidRDefault="0007319B"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1个项目因故取消</w:t>
            </w:r>
          </w:p>
        </w:tc>
      </w:tr>
      <w:tr w:rsidR="00202EA2" w:rsidTr="00202EA2">
        <w:trPr>
          <w:trHeight w:val="57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建设一事一议项目个数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≥562个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≥562个，得满分，未完成按比例扣分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569个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tcBorders>
              <w:left w:val="single" w:sz="4" w:space="0" w:color="000000"/>
              <w:right w:val="single" w:sz="4" w:space="0" w:color="000000"/>
            </w:tcBorders>
            <w:shd w:val="clear" w:color="auto" w:fill="auto"/>
            <w:vAlign w:val="center"/>
          </w:tcPr>
          <w:p w:rsidR="00202EA2" w:rsidRDefault="00202EA2" w:rsidP="00202EA2"/>
        </w:tc>
        <w:tc>
          <w:tcPr>
            <w:tcW w:w="2268" w:type="dxa"/>
            <w:gridSpan w:val="2"/>
            <w:vMerge w:val="restart"/>
            <w:tcBorders>
              <w:top w:val="single" w:sz="4" w:space="0" w:color="000000"/>
              <w:left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农民持续增收推进</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片区关键工程项目支持镇街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≥9个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≥9个，得满分；未完成按比例扣分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10个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vMerge/>
            <w:tcBorders>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重点帮促村项目支持村社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≥60个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≥60个，得满分；未完成按比例扣分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60个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b/>
                <w:bCs/>
                <w:color w:val="000000"/>
                <w:kern w:val="0"/>
                <w:sz w:val="24"/>
              </w:rPr>
            </w:pPr>
            <w:r>
              <w:rPr>
                <w:rFonts w:ascii="仿宋" w:eastAsia="仿宋" w:cs="仿宋" w:hint="eastAsia"/>
                <w:b/>
                <w:bCs/>
                <w:color w:val="000000"/>
                <w:kern w:val="0"/>
                <w:sz w:val="24"/>
                <w:szCs w:val="24"/>
              </w:rPr>
              <w:t>履职绩效</w:t>
            </w:r>
          </w:p>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t>（16分）</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经济效益</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color w:val="000000"/>
                <w:kern w:val="0"/>
                <w:sz w:val="20"/>
                <w:szCs w:val="20"/>
              </w:rPr>
              <w:t>“</w:t>
            </w:r>
            <w:r>
              <w:rPr>
                <w:rFonts w:ascii="仿宋" w:eastAsia="仿宋" w:cs="仿宋"/>
                <w:color w:val="000000"/>
                <w:kern w:val="0"/>
                <w:sz w:val="20"/>
                <w:szCs w:val="20"/>
              </w:rPr>
              <w:t>金陵惠农贷</w:t>
            </w:r>
            <w:r>
              <w:rPr>
                <w:rFonts w:ascii="仿宋" w:eastAsia="仿宋" w:cs="仿宋"/>
                <w:color w:val="000000"/>
                <w:kern w:val="0"/>
                <w:sz w:val="20"/>
                <w:szCs w:val="20"/>
              </w:rPr>
              <w:t>”</w:t>
            </w:r>
            <w:r>
              <w:rPr>
                <w:rFonts w:ascii="仿宋" w:eastAsia="仿宋" w:cs="仿宋"/>
                <w:color w:val="000000"/>
                <w:kern w:val="0"/>
                <w:sz w:val="20"/>
                <w:szCs w:val="20"/>
              </w:rPr>
              <w:t>投放额度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≥12亿元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≥12亿元，得满分；未完成按比例扣分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15.5亿元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社会效益</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实施高素质农民培训</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≥3850人次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≥3850人次，得满分；未完成按比例扣分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4030人次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46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生态效益</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主要农作物化肥使用量较2020年下降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下降13%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下降13%，得满分；未完成不得分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下降14%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57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可持续发展</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color w:val="000000"/>
                <w:kern w:val="0"/>
                <w:sz w:val="20"/>
                <w:szCs w:val="20"/>
              </w:rPr>
              <w:t>农村公益事业滚动项目库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基本建立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color w:val="000000"/>
                <w:kern w:val="0"/>
                <w:sz w:val="20"/>
                <w:szCs w:val="20"/>
              </w:rPr>
              <w:t>农村公益事业滚动项目库</w:t>
            </w:r>
            <w:r>
              <w:rPr>
                <w:rFonts w:ascii="仿宋" w:eastAsia="仿宋" w:cs="仿宋" w:hint="eastAsia"/>
                <w:color w:val="000000"/>
                <w:kern w:val="0"/>
                <w:sz w:val="20"/>
                <w:szCs w:val="20"/>
              </w:rPr>
              <w:t>基本建立，得满分；未完成不得分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基本建立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0"/>
                <w:szCs w:val="20"/>
              </w:rPr>
            </w:pPr>
          </w:p>
        </w:tc>
      </w:tr>
      <w:tr w:rsidR="00202EA2" w:rsidTr="00202EA2">
        <w:trPr>
          <w:trHeight w:val="285"/>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EA2" w:rsidRDefault="00202EA2" w:rsidP="00202EA2">
            <w:pPr>
              <w:widowControl/>
              <w:jc w:val="center"/>
              <w:textAlignment w:val="center"/>
              <w:rPr>
                <w:rFonts w:ascii="仿宋" w:eastAsia="仿宋" w:cs="仿宋"/>
                <w:b/>
                <w:bCs/>
                <w:color w:val="000000"/>
                <w:kern w:val="0"/>
                <w:sz w:val="24"/>
                <w:szCs w:val="24"/>
              </w:rPr>
            </w:pPr>
            <w:r>
              <w:rPr>
                <w:rFonts w:ascii="仿宋" w:eastAsia="仿宋" w:cs="仿宋" w:hint="eastAsia"/>
                <w:b/>
                <w:bCs/>
                <w:color w:val="000000"/>
                <w:kern w:val="0"/>
                <w:sz w:val="24"/>
                <w:szCs w:val="24"/>
              </w:rPr>
              <w:t>满意度</w:t>
            </w:r>
          </w:p>
          <w:p w:rsidR="00202EA2" w:rsidRDefault="00202EA2" w:rsidP="00202EA2">
            <w:pPr>
              <w:widowControl/>
              <w:jc w:val="center"/>
              <w:textAlignment w:val="center"/>
              <w:rPr>
                <w:rFonts w:ascii="仿宋" w:eastAsia="仿宋" w:cs="仿宋"/>
                <w:b/>
                <w:bCs/>
                <w:color w:val="000000"/>
                <w:kern w:val="0"/>
                <w:sz w:val="24"/>
                <w:szCs w:val="24"/>
              </w:rPr>
            </w:pPr>
            <w:r>
              <w:rPr>
                <w:rFonts w:ascii="仿宋" w:eastAsia="仿宋" w:cs="仿宋" w:hint="eastAsia"/>
                <w:b/>
                <w:bCs/>
                <w:color w:val="000000"/>
                <w:kern w:val="0"/>
                <w:sz w:val="24"/>
                <w:szCs w:val="24"/>
              </w:rPr>
              <w:t>（4分）</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r>
              <w:rPr>
                <w:rFonts w:ascii="仿宋" w:eastAsia="仿宋" w:cs="仿宋" w:hint="eastAsia"/>
                <w:color w:val="000000"/>
                <w:sz w:val="24"/>
              </w:rPr>
              <w:t>服务对象满意度</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left"/>
              <w:rPr>
                <w:rFonts w:ascii="仿宋" w:eastAsia="仿宋" w:cs="仿宋"/>
                <w:color w:val="000000"/>
                <w:kern w:val="0"/>
                <w:sz w:val="20"/>
                <w:szCs w:val="20"/>
              </w:rPr>
            </w:pPr>
            <w:r>
              <w:rPr>
                <w:rFonts w:ascii="仿宋" w:eastAsia="仿宋" w:cs="仿宋" w:hint="eastAsia"/>
                <w:color w:val="000000"/>
                <w:kern w:val="0"/>
                <w:sz w:val="20"/>
                <w:szCs w:val="20"/>
              </w:rPr>
              <w:t>农村低收入人口满意度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0"/>
                <w:szCs w:val="20"/>
              </w:rPr>
            </w:pPr>
            <w:r>
              <w:rPr>
                <w:rFonts w:ascii="仿宋" w:eastAsia="仿宋" w:cs="仿宋" w:hint="eastAsia"/>
                <w:color w:val="000000"/>
                <w:kern w:val="0"/>
                <w:sz w:val="20"/>
                <w:szCs w:val="20"/>
              </w:rPr>
              <w:t>≥90分，得满分；未完成按比例扣分</w:t>
            </w:r>
          </w:p>
        </w:tc>
        <w:tc>
          <w:tcPr>
            <w:tcW w:w="1560" w:type="dxa"/>
            <w:tcBorders>
              <w:top w:val="single" w:sz="4" w:space="0" w:color="000000"/>
              <w:left w:val="single" w:sz="4" w:space="0" w:color="000000"/>
              <w:bottom w:val="single" w:sz="4" w:space="0" w:color="000000"/>
              <w:right w:val="single" w:sz="4" w:space="0" w:color="000000"/>
            </w:tcBorders>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88.76%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3.94</w:t>
            </w:r>
          </w:p>
        </w:tc>
        <w:tc>
          <w:tcPr>
            <w:tcW w:w="1951" w:type="dxa"/>
            <w:tcBorders>
              <w:top w:val="single" w:sz="4" w:space="0" w:color="000000"/>
              <w:left w:val="single" w:sz="4" w:space="0" w:color="000000"/>
              <w:bottom w:val="single" w:sz="4" w:space="0" w:color="000000"/>
              <w:right w:val="single" w:sz="4" w:space="0" w:color="000000"/>
            </w:tcBorders>
          </w:tcPr>
          <w:p w:rsidR="00202EA2" w:rsidRDefault="0007319B" w:rsidP="00202EA2">
            <w:pPr>
              <w:jc w:val="center"/>
              <w:rPr>
                <w:rFonts w:ascii="仿宋" w:eastAsia="仿宋" w:cs="仿宋"/>
                <w:color w:val="000000"/>
                <w:kern w:val="0"/>
                <w:sz w:val="20"/>
                <w:szCs w:val="20"/>
              </w:rPr>
            </w:pPr>
            <w:r>
              <w:rPr>
                <w:rFonts w:ascii="仿宋" w:eastAsia="仿宋" w:cs="仿宋" w:hint="eastAsia"/>
                <w:color w:val="000000"/>
                <w:kern w:val="0"/>
                <w:sz w:val="20"/>
                <w:szCs w:val="20"/>
              </w:rPr>
              <w:t>满意度88.76分</w:t>
            </w:r>
          </w:p>
        </w:tc>
      </w:tr>
      <w:tr w:rsidR="00202EA2" w:rsidTr="00202EA2">
        <w:trPr>
          <w:trHeight w:val="285"/>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lastRenderedPageBreak/>
              <w:t>加减分项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sz w:val="24"/>
              </w:rPr>
            </w:pPr>
            <w:r>
              <w:rPr>
                <w:rFonts w:ascii="仿宋" w:eastAsia="仿宋" w:cs="仿宋" w:hint="eastAsia"/>
                <w:color w:val="000000"/>
                <w:kern w:val="0"/>
                <w:sz w:val="24"/>
                <w:szCs w:val="24"/>
              </w:rPr>
              <w:t>加分项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2"/>
              </w:rPr>
            </w:pPr>
            <w:r>
              <w:rPr>
                <w:rFonts w:ascii="仿宋" w:eastAsia="仿宋" w:cs="仿宋" w:hint="eastAsia"/>
                <w:color w:val="000000"/>
                <w:kern w:val="0"/>
                <w:sz w:val="22"/>
              </w:rPr>
              <w:t>受到嘉奖</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2"/>
              </w:rPr>
            </w:pPr>
            <w:r>
              <w:rPr>
                <w:rFonts w:ascii="仿宋" w:eastAsia="仿宋" w:cs="仿宋" w:hint="eastAsia"/>
                <w:color w:val="000000"/>
                <w:kern w:val="0"/>
                <w:sz w:val="22"/>
              </w:rPr>
              <w:t>每获一项得1分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2"/>
              </w:rPr>
            </w:pPr>
          </w:p>
        </w:tc>
      </w:tr>
      <w:tr w:rsidR="00202EA2" w:rsidTr="00202EA2">
        <w:trPr>
          <w:trHeight w:val="285"/>
        </w:trPr>
        <w:tc>
          <w:tcPr>
            <w:tcW w:w="12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EA2" w:rsidRDefault="00202EA2" w:rsidP="00202EA2"/>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sz w:val="24"/>
              </w:rPr>
            </w:pPr>
            <w:r>
              <w:rPr>
                <w:rFonts w:ascii="仿宋" w:eastAsia="仿宋" w:cs="仿宋" w:hint="eastAsia"/>
                <w:color w:val="000000"/>
                <w:kern w:val="0"/>
                <w:sz w:val="24"/>
                <w:szCs w:val="24"/>
              </w:rPr>
              <w:t>减分项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2"/>
              </w:rPr>
            </w:pPr>
            <w:r>
              <w:rPr>
                <w:rFonts w:ascii="仿宋" w:eastAsia="仿宋" w:cs="仿宋" w:hint="eastAsia"/>
                <w:color w:val="000000"/>
                <w:kern w:val="0"/>
                <w:sz w:val="22"/>
              </w:rPr>
              <w:t>违法违纪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left"/>
              <w:textAlignment w:val="center"/>
              <w:rPr>
                <w:rFonts w:ascii="仿宋" w:eastAsia="仿宋" w:cs="仿宋"/>
                <w:color w:val="000000"/>
                <w:kern w:val="0"/>
                <w:sz w:val="22"/>
              </w:rPr>
            </w:pPr>
            <w:r>
              <w:rPr>
                <w:rFonts w:ascii="仿宋" w:eastAsia="仿宋" w:cs="仿宋" w:hint="eastAsia"/>
                <w:color w:val="000000"/>
                <w:kern w:val="0"/>
                <w:sz w:val="22"/>
              </w:rPr>
              <w:t>每通报一次扣1分</w:t>
            </w: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kern w:val="0"/>
                <w:sz w:val="22"/>
              </w:rPr>
            </w:pP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jc w:val="center"/>
              <w:rPr>
                <w:rFonts w:ascii="仿宋" w:eastAsia="仿宋" w:cs="仿宋"/>
                <w:color w:val="000000"/>
                <w:kern w:val="0"/>
                <w:sz w:val="22"/>
              </w:rPr>
            </w:pPr>
          </w:p>
        </w:tc>
      </w:tr>
      <w:tr w:rsidR="00202EA2" w:rsidTr="00202EA2">
        <w:trPr>
          <w:trHeight w:val="285"/>
        </w:trPr>
        <w:tc>
          <w:tcPr>
            <w:tcW w:w="57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b/>
                <w:bCs/>
                <w:color w:val="000000"/>
                <w:sz w:val="24"/>
              </w:rPr>
            </w:pPr>
            <w:r>
              <w:rPr>
                <w:rFonts w:ascii="仿宋" w:eastAsia="仿宋" w:cs="仿宋" w:hint="eastAsia"/>
                <w:b/>
                <w:bCs/>
                <w:color w:val="000000"/>
                <w:kern w:val="0"/>
                <w:sz w:val="24"/>
                <w:szCs w:val="24"/>
              </w:rPr>
              <w:t>合  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sz w:val="24"/>
              </w:rPr>
            </w:pPr>
            <w:r>
              <w:rPr>
                <w:rFonts w:ascii="仿宋" w:eastAsia="仿宋" w:cs="仿宋" w:hint="eastAsia"/>
                <w:color w:val="000000"/>
                <w:kern w:val="0"/>
                <w:sz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jc w:val="center"/>
              <w:rPr>
                <w:rFonts w:ascii="仿宋" w:eastAsia="仿宋" w:cs="仿宋"/>
                <w:color w:val="000000"/>
                <w:sz w:val="24"/>
              </w:rPr>
            </w:pPr>
            <w:r>
              <w:rPr>
                <w:rFonts w:ascii="仿宋" w:eastAsia="仿宋" w:cs="仿宋" w:hint="eastAsia"/>
                <w:color w:val="000000"/>
                <w:kern w:val="0"/>
                <w:sz w:val="22"/>
              </w:rPr>
              <w:t>100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EA2" w:rsidRDefault="00202EA2" w:rsidP="00202EA2">
            <w:pPr>
              <w:widowControl/>
              <w:jc w:val="center"/>
              <w:textAlignment w:val="center"/>
              <w:rPr>
                <w:rFonts w:ascii="仿宋" w:eastAsia="仿宋" w:cs="仿宋"/>
                <w:color w:val="000000"/>
                <w:sz w:val="24"/>
              </w:rPr>
            </w:pPr>
          </w:p>
        </w:tc>
        <w:tc>
          <w:tcPr>
            <w:tcW w:w="1560"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02EA2" w:rsidRDefault="00202EA2" w:rsidP="00202EA2">
            <w:pPr>
              <w:widowControl/>
              <w:jc w:val="center"/>
              <w:textAlignment w:val="center"/>
              <w:rPr>
                <w:rFonts w:ascii="仿宋" w:eastAsia="仿宋" w:cs="仿宋"/>
                <w:color w:val="000000"/>
                <w:kern w:val="0"/>
                <w:sz w:val="22"/>
              </w:rPr>
            </w:pPr>
            <w:r>
              <w:rPr>
                <w:rFonts w:ascii="仿宋" w:eastAsia="仿宋" w:cs="仿宋" w:hint="eastAsia"/>
                <w:color w:val="000000"/>
                <w:kern w:val="0"/>
                <w:sz w:val="22"/>
              </w:rPr>
              <w:t>95.15</w:t>
            </w:r>
          </w:p>
        </w:tc>
        <w:tc>
          <w:tcPr>
            <w:tcW w:w="1951" w:type="dxa"/>
            <w:tcBorders>
              <w:top w:val="single" w:sz="4" w:space="0" w:color="000000"/>
              <w:left w:val="single" w:sz="4" w:space="0" w:color="000000"/>
              <w:bottom w:val="single" w:sz="4" w:space="0" w:color="000000"/>
              <w:right w:val="single" w:sz="4" w:space="0" w:color="000000"/>
            </w:tcBorders>
          </w:tcPr>
          <w:p w:rsidR="00202EA2" w:rsidRDefault="00202EA2" w:rsidP="00202EA2">
            <w:pPr>
              <w:widowControl/>
              <w:jc w:val="center"/>
              <w:textAlignment w:val="center"/>
              <w:rPr>
                <w:rFonts w:ascii="仿宋" w:eastAsia="仿宋" w:cs="仿宋"/>
                <w:color w:val="000000"/>
                <w:kern w:val="0"/>
                <w:sz w:val="22"/>
              </w:rPr>
            </w:pPr>
          </w:p>
        </w:tc>
      </w:tr>
    </w:tbl>
    <w:p w:rsidR="00B04493" w:rsidRDefault="00B04493">
      <w:pPr>
        <w:spacing w:line="300" w:lineRule="exact"/>
        <w:rPr>
          <w:rFonts w:ascii="黑体" w:eastAsia="黑体"/>
          <w:sz w:val="28"/>
          <w:szCs w:val="28"/>
        </w:rPr>
      </w:pPr>
    </w:p>
    <w:p w:rsidR="00B04493" w:rsidRDefault="00B04493">
      <w:pPr>
        <w:spacing w:line="560" w:lineRule="exact"/>
        <w:rPr>
          <w:rFonts w:ascii="仿宋_GB2312" w:eastAsia="仿宋_GB2312"/>
          <w:sz w:val="32"/>
          <w:szCs w:val="32"/>
        </w:rPr>
      </w:pPr>
    </w:p>
    <w:bookmarkEnd w:id="0"/>
    <w:p w:rsidR="00B04493" w:rsidRDefault="00B04493">
      <w:pPr>
        <w:rPr>
          <w:rFonts w:ascii="仿宋_GB2312" w:eastAsia="仿宋_GB2312"/>
          <w:sz w:val="32"/>
          <w:szCs w:val="32"/>
        </w:rPr>
      </w:pPr>
    </w:p>
    <w:sectPr w:rsidR="00B04493">
      <w:pgSz w:w="16838" w:h="11906" w:orient="landscape"/>
      <w:pgMar w:top="1576" w:right="1440" w:bottom="1576"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7C" w:rsidRDefault="005F4C7C">
      <w:r>
        <w:separator/>
      </w:r>
    </w:p>
  </w:endnote>
  <w:endnote w:type="continuationSeparator" w:id="0">
    <w:p w:rsidR="005F4C7C" w:rsidRDefault="005F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94132"/>
      <w:docPartObj>
        <w:docPartGallery w:val="Page Numbers (Bottom of Page)"/>
        <w:docPartUnique/>
      </w:docPartObj>
    </w:sdtPr>
    <w:sdtEndPr>
      <w:rPr>
        <w:sz w:val="24"/>
        <w:szCs w:val="24"/>
      </w:rPr>
    </w:sdtEndPr>
    <w:sdtContent>
      <w:p w:rsidR="00EB5D33" w:rsidRDefault="00EB5D33">
        <w:pPr>
          <w:pStyle w:val="a4"/>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D3551D" w:rsidRPr="00D3551D">
          <w:rPr>
            <w:noProof/>
            <w:sz w:val="24"/>
            <w:szCs w:val="24"/>
            <w:lang w:val="zh-CN"/>
          </w:rPr>
          <w:t>21</w:t>
        </w:r>
        <w:r>
          <w:rPr>
            <w:sz w:val="24"/>
            <w:szCs w:val="24"/>
          </w:rPr>
          <w:fldChar w:fldCharType="end"/>
        </w:r>
      </w:p>
    </w:sdtContent>
  </w:sdt>
  <w:p w:rsidR="00EB5D33" w:rsidRDefault="00EB5D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7C" w:rsidRDefault="005F4C7C">
      <w:r>
        <w:separator/>
      </w:r>
    </w:p>
  </w:footnote>
  <w:footnote w:type="continuationSeparator" w:id="0">
    <w:p w:rsidR="005F4C7C" w:rsidRDefault="005F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33" w:rsidRDefault="00EB5D33">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70479"/>
    <w:multiLevelType w:val="hybridMultilevel"/>
    <w:tmpl w:val="D52C89A2"/>
    <w:lvl w:ilvl="0" w:tplc="BFE68CFA">
      <w:start w:val="1"/>
      <w:numFmt w:val="decimal"/>
      <w:lvlRestart w:val="0"/>
      <w:lvlText w:val="（%1）"/>
      <w:lvlJc w:val="left"/>
      <w:pPr>
        <w:tabs>
          <w:tab w:val="num" w:pos="0"/>
        </w:tabs>
        <w:ind w:left="1723" w:hanging="1080"/>
      </w:pPr>
      <w:rPr>
        <w:rFonts w:hint="default"/>
      </w:rPr>
    </w:lvl>
    <w:lvl w:ilvl="1" w:tplc="CE8EDC76">
      <w:start w:val="1"/>
      <w:numFmt w:val="lowerLetter"/>
      <w:lvlText w:val="%2)"/>
      <w:lvlJc w:val="left"/>
      <w:pPr>
        <w:tabs>
          <w:tab w:val="num" w:pos="0"/>
        </w:tabs>
        <w:ind w:left="1483" w:hanging="420"/>
      </w:pPr>
    </w:lvl>
    <w:lvl w:ilvl="2" w:tplc="13503694">
      <w:start w:val="1"/>
      <w:numFmt w:val="lowerRoman"/>
      <w:lvlText w:val="%3."/>
      <w:lvlJc w:val="right"/>
      <w:pPr>
        <w:tabs>
          <w:tab w:val="num" w:pos="0"/>
        </w:tabs>
        <w:ind w:left="1903" w:hanging="420"/>
      </w:pPr>
    </w:lvl>
    <w:lvl w:ilvl="3" w:tplc="374A9218">
      <w:start w:val="1"/>
      <w:numFmt w:val="decimal"/>
      <w:lvlText w:val="%4."/>
      <w:lvlJc w:val="left"/>
      <w:pPr>
        <w:tabs>
          <w:tab w:val="num" w:pos="0"/>
        </w:tabs>
        <w:ind w:left="2323" w:hanging="420"/>
      </w:pPr>
    </w:lvl>
    <w:lvl w:ilvl="4" w:tplc="36024544">
      <w:start w:val="1"/>
      <w:numFmt w:val="lowerLetter"/>
      <w:lvlText w:val="%5)"/>
      <w:lvlJc w:val="left"/>
      <w:pPr>
        <w:tabs>
          <w:tab w:val="num" w:pos="0"/>
        </w:tabs>
        <w:ind w:left="2743" w:hanging="420"/>
      </w:pPr>
    </w:lvl>
    <w:lvl w:ilvl="5" w:tplc="9DDA477C">
      <w:start w:val="1"/>
      <w:numFmt w:val="lowerRoman"/>
      <w:lvlText w:val="%6."/>
      <w:lvlJc w:val="right"/>
      <w:pPr>
        <w:tabs>
          <w:tab w:val="num" w:pos="0"/>
        </w:tabs>
        <w:ind w:left="3163" w:hanging="420"/>
      </w:pPr>
    </w:lvl>
    <w:lvl w:ilvl="6" w:tplc="E642129A">
      <w:start w:val="1"/>
      <w:numFmt w:val="decimal"/>
      <w:lvlText w:val="%7."/>
      <w:lvlJc w:val="left"/>
      <w:pPr>
        <w:tabs>
          <w:tab w:val="num" w:pos="0"/>
        </w:tabs>
        <w:ind w:left="3583" w:hanging="420"/>
      </w:pPr>
    </w:lvl>
    <w:lvl w:ilvl="7" w:tplc="0C7AF8EA">
      <w:start w:val="1"/>
      <w:numFmt w:val="lowerLetter"/>
      <w:lvlText w:val="%8)"/>
      <w:lvlJc w:val="left"/>
      <w:pPr>
        <w:tabs>
          <w:tab w:val="num" w:pos="0"/>
        </w:tabs>
        <w:ind w:left="4003" w:hanging="420"/>
      </w:pPr>
    </w:lvl>
    <w:lvl w:ilvl="8" w:tplc="D6FC294C">
      <w:start w:val="1"/>
      <w:numFmt w:val="lowerRoman"/>
      <w:lvlText w:val="%9."/>
      <w:lvlJc w:val="right"/>
      <w:pPr>
        <w:tabs>
          <w:tab w:val="num" w:pos="0"/>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kxMGIzNTA3Y2FjMDg2NjBjZDQzYmYyNDQwMTQ1NzAifQ=="/>
  </w:docVars>
  <w:rsids>
    <w:rsidRoot w:val="00B04493"/>
    <w:rsid w:val="0007319B"/>
    <w:rsid w:val="00202EA2"/>
    <w:rsid w:val="003A5248"/>
    <w:rsid w:val="003C6B3A"/>
    <w:rsid w:val="0049119A"/>
    <w:rsid w:val="005A56B8"/>
    <w:rsid w:val="005E0E6F"/>
    <w:rsid w:val="005F4C7C"/>
    <w:rsid w:val="00634B2C"/>
    <w:rsid w:val="006473F3"/>
    <w:rsid w:val="007564E7"/>
    <w:rsid w:val="00826811"/>
    <w:rsid w:val="008D247A"/>
    <w:rsid w:val="009175F5"/>
    <w:rsid w:val="00A74939"/>
    <w:rsid w:val="00AB23F8"/>
    <w:rsid w:val="00AC0693"/>
    <w:rsid w:val="00AC347C"/>
    <w:rsid w:val="00B04493"/>
    <w:rsid w:val="00B54841"/>
    <w:rsid w:val="00C25307"/>
    <w:rsid w:val="00D3551D"/>
    <w:rsid w:val="00DA2F45"/>
    <w:rsid w:val="00EB5D33"/>
    <w:rsid w:val="00F43113"/>
    <w:rsid w:val="00F7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
    <w:name w:val="正文-文本"/>
    <w:pPr>
      <w:spacing w:line="580" w:lineRule="exact"/>
      <w:ind w:firstLineChars="200" w:firstLine="200"/>
      <w:jc w:val="both"/>
    </w:pPr>
    <w:rPr>
      <w:rFonts w:eastAsia="仿宋_GB2312"/>
      <w:bCs/>
      <w:kern w:val="2"/>
      <w:sz w:val="32"/>
      <w:szCs w:val="32"/>
    </w:rPr>
  </w:style>
  <w:style w:type="paragraph" w:styleId="a6">
    <w:name w:val="Normal (Web)"/>
    <w:basedOn w:val="a"/>
    <w:pPr>
      <w:widowControl/>
      <w:spacing w:before="100" w:beforeAutospacing="1" w:after="100" w:afterAutospacing="1"/>
      <w:jc w:val="left"/>
    </w:pPr>
    <w:rPr>
      <w:rFonts w:ascii="宋体" w:cs="宋体"/>
      <w:kern w:val="0"/>
      <w:sz w:val="24"/>
      <w:szCs w:val="24"/>
    </w:rPr>
  </w:style>
  <w:style w:type="character" w:customStyle="1" w:styleId="font51">
    <w:name w:val="font51"/>
    <w:rPr>
      <w:rFonts w:ascii="仿宋" w:eastAsia="仿宋" w:cs="仿宋"/>
      <w:color w:val="000000"/>
      <w:sz w:val="21"/>
      <w:szCs w:val="21"/>
      <w:u w:val="none"/>
    </w:rPr>
  </w:style>
  <w:style w:type="paragraph" w:styleId="a7">
    <w:name w:val="annotation text"/>
    <w:basedOn w:val="a"/>
    <w:pPr>
      <w:jc w:val="left"/>
    </w:pPr>
  </w:style>
  <w:style w:type="paragraph" w:styleId="a8">
    <w:name w:val="annotation subject"/>
    <w:basedOn w:val="a7"/>
    <w:next w:val="a7"/>
    <w:rPr>
      <w:b/>
    </w:rPr>
  </w:style>
  <w:style w:type="character" w:styleId="a9">
    <w:name w:val="annotation reference"/>
    <w:basedOn w:val="a1"/>
    <w:uiPriority w:val="99"/>
    <w:semiHidden/>
    <w:unhideWhenUsed/>
    <w:rPr>
      <w:sz w:val="21"/>
      <w:szCs w:val="21"/>
    </w:rPr>
  </w:style>
  <w:style w:type="paragraph" w:styleId="aa">
    <w:name w:val="Balloon Text"/>
    <w:basedOn w:val="a"/>
    <w:link w:val="Char"/>
    <w:uiPriority w:val="99"/>
    <w:semiHidden/>
    <w:unhideWhenUsed/>
    <w:rsid w:val="00DA2F45"/>
    <w:rPr>
      <w:sz w:val="18"/>
      <w:szCs w:val="18"/>
    </w:rPr>
  </w:style>
  <w:style w:type="character" w:customStyle="1" w:styleId="Char">
    <w:name w:val="批注框文本 Char"/>
    <w:basedOn w:val="a1"/>
    <w:link w:val="aa"/>
    <w:uiPriority w:val="99"/>
    <w:semiHidden/>
    <w:rsid w:val="00DA2F45"/>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
    <w:name w:val="正文-文本"/>
    <w:pPr>
      <w:spacing w:line="580" w:lineRule="exact"/>
      <w:ind w:firstLineChars="200" w:firstLine="200"/>
      <w:jc w:val="both"/>
    </w:pPr>
    <w:rPr>
      <w:rFonts w:eastAsia="仿宋_GB2312"/>
      <w:bCs/>
      <w:kern w:val="2"/>
      <w:sz w:val="32"/>
      <w:szCs w:val="32"/>
    </w:rPr>
  </w:style>
  <w:style w:type="paragraph" w:styleId="a6">
    <w:name w:val="Normal (Web)"/>
    <w:basedOn w:val="a"/>
    <w:pPr>
      <w:widowControl/>
      <w:spacing w:before="100" w:beforeAutospacing="1" w:after="100" w:afterAutospacing="1"/>
      <w:jc w:val="left"/>
    </w:pPr>
    <w:rPr>
      <w:rFonts w:ascii="宋体" w:cs="宋体"/>
      <w:kern w:val="0"/>
      <w:sz w:val="24"/>
      <w:szCs w:val="24"/>
    </w:rPr>
  </w:style>
  <w:style w:type="character" w:customStyle="1" w:styleId="font51">
    <w:name w:val="font51"/>
    <w:rPr>
      <w:rFonts w:ascii="仿宋" w:eastAsia="仿宋" w:cs="仿宋"/>
      <w:color w:val="000000"/>
      <w:sz w:val="21"/>
      <w:szCs w:val="21"/>
      <w:u w:val="none"/>
    </w:rPr>
  </w:style>
  <w:style w:type="paragraph" w:styleId="a7">
    <w:name w:val="annotation text"/>
    <w:basedOn w:val="a"/>
    <w:pPr>
      <w:jc w:val="left"/>
    </w:pPr>
  </w:style>
  <w:style w:type="paragraph" w:styleId="a8">
    <w:name w:val="annotation subject"/>
    <w:basedOn w:val="a7"/>
    <w:next w:val="a7"/>
    <w:rPr>
      <w:b/>
    </w:rPr>
  </w:style>
  <w:style w:type="character" w:styleId="a9">
    <w:name w:val="annotation reference"/>
    <w:basedOn w:val="a1"/>
    <w:uiPriority w:val="99"/>
    <w:semiHidden/>
    <w:unhideWhenUsed/>
    <w:rPr>
      <w:sz w:val="21"/>
      <w:szCs w:val="21"/>
    </w:rPr>
  </w:style>
  <w:style w:type="paragraph" w:styleId="aa">
    <w:name w:val="Balloon Text"/>
    <w:basedOn w:val="a"/>
    <w:link w:val="Char"/>
    <w:uiPriority w:val="99"/>
    <w:semiHidden/>
    <w:unhideWhenUsed/>
    <w:rsid w:val="00DA2F45"/>
    <w:rPr>
      <w:sz w:val="18"/>
      <w:szCs w:val="18"/>
    </w:rPr>
  </w:style>
  <w:style w:type="character" w:customStyle="1" w:styleId="Char">
    <w:name w:val="批注框文本 Char"/>
    <w:basedOn w:val="a1"/>
    <w:link w:val="aa"/>
    <w:uiPriority w:val="99"/>
    <w:semiHidden/>
    <w:rsid w:val="00DA2F45"/>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2013</Words>
  <Characters>11477</Characters>
  <Application>Microsoft Office Word</Application>
  <DocSecurity>0</DocSecurity>
  <Lines>95</Lines>
  <Paragraphs>26</Paragraphs>
  <ScaleCrop>false</ScaleCrop>
  <Company>Microsoft</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2023-06-30T08:56:00Z</cp:lastPrinted>
  <dcterms:created xsi:type="dcterms:W3CDTF">2025-11-10T09:47:00Z</dcterms:created>
  <dcterms:modified xsi:type="dcterms:W3CDTF">2025-11-10T09:47:00Z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5E1CCE22749541F893245CD02F4669AA</vt:lpwstr>
  </property>
</Properties>
</file>