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51" w:rsidRDefault="00EF6E51">
      <w:pPr>
        <w:widowControl/>
        <w:spacing w:line="560" w:lineRule="exact"/>
        <w:jc w:val="center"/>
        <w:rPr>
          <w:rFonts w:ascii="黑体" w:eastAsia="黑体" w:hAnsi="黑体" w:cs="宋体"/>
          <w:color w:val="000000"/>
          <w:kern w:val="0"/>
          <w:sz w:val="44"/>
          <w:szCs w:val="44"/>
        </w:rPr>
      </w:pPr>
      <w:bookmarkStart w:id="0" w:name="OLE_LINK1"/>
    </w:p>
    <w:p w:rsidR="00EF6E51" w:rsidRDefault="00EF6E51">
      <w:pPr>
        <w:widowControl/>
        <w:spacing w:line="560" w:lineRule="exact"/>
        <w:jc w:val="center"/>
        <w:rPr>
          <w:rFonts w:ascii="黑体" w:eastAsia="黑体" w:hAnsi="黑体" w:cs="宋体"/>
          <w:color w:val="000000"/>
          <w:kern w:val="0"/>
          <w:sz w:val="44"/>
          <w:szCs w:val="44"/>
        </w:rPr>
      </w:pPr>
    </w:p>
    <w:p w:rsidR="00EF6E51" w:rsidRDefault="00987F30">
      <w:pPr>
        <w:widowControl/>
        <w:spacing w:line="560" w:lineRule="exact"/>
        <w:jc w:val="center"/>
        <w:rPr>
          <w:rFonts w:ascii="黑体" w:eastAsia="黑体" w:hAnsi="黑体" w:cs="宋体"/>
          <w:color w:val="000000"/>
          <w:kern w:val="0"/>
          <w:sz w:val="44"/>
          <w:szCs w:val="44"/>
        </w:rPr>
      </w:pPr>
      <w:r w:rsidRPr="00987F30">
        <w:rPr>
          <w:rFonts w:ascii="黑体" w:eastAsia="黑体" w:hAnsi="黑体" w:cs="宋体" w:hint="eastAsia"/>
          <w:color w:val="000000"/>
          <w:kern w:val="0"/>
          <w:sz w:val="44"/>
          <w:szCs w:val="44"/>
        </w:rPr>
        <w:t>2024年度南京市农业农村局创意休闲农业绩效评价报告</w:t>
      </w:r>
    </w:p>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EF6E51">
      <w:pPr>
        <w:pStyle w:val="1"/>
        <w:rPr>
          <w:rFonts w:hint="default"/>
        </w:rPr>
      </w:pPr>
    </w:p>
    <w:p w:rsidR="00EF6E51" w:rsidRDefault="00EF6E51"/>
    <w:p w:rsidR="00EF6E51" w:rsidRDefault="00EF6E51"/>
    <w:p w:rsidR="00EF6E51" w:rsidRDefault="00EF6E51">
      <w:pPr>
        <w:spacing w:line="560" w:lineRule="exact"/>
        <w:jc w:val="center"/>
        <w:rPr>
          <w:rFonts w:ascii="黑体" w:eastAsia="黑体" w:hAnsi="黑体" w:cs="黑体"/>
          <w:b/>
          <w:sz w:val="36"/>
          <w:szCs w:val="36"/>
        </w:rPr>
      </w:pPr>
    </w:p>
    <w:p w:rsidR="00EF6E51" w:rsidRDefault="00EF6E51">
      <w:pPr>
        <w:spacing w:line="560" w:lineRule="exact"/>
        <w:jc w:val="center"/>
        <w:rPr>
          <w:rFonts w:ascii="黑体" w:eastAsia="黑体" w:hAnsi="黑体" w:cs="黑体"/>
          <w:b/>
          <w:sz w:val="36"/>
          <w:szCs w:val="36"/>
        </w:rPr>
      </w:pPr>
    </w:p>
    <w:p w:rsidR="00EF6E51" w:rsidRDefault="002230F8">
      <w:pPr>
        <w:spacing w:line="560" w:lineRule="exact"/>
        <w:ind w:firstLineChars="500" w:firstLine="1500"/>
        <w:rPr>
          <w:rFonts w:ascii="黑体" w:eastAsia="黑体" w:hAnsi="黑体" w:cs="黑体"/>
          <w:sz w:val="30"/>
          <w:szCs w:val="30"/>
        </w:rPr>
      </w:pPr>
      <w:r>
        <w:rPr>
          <w:rFonts w:ascii="黑体" w:eastAsia="黑体" w:hAnsi="黑体" w:cs="黑体" w:hint="eastAsia"/>
          <w:sz w:val="30"/>
          <w:szCs w:val="30"/>
        </w:rPr>
        <w:t>项目名称：2024年南京市创意休闲农业项目</w:t>
      </w:r>
    </w:p>
    <w:p w:rsidR="00EF6E51" w:rsidRDefault="002230F8">
      <w:pPr>
        <w:spacing w:line="560" w:lineRule="exact"/>
        <w:ind w:firstLineChars="500" w:firstLine="1500"/>
        <w:rPr>
          <w:rFonts w:ascii="黑体" w:eastAsia="黑体" w:hAnsi="黑体" w:cs="黑体"/>
          <w:sz w:val="30"/>
          <w:szCs w:val="30"/>
        </w:rPr>
      </w:pPr>
      <w:r>
        <w:rPr>
          <w:rFonts w:ascii="黑体" w:eastAsia="黑体" w:hAnsi="黑体" w:cs="黑体" w:hint="eastAsia"/>
          <w:sz w:val="30"/>
          <w:szCs w:val="30"/>
        </w:rPr>
        <w:t>主管单位：南京市农业农村局</w:t>
      </w:r>
    </w:p>
    <w:p w:rsidR="00EF6E51" w:rsidRDefault="00EF6E51">
      <w:pPr>
        <w:pStyle w:val="a7"/>
        <w:spacing w:line="560" w:lineRule="exact"/>
        <w:ind w:left="420"/>
        <w:rPr>
          <w:rFonts w:ascii="黑体" w:eastAsia="黑体" w:hAnsi="黑体" w:cs="黑体"/>
          <w:sz w:val="30"/>
          <w:szCs w:val="30"/>
        </w:rPr>
      </w:pPr>
    </w:p>
    <w:p w:rsidR="00EF6E51" w:rsidRDefault="00EF6E51">
      <w:pPr>
        <w:pStyle w:val="a7"/>
        <w:spacing w:line="560" w:lineRule="exact"/>
        <w:ind w:left="420"/>
        <w:rPr>
          <w:rFonts w:ascii="黑体" w:eastAsia="黑体" w:hAnsi="黑体" w:cs="黑体"/>
          <w:sz w:val="30"/>
          <w:szCs w:val="30"/>
        </w:rPr>
      </w:pPr>
    </w:p>
    <w:p w:rsidR="00EF6E51" w:rsidRDefault="00EF6E51">
      <w:pPr>
        <w:pStyle w:val="a7"/>
        <w:spacing w:line="560" w:lineRule="exact"/>
        <w:ind w:left="420"/>
        <w:rPr>
          <w:rFonts w:ascii="黑体" w:eastAsia="黑体" w:hAnsi="黑体" w:cs="黑体"/>
          <w:sz w:val="30"/>
          <w:szCs w:val="30"/>
        </w:rPr>
      </w:pPr>
    </w:p>
    <w:p w:rsidR="00EF6E51" w:rsidRDefault="00EF6E51">
      <w:pPr>
        <w:pStyle w:val="a7"/>
        <w:spacing w:line="560" w:lineRule="exact"/>
        <w:ind w:left="420"/>
        <w:rPr>
          <w:rFonts w:ascii="黑体" w:eastAsia="黑体" w:hAnsi="黑体" w:cs="黑体"/>
          <w:sz w:val="30"/>
          <w:szCs w:val="30"/>
        </w:rPr>
      </w:pPr>
    </w:p>
    <w:p w:rsidR="00EF6E51" w:rsidRDefault="002230F8">
      <w:pPr>
        <w:spacing w:line="560" w:lineRule="exact"/>
        <w:jc w:val="center"/>
        <w:rPr>
          <w:rFonts w:ascii="黑体" w:eastAsia="黑体" w:hAnsi="黑体" w:cs="黑体"/>
          <w:sz w:val="30"/>
          <w:szCs w:val="30"/>
        </w:rPr>
      </w:pPr>
      <w:r>
        <w:rPr>
          <w:rFonts w:ascii="黑体" w:eastAsia="黑体" w:hAnsi="黑体" w:cs="黑体" w:hint="eastAsia"/>
          <w:sz w:val="30"/>
          <w:szCs w:val="30"/>
        </w:rPr>
        <w:t>2024年6月</w:t>
      </w:r>
    </w:p>
    <w:p w:rsidR="00EF6E51" w:rsidRDefault="00EF6E51">
      <w:pPr>
        <w:jc w:val="center"/>
        <w:rPr>
          <w:rFonts w:ascii="宋体" w:hAnsi="宋体"/>
        </w:rPr>
      </w:pPr>
    </w:p>
    <w:p w:rsidR="00EF6E51" w:rsidRDefault="00EF6E51">
      <w:pPr>
        <w:jc w:val="center"/>
        <w:rPr>
          <w:rFonts w:ascii="仿宋" w:eastAsia="仿宋" w:hAnsi="仿宋" w:cs="仿宋"/>
          <w:b/>
          <w:bCs/>
          <w:sz w:val="32"/>
          <w:szCs w:val="32"/>
        </w:rPr>
      </w:pPr>
    </w:p>
    <w:p w:rsidR="00EF6E51" w:rsidRDefault="00EF6E51">
      <w:pPr>
        <w:pStyle w:val="WPSOffice1"/>
        <w:tabs>
          <w:tab w:val="right" w:leader="dot" w:pos="8312"/>
        </w:tabs>
        <w:spacing w:line="360" w:lineRule="auto"/>
        <w:jc w:val="center"/>
        <w:rPr>
          <w:rFonts w:ascii="仿宋" w:eastAsia="仿宋" w:hAnsi="仿宋" w:cs="仿宋"/>
          <w:b/>
          <w:sz w:val="32"/>
          <w:szCs w:val="32"/>
        </w:rPr>
      </w:pPr>
    </w:p>
    <w:p w:rsidR="00EF6E51" w:rsidRDefault="002230F8">
      <w:pPr>
        <w:pStyle w:val="WPSOffice1"/>
        <w:tabs>
          <w:tab w:val="right" w:leader="dot" w:pos="8312"/>
        </w:tabs>
        <w:spacing w:line="360" w:lineRule="auto"/>
        <w:jc w:val="center"/>
        <w:rPr>
          <w:rFonts w:ascii="仿宋" w:eastAsia="仿宋" w:hAnsi="仿宋" w:cs="仿宋"/>
          <w:b/>
          <w:sz w:val="32"/>
          <w:szCs w:val="32"/>
        </w:rPr>
      </w:pPr>
      <w:r>
        <w:rPr>
          <w:rFonts w:ascii="仿宋" w:eastAsia="仿宋" w:hAnsi="仿宋" w:cs="仿宋" w:hint="eastAsia"/>
          <w:b/>
          <w:sz w:val="32"/>
          <w:szCs w:val="32"/>
        </w:rPr>
        <w:lastRenderedPageBreak/>
        <w:t>目 录</w:t>
      </w:r>
    </w:p>
    <w:p w:rsidR="00EF6E51" w:rsidRDefault="002230F8">
      <w:pPr>
        <w:pStyle w:val="10"/>
        <w:tabs>
          <w:tab w:val="right" w:leader="dot" w:pos="8302"/>
        </w:tabs>
        <w:rPr>
          <w:rFonts w:ascii="Calibri" w:hAnsi="Calibri"/>
          <w:szCs w:val="22"/>
        </w:rPr>
      </w:pPr>
      <w:r>
        <w:rPr>
          <w:rFonts w:ascii="仿宋" w:eastAsia="仿宋" w:hAnsi="仿宋" w:cs="仿宋" w:hint="eastAsia"/>
          <w:b/>
          <w:bCs/>
          <w:sz w:val="24"/>
          <w:szCs w:val="32"/>
        </w:rPr>
        <w:fldChar w:fldCharType="begin"/>
      </w:r>
      <w:r>
        <w:rPr>
          <w:rFonts w:ascii="仿宋" w:eastAsia="仿宋" w:hAnsi="仿宋" w:cs="仿宋" w:hint="eastAsia"/>
          <w:b/>
          <w:bCs/>
          <w:sz w:val="24"/>
          <w:szCs w:val="32"/>
        </w:rPr>
        <w:instrText xml:space="preserve">TOC \o "1-2" \h \u </w:instrText>
      </w:r>
      <w:r>
        <w:rPr>
          <w:rFonts w:ascii="仿宋" w:eastAsia="仿宋" w:hAnsi="仿宋" w:cs="仿宋" w:hint="eastAsia"/>
          <w:b/>
          <w:bCs/>
          <w:sz w:val="24"/>
          <w:szCs w:val="32"/>
        </w:rPr>
        <w:fldChar w:fldCharType="separate"/>
      </w:r>
    </w:p>
    <w:p w:rsidR="00EF6E51" w:rsidRDefault="004D2426">
      <w:pPr>
        <w:pStyle w:val="10"/>
        <w:tabs>
          <w:tab w:val="right" w:leader="dot" w:pos="8302"/>
        </w:tabs>
        <w:rPr>
          <w:rFonts w:ascii="Calibri" w:hAnsi="Calibri"/>
          <w:szCs w:val="22"/>
        </w:rPr>
      </w:pPr>
      <w:hyperlink w:anchor="_Toc139442027" w:history="1">
        <w:r w:rsidR="002230F8">
          <w:rPr>
            <w:rStyle w:val="a6"/>
            <w:rFonts w:ascii="黑体" w:eastAsia="黑体" w:hAnsi="黑体" w:cs="仿宋" w:hint="eastAsia"/>
            <w:bCs/>
          </w:rPr>
          <w:t>一、项目概况</w:t>
        </w:r>
        <w:r w:rsidR="002230F8">
          <w:tab/>
        </w:r>
        <w:r w:rsidR="002230F8">
          <w:fldChar w:fldCharType="begin"/>
        </w:r>
        <w:r w:rsidR="002230F8">
          <w:instrText xml:space="preserve"> PAGEREF _Toc139442027 \h </w:instrText>
        </w:r>
        <w:r w:rsidR="002230F8">
          <w:fldChar w:fldCharType="separate"/>
        </w:r>
        <w:r w:rsidR="002230F8">
          <w:t>1</w:t>
        </w:r>
        <w:r w:rsidR="002230F8">
          <w:fldChar w:fldCharType="end"/>
        </w:r>
      </w:hyperlink>
    </w:p>
    <w:p w:rsidR="00EF6E51" w:rsidRDefault="004D2426">
      <w:pPr>
        <w:pStyle w:val="2"/>
        <w:tabs>
          <w:tab w:val="right" w:leader="dot" w:pos="8302"/>
        </w:tabs>
        <w:rPr>
          <w:rFonts w:ascii="Calibri" w:hAnsi="Calibri"/>
          <w:szCs w:val="22"/>
        </w:rPr>
      </w:pPr>
      <w:hyperlink w:anchor="_Toc139442028" w:history="1">
        <w:r w:rsidR="002230F8">
          <w:rPr>
            <w:rStyle w:val="a6"/>
            <w:rFonts w:ascii="楷体" w:eastAsia="楷体" w:hAnsi="楷体" w:cs="仿宋" w:hint="eastAsia"/>
            <w:bCs/>
          </w:rPr>
          <w:t>（一）项目基本情况</w:t>
        </w:r>
        <w:r w:rsidR="002230F8">
          <w:tab/>
        </w:r>
        <w:r w:rsidR="002230F8">
          <w:fldChar w:fldCharType="begin"/>
        </w:r>
        <w:r w:rsidR="002230F8">
          <w:instrText xml:space="preserve"> PAGEREF _Toc139442028 \h </w:instrText>
        </w:r>
        <w:r w:rsidR="002230F8">
          <w:fldChar w:fldCharType="separate"/>
        </w:r>
        <w:r w:rsidR="002230F8">
          <w:t>1</w:t>
        </w:r>
        <w:r w:rsidR="002230F8">
          <w:fldChar w:fldCharType="end"/>
        </w:r>
      </w:hyperlink>
    </w:p>
    <w:p w:rsidR="00EF6E51" w:rsidRDefault="004D2426">
      <w:pPr>
        <w:pStyle w:val="2"/>
        <w:tabs>
          <w:tab w:val="right" w:leader="dot" w:pos="8302"/>
        </w:tabs>
        <w:rPr>
          <w:rFonts w:ascii="Calibri" w:hAnsi="Calibri"/>
          <w:szCs w:val="22"/>
        </w:rPr>
      </w:pPr>
      <w:hyperlink w:anchor="_Toc139442029" w:history="1">
        <w:r w:rsidR="002230F8">
          <w:rPr>
            <w:rStyle w:val="a6"/>
            <w:rFonts w:ascii="楷体" w:eastAsia="楷体" w:hAnsi="楷体" w:cs="仿宋" w:hint="eastAsia"/>
            <w:bCs/>
          </w:rPr>
          <w:t>（二）项目资金情况</w:t>
        </w:r>
        <w:r w:rsidR="002230F8">
          <w:tab/>
        </w:r>
        <w:r w:rsidR="002230F8">
          <w:rPr>
            <w:rFonts w:hint="eastAsia"/>
          </w:rPr>
          <w:t>2</w:t>
        </w:r>
      </w:hyperlink>
    </w:p>
    <w:p w:rsidR="00EF6E51" w:rsidRDefault="004D2426">
      <w:pPr>
        <w:pStyle w:val="2"/>
        <w:tabs>
          <w:tab w:val="right" w:leader="dot" w:pos="8302"/>
        </w:tabs>
        <w:rPr>
          <w:rFonts w:ascii="Calibri" w:hAnsi="Calibri"/>
          <w:szCs w:val="22"/>
        </w:rPr>
      </w:pPr>
      <w:hyperlink w:anchor="_Toc139442030" w:history="1">
        <w:r w:rsidR="002230F8">
          <w:rPr>
            <w:rStyle w:val="a6"/>
            <w:rFonts w:ascii="楷体" w:eastAsia="楷体" w:hAnsi="楷体" w:cs="仿宋" w:hint="eastAsia"/>
            <w:bCs/>
          </w:rPr>
          <w:t>（三）项目绩效目标</w:t>
        </w:r>
        <w:r w:rsidR="002230F8">
          <w:tab/>
        </w:r>
        <w:r w:rsidR="002230F8">
          <w:rPr>
            <w:rFonts w:hint="eastAsia"/>
          </w:rPr>
          <w:t>3</w:t>
        </w:r>
      </w:hyperlink>
    </w:p>
    <w:p w:rsidR="00EF6E51" w:rsidRDefault="004D2426">
      <w:pPr>
        <w:pStyle w:val="10"/>
        <w:tabs>
          <w:tab w:val="right" w:leader="dot" w:pos="8302"/>
        </w:tabs>
        <w:rPr>
          <w:rFonts w:ascii="Calibri" w:hAnsi="Calibri"/>
          <w:szCs w:val="22"/>
        </w:rPr>
      </w:pPr>
      <w:hyperlink w:anchor="_Toc139442031" w:history="1">
        <w:r w:rsidR="002230F8">
          <w:rPr>
            <w:rStyle w:val="a6"/>
            <w:rFonts w:ascii="黑体" w:eastAsia="黑体" w:hAnsi="黑体" w:cs="仿宋" w:hint="eastAsia"/>
            <w:bCs/>
          </w:rPr>
          <w:t>二、评价结论</w:t>
        </w:r>
        <w:r w:rsidR="002230F8">
          <w:tab/>
        </w:r>
      </w:hyperlink>
      <w:r w:rsidR="002230F8">
        <w:rPr>
          <w:rStyle w:val="a6"/>
          <w:rFonts w:hint="eastAsia"/>
        </w:rPr>
        <w:t>8</w:t>
      </w:r>
    </w:p>
    <w:p w:rsidR="00EF6E51" w:rsidRDefault="004D2426">
      <w:pPr>
        <w:pStyle w:val="2"/>
        <w:tabs>
          <w:tab w:val="right" w:leader="dot" w:pos="8302"/>
        </w:tabs>
        <w:rPr>
          <w:rFonts w:ascii="Calibri" w:hAnsi="Calibri"/>
          <w:szCs w:val="22"/>
        </w:rPr>
      </w:pPr>
      <w:hyperlink w:anchor="_Toc139442033" w:history="1">
        <w:r w:rsidR="002230F8">
          <w:rPr>
            <w:rStyle w:val="a6"/>
            <w:rFonts w:ascii="楷体" w:eastAsia="楷体" w:hAnsi="楷体" w:cs="仿宋" w:hint="eastAsia"/>
            <w:bCs/>
          </w:rPr>
          <w:t>（一）培育了一批休闲农业精品</w:t>
        </w:r>
        <w:r w:rsidR="002230F8">
          <w:tab/>
        </w:r>
        <w:r w:rsidR="002230F8">
          <w:rPr>
            <w:rFonts w:hint="eastAsia"/>
          </w:rPr>
          <w:t>1</w:t>
        </w:r>
      </w:hyperlink>
      <w:r w:rsidR="002230F8">
        <w:rPr>
          <w:rStyle w:val="a6"/>
          <w:rFonts w:hint="eastAsia"/>
        </w:rPr>
        <w:t>2</w:t>
      </w:r>
    </w:p>
    <w:p w:rsidR="00EF6E51" w:rsidRDefault="004D2426">
      <w:pPr>
        <w:pStyle w:val="2"/>
        <w:tabs>
          <w:tab w:val="right" w:leader="dot" w:pos="8302"/>
        </w:tabs>
        <w:rPr>
          <w:rFonts w:ascii="Calibri" w:hAnsi="Calibri"/>
          <w:szCs w:val="22"/>
        </w:rPr>
      </w:pPr>
      <w:hyperlink w:anchor="_Toc139442034" w:history="1">
        <w:r w:rsidR="002230F8">
          <w:rPr>
            <w:rStyle w:val="a6"/>
            <w:rFonts w:ascii="楷体" w:eastAsia="楷体" w:hAnsi="楷体" w:cs="仿宋" w:hint="eastAsia"/>
            <w:bCs/>
          </w:rPr>
          <w:t>（二）休闲农业功能不断拓展</w:t>
        </w:r>
        <w:r w:rsidR="002230F8">
          <w:tab/>
        </w:r>
        <w:r w:rsidR="002230F8">
          <w:rPr>
            <w:rFonts w:hint="eastAsia"/>
          </w:rPr>
          <w:t>1</w:t>
        </w:r>
      </w:hyperlink>
      <w:r w:rsidR="002230F8">
        <w:rPr>
          <w:rStyle w:val="a6"/>
          <w:rFonts w:hint="eastAsia"/>
        </w:rPr>
        <w:t>2</w:t>
      </w:r>
    </w:p>
    <w:p w:rsidR="00EF6E51" w:rsidRDefault="004D2426">
      <w:pPr>
        <w:pStyle w:val="2"/>
        <w:tabs>
          <w:tab w:val="right" w:leader="dot" w:pos="8302"/>
        </w:tabs>
        <w:rPr>
          <w:rFonts w:ascii="Calibri" w:hAnsi="Calibri"/>
          <w:szCs w:val="22"/>
        </w:rPr>
      </w:pPr>
      <w:hyperlink w:anchor="_Toc139442035" w:history="1">
        <w:r w:rsidR="002230F8">
          <w:rPr>
            <w:rStyle w:val="a6"/>
            <w:rFonts w:ascii="楷体" w:eastAsia="楷体" w:hAnsi="楷体" w:cs="仿宋" w:hint="eastAsia"/>
            <w:bCs/>
          </w:rPr>
          <w:t>（三）农业嘉年华影响力不断增强</w:t>
        </w:r>
        <w:r w:rsidR="002230F8">
          <w:tab/>
        </w:r>
        <w:r w:rsidR="002230F8">
          <w:rPr>
            <w:rFonts w:hint="eastAsia"/>
          </w:rPr>
          <w:t>1</w:t>
        </w:r>
      </w:hyperlink>
      <w:r w:rsidR="002230F8">
        <w:rPr>
          <w:rStyle w:val="a6"/>
          <w:rFonts w:hint="eastAsia"/>
        </w:rPr>
        <w:t>3</w:t>
      </w:r>
    </w:p>
    <w:p w:rsidR="00EF6E51" w:rsidRDefault="004D2426">
      <w:pPr>
        <w:pStyle w:val="10"/>
        <w:tabs>
          <w:tab w:val="right" w:leader="dot" w:pos="8302"/>
        </w:tabs>
        <w:rPr>
          <w:rFonts w:ascii="Calibri" w:hAnsi="Calibri"/>
          <w:szCs w:val="22"/>
        </w:rPr>
      </w:pPr>
      <w:hyperlink w:anchor="_Toc139442036" w:history="1">
        <w:r w:rsidR="002230F8">
          <w:rPr>
            <w:rStyle w:val="a6"/>
            <w:rFonts w:ascii="黑体" w:eastAsia="黑体" w:hAnsi="黑体" w:cs="仿宋" w:hint="eastAsia"/>
            <w:bCs/>
          </w:rPr>
          <w:t>四、存在的问题</w:t>
        </w:r>
        <w:r w:rsidR="002230F8">
          <w:tab/>
        </w:r>
        <w:r w:rsidR="002230F8">
          <w:rPr>
            <w:rFonts w:hint="eastAsia"/>
          </w:rPr>
          <w:t>1</w:t>
        </w:r>
      </w:hyperlink>
      <w:r w:rsidR="002230F8">
        <w:rPr>
          <w:rStyle w:val="a6"/>
          <w:rFonts w:hint="eastAsia"/>
        </w:rPr>
        <w:t>3</w:t>
      </w:r>
    </w:p>
    <w:p w:rsidR="00EF6E51" w:rsidRDefault="004D2426">
      <w:pPr>
        <w:pStyle w:val="2"/>
        <w:tabs>
          <w:tab w:val="right" w:leader="dot" w:pos="8302"/>
        </w:tabs>
        <w:rPr>
          <w:rFonts w:ascii="Calibri" w:hAnsi="Calibri"/>
          <w:szCs w:val="22"/>
        </w:rPr>
      </w:pPr>
      <w:hyperlink w:anchor="_Toc139442037" w:history="1">
        <w:r w:rsidR="002230F8">
          <w:rPr>
            <w:rStyle w:val="a6"/>
            <w:rFonts w:ascii="楷体" w:eastAsia="楷体" w:hAnsi="楷体" w:cs="楷体" w:hint="eastAsia"/>
            <w:kern w:val="0"/>
          </w:rPr>
          <w:t>（一）资金拨付方式需进一步优化</w:t>
        </w:r>
        <w:r w:rsidR="002230F8">
          <w:tab/>
        </w:r>
        <w:r w:rsidR="002230F8">
          <w:rPr>
            <w:rFonts w:hint="eastAsia"/>
          </w:rPr>
          <w:t>1</w:t>
        </w:r>
      </w:hyperlink>
      <w:r w:rsidR="002230F8">
        <w:rPr>
          <w:rStyle w:val="a6"/>
          <w:rFonts w:hint="eastAsia"/>
        </w:rPr>
        <w:t>3</w:t>
      </w:r>
    </w:p>
    <w:p w:rsidR="00EF6E51" w:rsidRDefault="004D2426">
      <w:pPr>
        <w:pStyle w:val="2"/>
        <w:tabs>
          <w:tab w:val="right" w:leader="dot" w:pos="8302"/>
        </w:tabs>
        <w:rPr>
          <w:rFonts w:ascii="Calibri" w:hAnsi="Calibri"/>
          <w:szCs w:val="22"/>
        </w:rPr>
      </w:pPr>
      <w:hyperlink w:anchor="_Toc139442038" w:history="1">
        <w:r w:rsidR="002230F8">
          <w:rPr>
            <w:rStyle w:val="a6"/>
            <w:rFonts w:ascii="楷体" w:eastAsia="楷体" w:hAnsi="楷体" w:cs="仿宋" w:hint="eastAsia"/>
            <w:bCs/>
          </w:rPr>
          <w:t>（二）项目经营管理水平还需提升</w:t>
        </w:r>
        <w:r w:rsidR="002230F8">
          <w:tab/>
        </w:r>
        <w:r w:rsidR="002230F8">
          <w:rPr>
            <w:rFonts w:hint="eastAsia"/>
          </w:rPr>
          <w:t>1</w:t>
        </w:r>
      </w:hyperlink>
      <w:r w:rsidR="002230F8">
        <w:rPr>
          <w:rStyle w:val="a6"/>
          <w:rFonts w:hint="eastAsia"/>
        </w:rPr>
        <w:t>3</w:t>
      </w:r>
    </w:p>
    <w:p w:rsidR="00EF6E51" w:rsidRDefault="004D2426">
      <w:pPr>
        <w:pStyle w:val="2"/>
        <w:tabs>
          <w:tab w:val="right" w:leader="dot" w:pos="8302"/>
        </w:tabs>
        <w:rPr>
          <w:rFonts w:ascii="Calibri" w:hAnsi="Calibri"/>
          <w:szCs w:val="22"/>
        </w:rPr>
      </w:pPr>
      <w:hyperlink w:anchor="_Toc139442039" w:history="1">
        <w:r w:rsidR="002230F8">
          <w:rPr>
            <w:rStyle w:val="a6"/>
            <w:rFonts w:ascii="楷体" w:eastAsia="楷体" w:hAnsi="楷体" w:cs="仿宋" w:hint="eastAsia"/>
            <w:bCs/>
          </w:rPr>
          <w:t>（三）项目实施进度还需进一步加快</w:t>
        </w:r>
        <w:r w:rsidR="002230F8">
          <w:tab/>
        </w:r>
        <w:r w:rsidR="002230F8">
          <w:rPr>
            <w:rFonts w:hint="eastAsia"/>
          </w:rPr>
          <w:t>1</w:t>
        </w:r>
      </w:hyperlink>
      <w:r w:rsidR="002230F8">
        <w:rPr>
          <w:rStyle w:val="a6"/>
          <w:rFonts w:hint="eastAsia"/>
        </w:rPr>
        <w:t>3</w:t>
      </w:r>
    </w:p>
    <w:p w:rsidR="00EF6E51" w:rsidRDefault="004D2426">
      <w:pPr>
        <w:pStyle w:val="10"/>
        <w:tabs>
          <w:tab w:val="right" w:leader="dot" w:pos="8302"/>
        </w:tabs>
        <w:rPr>
          <w:rFonts w:ascii="Calibri" w:hAnsi="Calibri"/>
          <w:szCs w:val="22"/>
        </w:rPr>
      </w:pPr>
      <w:hyperlink w:anchor="_Toc139442040" w:history="1">
        <w:r w:rsidR="002230F8">
          <w:rPr>
            <w:rStyle w:val="a6"/>
            <w:rFonts w:ascii="黑体" w:eastAsia="黑体" w:hAnsi="黑体" w:cs="仿宋" w:hint="eastAsia"/>
            <w:bCs/>
          </w:rPr>
          <w:t>五、有关建议</w:t>
        </w:r>
        <w:r w:rsidR="002230F8">
          <w:tab/>
        </w:r>
        <w:r w:rsidR="002230F8">
          <w:rPr>
            <w:rFonts w:hint="eastAsia"/>
          </w:rPr>
          <w:t>1</w:t>
        </w:r>
      </w:hyperlink>
      <w:r w:rsidR="002230F8">
        <w:rPr>
          <w:rStyle w:val="a6"/>
          <w:rFonts w:hint="eastAsia"/>
        </w:rPr>
        <w:t>4</w:t>
      </w:r>
    </w:p>
    <w:p w:rsidR="00EF6E51" w:rsidRDefault="004D2426">
      <w:pPr>
        <w:pStyle w:val="2"/>
        <w:tabs>
          <w:tab w:val="right" w:leader="dot" w:pos="8302"/>
        </w:tabs>
        <w:rPr>
          <w:rFonts w:ascii="Calibri" w:hAnsi="Calibri"/>
          <w:szCs w:val="22"/>
        </w:rPr>
      </w:pPr>
      <w:hyperlink w:anchor="_Toc139442041" w:history="1">
        <w:r w:rsidR="002230F8">
          <w:rPr>
            <w:rStyle w:val="a6"/>
            <w:rFonts w:ascii="楷体" w:eastAsia="楷体" w:hAnsi="楷体" w:cs="楷体" w:hint="eastAsia"/>
            <w:kern w:val="0"/>
          </w:rPr>
          <w:t>（一）优化资金拨付方式</w:t>
        </w:r>
        <w:r w:rsidR="002230F8">
          <w:tab/>
        </w:r>
        <w:r w:rsidR="002230F8">
          <w:rPr>
            <w:rFonts w:hint="eastAsia"/>
          </w:rPr>
          <w:t>1</w:t>
        </w:r>
      </w:hyperlink>
      <w:r w:rsidR="002230F8">
        <w:rPr>
          <w:rStyle w:val="a6"/>
          <w:rFonts w:hint="eastAsia"/>
        </w:rPr>
        <w:t>4</w:t>
      </w:r>
    </w:p>
    <w:p w:rsidR="00EF6E51" w:rsidRDefault="004D2426">
      <w:pPr>
        <w:pStyle w:val="2"/>
        <w:tabs>
          <w:tab w:val="right" w:leader="dot" w:pos="8302"/>
        </w:tabs>
        <w:rPr>
          <w:rFonts w:ascii="Calibri" w:hAnsi="Calibri"/>
          <w:szCs w:val="22"/>
        </w:rPr>
      </w:pPr>
      <w:hyperlink w:anchor="_Toc139442042" w:history="1">
        <w:r w:rsidR="002230F8">
          <w:rPr>
            <w:rStyle w:val="a6"/>
            <w:rFonts w:ascii="楷体" w:eastAsia="楷体" w:hAnsi="楷体" w:cs="楷体" w:hint="eastAsia"/>
            <w:kern w:val="0"/>
          </w:rPr>
          <w:t>（二）完善项目管理水平</w:t>
        </w:r>
        <w:r w:rsidR="002230F8">
          <w:tab/>
        </w:r>
        <w:r w:rsidR="002230F8">
          <w:rPr>
            <w:rFonts w:hint="eastAsia"/>
          </w:rPr>
          <w:t>1</w:t>
        </w:r>
      </w:hyperlink>
      <w:r w:rsidR="002230F8">
        <w:rPr>
          <w:rStyle w:val="a6"/>
          <w:rFonts w:hint="eastAsia"/>
        </w:rPr>
        <w:t>4</w:t>
      </w:r>
    </w:p>
    <w:p w:rsidR="00EF6E51" w:rsidRDefault="004D2426">
      <w:pPr>
        <w:pStyle w:val="2"/>
        <w:tabs>
          <w:tab w:val="right" w:leader="dot" w:pos="8302"/>
        </w:tabs>
        <w:rPr>
          <w:rFonts w:ascii="Calibri" w:hAnsi="Calibri"/>
          <w:szCs w:val="22"/>
        </w:rPr>
      </w:pPr>
      <w:hyperlink w:anchor="_Toc139442043" w:history="1">
        <w:r w:rsidR="002230F8">
          <w:rPr>
            <w:rStyle w:val="a6"/>
            <w:rFonts w:ascii="楷体" w:eastAsia="楷体" w:hAnsi="楷体" w:cs="楷体" w:hint="eastAsia"/>
            <w:kern w:val="0"/>
          </w:rPr>
          <w:t>（三）提升项目经营管理水平</w:t>
        </w:r>
        <w:r w:rsidR="002230F8">
          <w:tab/>
        </w:r>
        <w:r w:rsidR="002230F8">
          <w:rPr>
            <w:rFonts w:hint="eastAsia"/>
          </w:rPr>
          <w:t>1</w:t>
        </w:r>
      </w:hyperlink>
      <w:r w:rsidR="002230F8">
        <w:rPr>
          <w:rStyle w:val="a6"/>
          <w:rFonts w:hint="eastAsia"/>
        </w:rPr>
        <w:t>5</w:t>
      </w:r>
    </w:p>
    <w:p w:rsidR="00EF6E51" w:rsidRDefault="004D2426">
      <w:pPr>
        <w:pStyle w:val="2"/>
        <w:tabs>
          <w:tab w:val="right" w:leader="dot" w:pos="8302"/>
        </w:tabs>
        <w:rPr>
          <w:rFonts w:ascii="Calibri" w:hAnsi="Calibri"/>
          <w:szCs w:val="22"/>
        </w:rPr>
      </w:pPr>
      <w:hyperlink w:anchor="_Toc139442044" w:history="1">
        <w:r w:rsidR="002230F8">
          <w:rPr>
            <w:rStyle w:val="a6"/>
            <w:rFonts w:ascii="楷体" w:eastAsia="楷体" w:hAnsi="楷体" w:cs="楷体" w:hint="eastAsia"/>
            <w:kern w:val="0"/>
          </w:rPr>
          <w:t>（四）创新发展模式</w:t>
        </w:r>
        <w:r w:rsidR="002230F8">
          <w:tab/>
        </w:r>
        <w:r w:rsidR="002230F8">
          <w:rPr>
            <w:rFonts w:hint="eastAsia"/>
          </w:rPr>
          <w:t>1</w:t>
        </w:r>
      </w:hyperlink>
      <w:r w:rsidR="002230F8">
        <w:rPr>
          <w:rStyle w:val="a6"/>
          <w:rFonts w:hint="eastAsia"/>
        </w:rPr>
        <w:t>5</w:t>
      </w:r>
    </w:p>
    <w:p w:rsidR="00EF6E51" w:rsidRDefault="004D2426">
      <w:pPr>
        <w:pStyle w:val="10"/>
        <w:tabs>
          <w:tab w:val="right" w:leader="dot" w:pos="8302"/>
        </w:tabs>
        <w:rPr>
          <w:rFonts w:ascii="Calibri" w:hAnsi="Calibri"/>
          <w:szCs w:val="22"/>
        </w:rPr>
      </w:pPr>
      <w:hyperlink w:anchor="_Toc139442045" w:history="1">
        <w:r w:rsidR="002230F8">
          <w:rPr>
            <w:rStyle w:val="a6"/>
            <w:rFonts w:ascii="仿宋_GB2312" w:eastAsia="仿宋_GB2312" w:hAnsi="仿宋" w:cs="仿宋" w:hint="eastAsia"/>
            <w:b/>
            <w:bCs/>
          </w:rPr>
          <w:t>附件：南京市</w:t>
        </w:r>
        <w:r w:rsidR="002230F8">
          <w:rPr>
            <w:rStyle w:val="a6"/>
            <w:rFonts w:ascii="仿宋_GB2312" w:eastAsia="仿宋_GB2312" w:hAnsi="仿宋" w:cs="仿宋"/>
            <w:b/>
            <w:bCs/>
          </w:rPr>
          <w:t>202</w:t>
        </w:r>
        <w:r w:rsidR="002230F8">
          <w:rPr>
            <w:rStyle w:val="a6"/>
            <w:rFonts w:ascii="仿宋_GB2312" w:eastAsia="仿宋_GB2312" w:hAnsi="仿宋" w:cs="仿宋" w:hint="eastAsia"/>
            <w:b/>
            <w:bCs/>
          </w:rPr>
          <w:t>4年创意休闲农业专项资金绩效评价评分表</w:t>
        </w:r>
        <w:r w:rsidR="002230F8">
          <w:tab/>
        </w:r>
        <w:r w:rsidR="002230F8">
          <w:rPr>
            <w:rFonts w:hint="eastAsia"/>
          </w:rPr>
          <w:t>1</w:t>
        </w:r>
      </w:hyperlink>
      <w:r w:rsidR="002230F8">
        <w:rPr>
          <w:rStyle w:val="a6"/>
          <w:rFonts w:hint="eastAsia"/>
        </w:rPr>
        <w:t>6</w:t>
      </w:r>
    </w:p>
    <w:p w:rsidR="00EF6E51" w:rsidRDefault="002230F8">
      <w:pPr>
        <w:pStyle w:val="WPSOffice1"/>
        <w:tabs>
          <w:tab w:val="right" w:leader="dot" w:pos="8312"/>
        </w:tabs>
        <w:spacing w:line="520" w:lineRule="exact"/>
        <w:rPr>
          <w:rFonts w:ascii="仿宋" w:eastAsia="仿宋" w:hAnsi="仿宋" w:cs="仿宋"/>
          <w:b/>
          <w:bCs/>
          <w:sz w:val="24"/>
          <w:szCs w:val="24"/>
        </w:rPr>
        <w:sectPr w:rsidR="00EF6E51">
          <w:headerReference w:type="default" r:id="rId9"/>
          <w:footerReference w:type="default" r:id="rId10"/>
          <w:pgSz w:w="11906" w:h="16838"/>
          <w:pgMar w:top="1440" w:right="1797" w:bottom="1440" w:left="1797" w:header="851" w:footer="992" w:gutter="0"/>
          <w:pgNumType w:start="1"/>
          <w:cols w:space="720"/>
          <w:docGrid w:type="lines" w:linePitch="312"/>
        </w:sectPr>
      </w:pPr>
      <w:r>
        <w:rPr>
          <w:rFonts w:ascii="仿宋" w:eastAsia="仿宋" w:hAnsi="仿宋" w:cs="仿宋" w:hint="eastAsia"/>
          <w:bCs/>
          <w:sz w:val="24"/>
          <w:szCs w:val="32"/>
        </w:rPr>
        <w:fldChar w:fldCharType="end"/>
      </w:r>
    </w:p>
    <w:p w:rsidR="00EF6E51" w:rsidRDefault="00F678AE">
      <w:pPr>
        <w:spacing w:line="560" w:lineRule="exact"/>
        <w:jc w:val="center"/>
        <w:outlineLvl w:val="0"/>
        <w:rPr>
          <w:rFonts w:ascii="方正小标宋简体" w:eastAsia="方正小标宋简体" w:hAnsi="仿宋" w:cs="仿宋"/>
          <w:bCs/>
          <w:sz w:val="44"/>
          <w:szCs w:val="44"/>
        </w:rPr>
      </w:pPr>
      <w:r w:rsidRPr="00F678AE">
        <w:rPr>
          <w:rFonts w:ascii="方正小标宋简体" w:eastAsia="方正小标宋简体" w:hAnsi="仿宋" w:cs="仿宋" w:hint="eastAsia"/>
          <w:bCs/>
          <w:sz w:val="44"/>
          <w:szCs w:val="44"/>
        </w:rPr>
        <w:lastRenderedPageBreak/>
        <w:t>2024年度南京市农业农村局创意休闲农业绩效评价报告</w:t>
      </w:r>
    </w:p>
    <w:p w:rsidR="00EF6E51" w:rsidRDefault="002230F8">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进一步加强财政支出管理，合理配置财政资源，提高财政资金使用效益和财政支出管理水平，南京市农业农村局对南京市2024年创意休闲农业专项资金项目实施绩效评价，同时实地走访、资料查验、绩效打分等，从南京市2024年创意休闲农业项目的决策、过程、产出和效益四个维度进行了客观、公正的评价，评价情况及结果如下。</w:t>
      </w:r>
    </w:p>
    <w:p w:rsidR="00EF6E51" w:rsidRDefault="002230F8">
      <w:pPr>
        <w:adjustRightInd w:val="0"/>
        <w:snapToGrid w:val="0"/>
        <w:spacing w:line="560" w:lineRule="exact"/>
        <w:ind w:firstLineChars="200" w:firstLine="640"/>
        <w:outlineLvl w:val="0"/>
        <w:rPr>
          <w:rFonts w:ascii="黑体" w:eastAsia="黑体" w:hAnsi="黑体" w:cs="黑体"/>
          <w:sz w:val="32"/>
          <w:szCs w:val="32"/>
        </w:rPr>
      </w:pPr>
      <w:bookmarkStart w:id="1" w:name="_Toc6958"/>
      <w:r>
        <w:rPr>
          <w:rFonts w:ascii="黑体" w:eastAsia="黑体" w:hAnsi="黑体" w:cs="黑体" w:hint="eastAsia"/>
          <w:sz w:val="32"/>
          <w:szCs w:val="32"/>
        </w:rPr>
        <w:t>一、项目</w:t>
      </w:r>
      <w:bookmarkEnd w:id="1"/>
      <w:r>
        <w:rPr>
          <w:rFonts w:ascii="黑体" w:eastAsia="黑体" w:hAnsi="黑体" w:cs="黑体" w:hint="eastAsia"/>
          <w:sz w:val="32"/>
          <w:szCs w:val="32"/>
        </w:rPr>
        <w:t>概况</w:t>
      </w:r>
    </w:p>
    <w:p w:rsidR="00EF6E51" w:rsidRDefault="002230F8">
      <w:pPr>
        <w:adjustRightInd w:val="0"/>
        <w:snapToGrid w:val="0"/>
        <w:spacing w:line="560" w:lineRule="exact"/>
        <w:ind w:firstLineChars="200" w:firstLine="640"/>
        <w:outlineLvl w:val="1"/>
        <w:rPr>
          <w:rFonts w:ascii="楷体" w:eastAsia="楷体" w:hAnsi="楷体" w:cs="楷体"/>
          <w:sz w:val="32"/>
          <w:szCs w:val="32"/>
        </w:rPr>
      </w:pPr>
      <w:bookmarkStart w:id="2" w:name="_Toc28871"/>
      <w:r>
        <w:rPr>
          <w:rFonts w:ascii="楷体" w:eastAsia="楷体" w:hAnsi="楷体" w:cs="楷体" w:hint="eastAsia"/>
          <w:sz w:val="32"/>
          <w:szCs w:val="32"/>
        </w:rPr>
        <w:t>（一）项目</w:t>
      </w:r>
      <w:bookmarkEnd w:id="2"/>
      <w:r>
        <w:rPr>
          <w:rFonts w:ascii="楷体" w:eastAsia="楷体" w:hAnsi="楷体" w:cs="楷体" w:hint="eastAsia"/>
          <w:sz w:val="32"/>
          <w:szCs w:val="32"/>
        </w:rPr>
        <w:t>基本情况</w:t>
      </w:r>
    </w:p>
    <w:p w:rsidR="00EF6E51" w:rsidRDefault="002230F8">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1.项目背景</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随着乡村游成为市民热衷的休闲方式，休闲农业迅速增长，各类休闲农庄如雨后春笋般涌现。然而，经营项目的同质化成为限制休闲农业发展的主要瓶颈。因此，如何通过创新实现转型升级成为休闲农业发展的当务之急。为了进一步促进南京市创意休闲农业的蓬勃发展，南京市农业农村局根据相关文件要求，推动休闲农业的转型升级，促进农业和农村的可持续发展。</w:t>
      </w:r>
    </w:p>
    <w:p w:rsidR="00EF6E51" w:rsidRDefault="002230F8">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2.主要内容</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2024年南京市现代农业发展专项资金实施意见》的文件内容显示，南京市2024年创意休闲农业项目专项资金主要用于支持都市农园、“休闲农业+康养”基地、主题创意农园、耕读教育实践基地、乡村特色体育基地及其他休闲农业经营主体，开展基础设施、设备购置、宣传推广等建设和活动。支持带动明显、宣传广泛、影响力大的优秀农业节庆活动。支持举办第二十</w:t>
      </w:r>
      <w:r>
        <w:rPr>
          <w:rFonts w:ascii="仿宋" w:eastAsia="仿宋" w:hAnsi="仿宋" w:cs="仿宋" w:hint="eastAsia"/>
          <w:sz w:val="32"/>
          <w:szCs w:val="32"/>
        </w:rPr>
        <w:lastRenderedPageBreak/>
        <w:t>届中国南京农业嘉年华。</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2024年度创意休闲农业项目主要分为第二十届农业嘉年华、市本级都市农园客厅建设项目及主题创意农园和农业节庆等三大方面。</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创意休闲农业适用市级农业“先建后补”项目，由项目实施单位自筹所需全部资金，并按照相关指南扶持内容组织实施，在规定期限内完成，经第三方审计核查或验收后，按审定总投资给予一定比例补助给项目实施单位。</w:t>
      </w:r>
    </w:p>
    <w:p w:rsidR="00EF6E51" w:rsidRDefault="002230F8">
      <w:pPr>
        <w:adjustRightInd w:val="0"/>
        <w:snapToGrid w:val="0"/>
        <w:spacing w:line="560" w:lineRule="exact"/>
        <w:ind w:firstLineChars="200" w:firstLine="640"/>
        <w:outlineLvl w:val="1"/>
        <w:rPr>
          <w:rFonts w:ascii="楷体" w:eastAsia="楷体" w:hAnsi="楷体" w:cs="楷体"/>
          <w:sz w:val="32"/>
          <w:szCs w:val="32"/>
        </w:rPr>
      </w:pPr>
      <w:bookmarkStart w:id="3" w:name="_Toc4426"/>
      <w:r>
        <w:rPr>
          <w:rFonts w:ascii="楷体" w:eastAsia="楷体" w:hAnsi="楷体" w:cs="楷体" w:hint="eastAsia"/>
          <w:sz w:val="32"/>
          <w:szCs w:val="32"/>
        </w:rPr>
        <w:t>（二）项目资金情况</w:t>
      </w:r>
      <w:bookmarkEnd w:id="3"/>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南京市创意休闲农业专项资金补助计划由市财政设立，并纳入市级财政预算管理，2024年度创意休闲农业专项资金预算2100万元。其中，第二十届农业嘉年华预算430万元，市本级都市农园客厅项目60万元，划转农村</w:t>
      </w:r>
      <w:proofErr w:type="gramStart"/>
      <w:r>
        <w:rPr>
          <w:rFonts w:ascii="仿宋" w:eastAsia="仿宋" w:hAnsi="仿宋" w:cs="仿宋" w:hint="eastAsia"/>
          <w:sz w:val="32"/>
          <w:szCs w:val="32"/>
        </w:rPr>
        <w:t>处用于</w:t>
      </w:r>
      <w:proofErr w:type="gramEnd"/>
      <w:r>
        <w:rPr>
          <w:rFonts w:ascii="仿宋" w:eastAsia="仿宋" w:hAnsi="仿宋" w:cs="仿宋" w:hint="eastAsia"/>
          <w:sz w:val="32"/>
          <w:szCs w:val="32"/>
        </w:rPr>
        <w:t>举办2024南京美食</w:t>
      </w:r>
      <w:proofErr w:type="gramStart"/>
      <w:r>
        <w:rPr>
          <w:rFonts w:ascii="仿宋" w:eastAsia="仿宋" w:hAnsi="仿宋" w:cs="仿宋" w:hint="eastAsia"/>
          <w:sz w:val="32"/>
          <w:szCs w:val="32"/>
        </w:rPr>
        <w:t>美宿美购</w:t>
      </w:r>
      <w:proofErr w:type="gramEnd"/>
      <w:r>
        <w:rPr>
          <w:rFonts w:ascii="仿宋" w:eastAsia="仿宋" w:hAnsi="仿宋" w:cs="仿宋" w:hint="eastAsia"/>
          <w:sz w:val="32"/>
          <w:szCs w:val="32"/>
        </w:rPr>
        <w:t>乡村生活季活动9.9万元，各区扶持农业节庆、主题创意农园（含都市农园）等项目共计1600.1万元。</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各区资金预算详见下表：</w:t>
      </w: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表1、2024年创意休闲农业专项资金分配明细表</w:t>
      </w:r>
    </w:p>
    <w:p w:rsidR="00EF6E51" w:rsidRDefault="002230F8">
      <w:pPr>
        <w:adjustRightInd w:val="0"/>
        <w:snapToGrid w:val="0"/>
        <w:spacing w:line="560" w:lineRule="exact"/>
        <w:ind w:firstLineChars="200" w:firstLine="420"/>
        <w:jc w:val="right"/>
        <w:rPr>
          <w:rFonts w:ascii="仿宋" w:eastAsia="仿宋" w:hAnsi="仿宋" w:cs="仿宋"/>
          <w:szCs w:val="21"/>
        </w:rPr>
      </w:pPr>
      <w:r>
        <w:rPr>
          <w:rFonts w:ascii="仿宋" w:eastAsia="仿宋" w:hAnsi="仿宋" w:cs="仿宋" w:hint="eastAsia"/>
          <w:szCs w:val="21"/>
        </w:rPr>
        <w:t>单位：万元</w:t>
      </w:r>
    </w:p>
    <w:tbl>
      <w:tblPr>
        <w:tblW w:w="4997" w:type="pct"/>
        <w:tblLayout w:type="fixed"/>
        <w:tblLook w:val="04A0" w:firstRow="1" w:lastRow="0" w:firstColumn="1" w:lastColumn="0" w:noHBand="0" w:noVBand="1"/>
      </w:tblPr>
      <w:tblGrid>
        <w:gridCol w:w="424"/>
        <w:gridCol w:w="1029"/>
        <w:gridCol w:w="551"/>
        <w:gridCol w:w="987"/>
        <w:gridCol w:w="1420"/>
        <w:gridCol w:w="855"/>
        <w:gridCol w:w="834"/>
        <w:gridCol w:w="1497"/>
        <w:gridCol w:w="791"/>
        <w:gridCol w:w="668"/>
      </w:tblGrid>
      <w:tr w:rsidR="00EF6E51">
        <w:trPr>
          <w:trHeight w:val="593"/>
          <w:tblHeader/>
        </w:trPr>
        <w:tc>
          <w:tcPr>
            <w:tcW w:w="80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rPr>
                <w:rFonts w:ascii="宋体" w:hAnsi="宋体" w:cs="宋体"/>
                <w:b/>
                <w:bCs/>
                <w:color w:val="000000"/>
                <w:sz w:val="22"/>
                <w:szCs w:val="22"/>
              </w:rPr>
            </w:pPr>
          </w:p>
        </w:tc>
        <w:tc>
          <w:tcPr>
            <w:tcW w:w="849" w:type="pct"/>
            <w:gridSpan w:val="2"/>
            <w:tcBorders>
              <w:top w:val="single" w:sz="4" w:space="0" w:color="000000"/>
              <w:left w:val="single" w:sz="4" w:space="0" w:color="000000"/>
              <w:bottom w:val="single" w:sz="4" w:space="0" w:color="000000"/>
              <w:right w:val="nil"/>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第二十届农业嘉年华</w:t>
            </w:r>
          </w:p>
        </w:tc>
        <w:tc>
          <w:tcPr>
            <w:tcW w:w="1256" w:type="pct"/>
            <w:gridSpan w:val="2"/>
            <w:tcBorders>
              <w:top w:val="single" w:sz="4" w:space="0" w:color="000000"/>
              <w:left w:val="single" w:sz="4" w:space="0" w:color="000000"/>
              <w:bottom w:val="nil"/>
              <w:right w:val="nil"/>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 xml:space="preserve"> 扶持农业节庆、主题创意农园（含都市农园）等</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其他</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合计</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EF6E51">
        <w:trPr>
          <w:trHeight w:val="288"/>
          <w:tblHeader/>
        </w:trPr>
        <w:tc>
          <w:tcPr>
            <w:tcW w:w="80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rPr>
                <w:rFonts w:ascii="宋体" w:hAnsi="宋体" w:cs="宋体"/>
                <w:b/>
                <w:bCs/>
                <w:color w:val="000000"/>
                <w:sz w:val="22"/>
                <w:szCs w:val="22"/>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任务</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预算</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任务</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预算</w:t>
            </w:r>
          </w:p>
        </w:tc>
        <w:tc>
          <w:tcPr>
            <w:tcW w:w="832" w:type="dxa"/>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任务</w:t>
            </w:r>
          </w:p>
        </w:tc>
        <w:tc>
          <w:tcPr>
            <w:tcW w:w="1494" w:type="dxa"/>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pPr>
            <w:r>
              <w:rPr>
                <w:rFonts w:ascii="仿宋" w:eastAsia="仿宋" w:hAnsi="仿宋" w:cs="仿宋" w:hint="eastAsia"/>
                <w:b/>
                <w:bCs/>
                <w:color w:val="000000"/>
                <w:kern w:val="0"/>
                <w:sz w:val="22"/>
                <w:szCs w:val="22"/>
                <w:lang w:bidi="ar"/>
              </w:rPr>
              <w:t>预算</w:t>
            </w:r>
          </w:p>
        </w:tc>
        <w:tc>
          <w:tcPr>
            <w:tcW w:w="437" w:type="pct"/>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预算</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b/>
                <w:bCs/>
                <w:color w:val="000000"/>
                <w:sz w:val="22"/>
                <w:szCs w:val="22"/>
              </w:rPr>
            </w:pPr>
          </w:p>
        </w:tc>
      </w:tr>
      <w:tr w:rsidR="00EF6E51">
        <w:trPr>
          <w:trHeight w:val="576"/>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1</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江北新区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70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70</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主题创意</w:t>
            </w:r>
            <w:proofErr w:type="gramStart"/>
            <w:r>
              <w:rPr>
                <w:rFonts w:ascii="仿宋" w:eastAsia="仿宋" w:hAnsi="仿宋" w:cs="仿宋" w:hint="eastAsia"/>
                <w:color w:val="000000"/>
                <w:kern w:val="0"/>
                <w:sz w:val="22"/>
                <w:szCs w:val="22"/>
                <w:lang w:bidi="ar"/>
              </w:rPr>
              <w:t>农园含都市</w:t>
            </w:r>
            <w:proofErr w:type="gramEnd"/>
            <w:r>
              <w:rPr>
                <w:rFonts w:ascii="仿宋" w:eastAsia="仿宋" w:hAnsi="仿宋" w:cs="仿宋" w:hint="eastAsia"/>
                <w:color w:val="000000"/>
                <w:kern w:val="0"/>
                <w:sz w:val="22"/>
                <w:szCs w:val="22"/>
                <w:lang w:bidi="ar"/>
              </w:rPr>
              <w:t>农园项目</w:t>
            </w: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江宁区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265</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265</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浦口区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250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250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proofErr w:type="gramStart"/>
            <w:r>
              <w:rPr>
                <w:rFonts w:ascii="仿宋" w:eastAsia="仿宋" w:hAnsi="仿宋" w:cs="仿宋" w:hint="eastAsia"/>
                <w:b/>
                <w:bCs/>
                <w:color w:val="000000"/>
                <w:kern w:val="0"/>
                <w:sz w:val="22"/>
                <w:szCs w:val="22"/>
                <w:lang w:bidi="ar"/>
              </w:rPr>
              <w:t>六合区</w:t>
            </w:r>
            <w:proofErr w:type="gramEnd"/>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185</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185</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溧水区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430.00 </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320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750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高淳区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350.1</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350.1</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7</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栖霞区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100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宋体" w:hAnsi="宋体" w:cs="宋体" w:hint="eastAsia"/>
                <w:color w:val="000000"/>
                <w:kern w:val="0"/>
                <w:sz w:val="20"/>
                <w:lang w:bidi="ar"/>
              </w:rPr>
              <w:t>100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b/>
                <w:bCs/>
                <w:color w:val="000000"/>
                <w:kern w:val="0"/>
                <w:sz w:val="22"/>
                <w:szCs w:val="22"/>
                <w:lang w:bidi="ar"/>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雨花台区</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宋体" w:hAnsi="宋体" w:cs="宋体" w:hint="eastAsia"/>
                <w:color w:val="000000"/>
                <w:kern w:val="0"/>
                <w:sz w:val="20"/>
                <w:lang w:bidi="ar"/>
              </w:rPr>
              <w:t>60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宋体" w:hAnsi="宋体" w:cs="宋体" w:hint="eastAsia"/>
                <w:color w:val="000000"/>
                <w:kern w:val="0"/>
                <w:sz w:val="20"/>
                <w:lang w:bidi="ar"/>
              </w:rPr>
              <w:t>60</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8</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市本级</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60</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宋体" w:hAnsi="宋体" w:cs="宋体" w:hint="eastAsia"/>
                <w:color w:val="000000"/>
                <w:kern w:val="0"/>
                <w:sz w:val="20"/>
                <w:lang w:bidi="ar"/>
              </w:rPr>
              <w:t>举办2024南京美食</w:t>
            </w:r>
            <w:proofErr w:type="gramStart"/>
            <w:r>
              <w:rPr>
                <w:rFonts w:ascii="宋体" w:hAnsi="宋体" w:cs="宋体" w:hint="eastAsia"/>
                <w:color w:val="000000"/>
                <w:kern w:val="0"/>
                <w:sz w:val="20"/>
                <w:lang w:bidi="ar"/>
              </w:rPr>
              <w:t>美宿美购</w:t>
            </w:r>
            <w:proofErr w:type="gramEnd"/>
            <w:r>
              <w:rPr>
                <w:rFonts w:ascii="宋体" w:hAnsi="宋体" w:cs="宋体" w:hint="eastAsia"/>
                <w:color w:val="000000"/>
                <w:kern w:val="0"/>
                <w:sz w:val="20"/>
                <w:lang w:bidi="ar"/>
              </w:rPr>
              <w:t>乡村生活季活动</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jc w:val="center"/>
            </w:pPr>
            <w:r>
              <w:rPr>
                <w:rFonts w:hint="eastAsia"/>
              </w:rPr>
              <w:t>9.9</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69.90 </w:t>
            </w: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8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合计</w:t>
            </w: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430.00 </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1660.1</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pPr>
            <w:r>
              <w:rPr>
                <w:rFonts w:ascii="仿宋" w:eastAsia="仿宋" w:hAnsi="仿宋" w:cs="仿宋" w:hint="eastAsia"/>
                <w:color w:val="000000"/>
                <w:kern w:val="0"/>
                <w:sz w:val="22"/>
                <w:szCs w:val="22"/>
                <w:lang w:bidi="ar"/>
              </w:rPr>
              <w:t>9.9</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2100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r>
    </w:tbl>
    <w:p w:rsidR="00EF6E51" w:rsidRDefault="002230F8">
      <w:pPr>
        <w:adjustRightInd w:val="0"/>
        <w:snapToGrid w:val="0"/>
        <w:spacing w:line="560" w:lineRule="exact"/>
        <w:ind w:firstLineChars="200" w:firstLine="640"/>
        <w:rPr>
          <w:rFonts w:ascii="楷体" w:eastAsia="楷体" w:hAnsi="楷体" w:cs="楷体"/>
          <w:sz w:val="32"/>
          <w:szCs w:val="32"/>
        </w:rPr>
      </w:pPr>
      <w:bookmarkStart w:id="4" w:name="_Toc10352"/>
      <w:r>
        <w:rPr>
          <w:rFonts w:ascii="楷体" w:eastAsia="楷体" w:hAnsi="楷体" w:cs="楷体" w:hint="eastAsia"/>
          <w:sz w:val="32"/>
          <w:szCs w:val="32"/>
        </w:rPr>
        <w:tab/>
      </w: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EF6E51">
      <w:pPr>
        <w:adjustRightInd w:val="0"/>
        <w:snapToGrid w:val="0"/>
        <w:spacing w:line="560" w:lineRule="exact"/>
        <w:ind w:firstLineChars="200" w:firstLine="640"/>
        <w:rPr>
          <w:rFonts w:ascii="楷体" w:eastAsia="楷体" w:hAnsi="楷体" w:cs="楷体"/>
          <w:sz w:val="32"/>
          <w:szCs w:val="32"/>
        </w:rPr>
      </w:pPr>
    </w:p>
    <w:p w:rsidR="00EF6E51" w:rsidRDefault="002230F8">
      <w:pPr>
        <w:adjustRightInd w:val="0"/>
        <w:snapToGrid w:val="0"/>
        <w:spacing w:line="560" w:lineRule="exact"/>
        <w:jc w:val="center"/>
        <w:rPr>
          <w:rFonts w:ascii="仿宋" w:eastAsia="仿宋" w:hAnsi="仿宋" w:cs="仿宋"/>
          <w:sz w:val="32"/>
          <w:szCs w:val="32"/>
        </w:rPr>
      </w:pPr>
      <w:r>
        <w:rPr>
          <w:rFonts w:ascii="仿宋" w:eastAsia="仿宋" w:hAnsi="仿宋" w:cs="仿宋" w:hint="eastAsia"/>
          <w:sz w:val="32"/>
          <w:szCs w:val="32"/>
        </w:rPr>
        <w:lastRenderedPageBreak/>
        <w:t>表2、2024年创意休闲农业专项资金使用明细表</w:t>
      </w:r>
    </w:p>
    <w:p w:rsidR="00EF6E51" w:rsidRDefault="002230F8">
      <w:pPr>
        <w:adjustRightInd w:val="0"/>
        <w:snapToGrid w:val="0"/>
        <w:spacing w:line="560" w:lineRule="exact"/>
        <w:ind w:firstLineChars="200" w:firstLine="420"/>
        <w:jc w:val="right"/>
        <w:rPr>
          <w:rFonts w:ascii="仿宋" w:eastAsia="仿宋" w:hAnsi="仿宋" w:cs="仿宋"/>
          <w:szCs w:val="21"/>
        </w:rPr>
      </w:pPr>
      <w:r>
        <w:rPr>
          <w:rFonts w:ascii="仿宋" w:eastAsia="仿宋" w:hAnsi="仿宋" w:cs="仿宋" w:hint="eastAsia"/>
          <w:szCs w:val="21"/>
        </w:rPr>
        <w:t>单位：万元</w:t>
      </w:r>
    </w:p>
    <w:tbl>
      <w:tblPr>
        <w:tblW w:w="4997" w:type="pct"/>
        <w:tblLayout w:type="fixed"/>
        <w:tblLook w:val="04A0" w:firstRow="1" w:lastRow="0" w:firstColumn="1" w:lastColumn="0" w:noHBand="0" w:noVBand="1"/>
      </w:tblPr>
      <w:tblGrid>
        <w:gridCol w:w="425"/>
        <w:gridCol w:w="1030"/>
        <w:gridCol w:w="1129"/>
        <w:gridCol w:w="812"/>
        <w:gridCol w:w="1607"/>
        <w:gridCol w:w="1170"/>
        <w:gridCol w:w="1034"/>
        <w:gridCol w:w="719"/>
        <w:gridCol w:w="659"/>
        <w:gridCol w:w="471"/>
      </w:tblGrid>
      <w:tr w:rsidR="00EF6E51">
        <w:trPr>
          <w:trHeight w:val="593"/>
          <w:tblHeader/>
        </w:trPr>
        <w:tc>
          <w:tcPr>
            <w:tcW w:w="80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rPr>
                <w:rFonts w:ascii="宋体" w:hAnsi="宋体" w:cs="宋体"/>
                <w:b/>
                <w:bCs/>
                <w:color w:val="000000"/>
                <w:sz w:val="22"/>
                <w:szCs w:val="22"/>
              </w:rPr>
            </w:pPr>
          </w:p>
        </w:tc>
        <w:tc>
          <w:tcPr>
            <w:tcW w:w="1071" w:type="pct"/>
            <w:gridSpan w:val="2"/>
            <w:tcBorders>
              <w:top w:val="single" w:sz="4" w:space="0" w:color="000000"/>
              <w:left w:val="single" w:sz="4" w:space="0" w:color="000000"/>
              <w:bottom w:val="single" w:sz="4" w:space="0" w:color="000000"/>
              <w:right w:val="nil"/>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第二十届农业嘉年华</w:t>
            </w:r>
          </w:p>
        </w:tc>
        <w:tc>
          <w:tcPr>
            <w:tcW w:w="1532" w:type="pct"/>
            <w:gridSpan w:val="2"/>
            <w:tcBorders>
              <w:top w:val="single" w:sz="4" w:space="0" w:color="000000"/>
              <w:left w:val="single" w:sz="4" w:space="0" w:color="000000"/>
              <w:bottom w:val="nil"/>
              <w:right w:val="nil"/>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 xml:space="preserve"> 扶持农业节庆、主题创意农园（含都市农园）等</w:t>
            </w: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其他</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合计</w:t>
            </w:r>
          </w:p>
        </w:tc>
        <w:tc>
          <w:tcPr>
            <w:tcW w:w="2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EF6E51">
        <w:trPr>
          <w:trHeight w:val="288"/>
          <w:tblHeader/>
        </w:trPr>
        <w:tc>
          <w:tcPr>
            <w:tcW w:w="80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rPr>
                <w:rFonts w:ascii="宋体" w:hAnsi="宋体" w:cs="宋体"/>
                <w:b/>
                <w:bCs/>
                <w:color w:val="000000"/>
                <w:sz w:val="22"/>
                <w:szCs w:val="22"/>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实际完成数量</w:t>
            </w: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实际使用</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实际完成数量</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实际使用</w:t>
            </w:r>
          </w:p>
        </w:tc>
        <w:tc>
          <w:tcPr>
            <w:tcW w:w="571" w:type="pct"/>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sz w:val="22"/>
                <w:szCs w:val="22"/>
              </w:rPr>
              <w:t>实际完成数量</w:t>
            </w:r>
          </w:p>
        </w:tc>
        <w:tc>
          <w:tcPr>
            <w:tcW w:w="397" w:type="pct"/>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pPr>
            <w:r>
              <w:rPr>
                <w:rFonts w:ascii="仿宋" w:eastAsia="仿宋" w:hAnsi="仿宋" w:cs="仿宋" w:hint="eastAsia"/>
                <w:b/>
                <w:bCs/>
                <w:color w:val="000000"/>
                <w:kern w:val="0"/>
                <w:sz w:val="22"/>
                <w:szCs w:val="22"/>
                <w:lang w:bidi="ar"/>
              </w:rPr>
              <w:t>实际使用</w:t>
            </w:r>
          </w:p>
        </w:tc>
        <w:tc>
          <w:tcPr>
            <w:tcW w:w="364" w:type="pct"/>
            <w:tcBorders>
              <w:top w:val="nil"/>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实际使用</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b/>
                <w:bCs/>
                <w:color w:val="000000"/>
                <w:sz w:val="22"/>
                <w:szCs w:val="22"/>
              </w:rPr>
            </w:pPr>
          </w:p>
        </w:tc>
      </w:tr>
      <w:tr w:rsidR="00EF6E51">
        <w:trPr>
          <w:trHeight w:val="576"/>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1</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江北新区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100</w:t>
            </w:r>
          </w:p>
        </w:tc>
        <w:tc>
          <w:tcPr>
            <w:tcW w:w="2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主题创意</w:t>
            </w:r>
            <w:proofErr w:type="gramStart"/>
            <w:r>
              <w:rPr>
                <w:rFonts w:ascii="仿宋" w:eastAsia="仿宋" w:hAnsi="仿宋" w:cs="仿宋" w:hint="eastAsia"/>
                <w:color w:val="000000"/>
                <w:kern w:val="0"/>
                <w:sz w:val="22"/>
                <w:szCs w:val="22"/>
                <w:lang w:bidi="ar"/>
              </w:rPr>
              <w:t>农园含都市</w:t>
            </w:r>
            <w:proofErr w:type="gramEnd"/>
            <w:r>
              <w:rPr>
                <w:rFonts w:ascii="仿宋" w:eastAsia="仿宋" w:hAnsi="仿宋" w:cs="仿宋" w:hint="eastAsia"/>
                <w:color w:val="000000"/>
                <w:kern w:val="0"/>
                <w:sz w:val="22"/>
                <w:szCs w:val="22"/>
                <w:lang w:bidi="ar"/>
              </w:rPr>
              <w:t>农园项目</w:t>
            </w: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江宁区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275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275</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浦口区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289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289</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4</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proofErr w:type="gramStart"/>
            <w:r>
              <w:rPr>
                <w:rFonts w:ascii="仿宋" w:eastAsia="仿宋" w:hAnsi="仿宋" w:cs="仿宋" w:hint="eastAsia"/>
                <w:b/>
                <w:bCs/>
                <w:color w:val="000000"/>
                <w:kern w:val="0"/>
                <w:sz w:val="22"/>
                <w:szCs w:val="22"/>
                <w:lang w:bidi="ar"/>
              </w:rPr>
              <w:t>六合区</w:t>
            </w:r>
            <w:proofErr w:type="gramEnd"/>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180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180</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溧水区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430</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13</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325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755</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6</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高淳区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204.5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204.5</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7</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栖霞区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53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b/>
                <w:bCs/>
                <w:color w:val="000000"/>
                <w:kern w:val="0"/>
                <w:sz w:val="22"/>
                <w:szCs w:val="22"/>
                <w:lang w:bidi="ar"/>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雨花台区</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宋体" w:hAnsi="宋体" w:cs="宋体"/>
                <w:color w:val="000000"/>
                <w:kern w:val="0"/>
                <w:sz w:val="20"/>
                <w:lang w:bidi="ar"/>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60</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8</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市本级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60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宋体" w:hAnsi="宋体" w:cs="宋体" w:hint="eastAsia"/>
                <w:color w:val="000000"/>
                <w:kern w:val="0"/>
                <w:sz w:val="20"/>
                <w:lang w:bidi="ar"/>
              </w:rPr>
              <w:t>举办2024南京美食</w:t>
            </w:r>
            <w:proofErr w:type="gramStart"/>
            <w:r>
              <w:rPr>
                <w:rFonts w:ascii="宋体" w:hAnsi="宋体" w:cs="宋体" w:hint="eastAsia"/>
                <w:color w:val="000000"/>
                <w:kern w:val="0"/>
                <w:sz w:val="20"/>
                <w:lang w:bidi="ar"/>
              </w:rPr>
              <w:t>美宿美购</w:t>
            </w:r>
            <w:proofErr w:type="gramEnd"/>
            <w:r>
              <w:rPr>
                <w:rFonts w:ascii="宋体" w:hAnsi="宋体" w:cs="宋体" w:hint="eastAsia"/>
                <w:color w:val="000000"/>
                <w:kern w:val="0"/>
                <w:sz w:val="20"/>
                <w:lang w:bidi="ar"/>
              </w:rPr>
              <w:t>乡村生活季活动</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jc w:val="center"/>
            </w:pPr>
            <w:r>
              <w:rPr>
                <w:rFonts w:hint="eastAsia"/>
              </w:rPr>
              <w:t>9.9</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69.9</w:t>
            </w: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r>
      <w:tr w:rsidR="00EF6E51">
        <w:trPr>
          <w:trHeight w:val="288"/>
        </w:trPr>
        <w:tc>
          <w:tcPr>
            <w:tcW w:w="8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合计</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430</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41</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 1543.5</w:t>
            </w:r>
          </w:p>
        </w:tc>
        <w:tc>
          <w:tcPr>
            <w:tcW w:w="5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pPr>
            <w:r>
              <w:rPr>
                <w:rFonts w:ascii="仿宋" w:eastAsia="仿宋" w:hAnsi="仿宋" w:cs="仿宋" w:hint="eastAsia"/>
                <w:color w:val="000000"/>
                <w:kern w:val="0"/>
                <w:sz w:val="22"/>
                <w:szCs w:val="22"/>
                <w:lang w:bidi="ar"/>
              </w:rPr>
              <w:t>9.9</w:t>
            </w:r>
          </w:p>
        </w:tc>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1983.4</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r>
    </w:tbl>
    <w:p w:rsidR="00EF6E51" w:rsidRDefault="00EF6E51">
      <w:pPr>
        <w:tabs>
          <w:tab w:val="left" w:pos="631"/>
        </w:tabs>
        <w:adjustRightInd w:val="0"/>
        <w:snapToGrid w:val="0"/>
        <w:spacing w:line="560" w:lineRule="exact"/>
        <w:outlineLvl w:val="1"/>
        <w:rPr>
          <w:rFonts w:ascii="楷体" w:eastAsia="楷体" w:hAnsi="楷体" w:cs="楷体"/>
          <w:sz w:val="32"/>
          <w:szCs w:val="32"/>
        </w:rPr>
      </w:pPr>
    </w:p>
    <w:p w:rsidR="00EF6E51" w:rsidRDefault="002230F8">
      <w:pPr>
        <w:numPr>
          <w:ilvl w:val="0"/>
          <w:numId w:val="1"/>
        </w:numPr>
        <w:tabs>
          <w:tab w:val="left" w:pos="631"/>
        </w:tabs>
        <w:adjustRightInd w:val="0"/>
        <w:snapToGrid w:val="0"/>
        <w:spacing w:line="560" w:lineRule="exact"/>
        <w:ind w:firstLine="640"/>
        <w:outlineLvl w:val="1"/>
        <w:rPr>
          <w:rFonts w:ascii="楷体" w:eastAsia="楷体" w:hAnsi="楷体" w:cs="楷体"/>
          <w:sz w:val="32"/>
          <w:szCs w:val="32"/>
        </w:rPr>
      </w:pPr>
      <w:r>
        <w:rPr>
          <w:rFonts w:ascii="楷体" w:eastAsia="楷体" w:hAnsi="楷体" w:cs="楷体" w:hint="eastAsia"/>
          <w:sz w:val="32"/>
          <w:szCs w:val="32"/>
        </w:rPr>
        <w:t>项目绩效目标</w:t>
      </w:r>
      <w:bookmarkEnd w:id="4"/>
    </w:p>
    <w:p w:rsidR="00EF6E51" w:rsidRDefault="002230F8">
      <w:pPr>
        <w:spacing w:line="300" w:lineRule="auto"/>
        <w:ind w:firstLineChars="200" w:firstLine="562"/>
        <w:outlineLvl w:val="2"/>
        <w:rPr>
          <w:rFonts w:eastAsia="仿宋"/>
          <w:b/>
          <w:bCs/>
          <w:sz w:val="28"/>
          <w:szCs w:val="28"/>
        </w:rPr>
      </w:pPr>
      <w:bookmarkStart w:id="5" w:name="_Toc13959"/>
      <w:bookmarkStart w:id="6" w:name="_Toc32762"/>
      <w:r>
        <w:rPr>
          <w:rFonts w:eastAsia="仿宋"/>
          <w:b/>
          <w:bCs/>
          <w:sz w:val="28"/>
          <w:szCs w:val="28"/>
        </w:rPr>
        <w:t>1.</w:t>
      </w:r>
      <w:r>
        <w:rPr>
          <w:rFonts w:eastAsia="仿宋" w:hint="eastAsia"/>
          <w:b/>
          <w:bCs/>
          <w:sz w:val="28"/>
          <w:szCs w:val="28"/>
        </w:rPr>
        <w:t>中长期绩效</w:t>
      </w:r>
      <w:r>
        <w:rPr>
          <w:rFonts w:eastAsia="仿宋"/>
          <w:b/>
          <w:bCs/>
          <w:sz w:val="28"/>
          <w:szCs w:val="28"/>
        </w:rPr>
        <w:t>目标</w:t>
      </w:r>
    </w:p>
    <w:p w:rsidR="00EF6E51" w:rsidRDefault="002230F8">
      <w:pPr>
        <w:adjustRightInd w:val="0"/>
        <w:snapToGrid w:val="0"/>
        <w:spacing w:line="560" w:lineRule="exact"/>
        <w:ind w:firstLineChars="200" w:firstLine="640"/>
        <w:rPr>
          <w:rFonts w:ascii="仿宋" w:eastAsia="仿宋" w:hAnsi="仿宋" w:cs="仿宋"/>
          <w:sz w:val="32"/>
          <w:szCs w:val="32"/>
        </w:rPr>
      </w:pPr>
      <w:bookmarkStart w:id="7" w:name="_Toc8262"/>
      <w:bookmarkStart w:id="8" w:name="_Toc26621"/>
      <w:bookmarkStart w:id="9" w:name="_Toc32492"/>
      <w:bookmarkStart w:id="10" w:name="_Toc25418"/>
      <w:bookmarkStart w:id="11" w:name="_Toc9180"/>
      <w:bookmarkStart w:id="12" w:name="_Toc32274"/>
      <w:bookmarkStart w:id="13" w:name="_Toc27765"/>
      <w:bookmarkStart w:id="14" w:name="_Toc929"/>
      <w:bookmarkStart w:id="15" w:name="_Toc9160"/>
      <w:bookmarkStart w:id="16" w:name="_Toc31960"/>
      <w:bookmarkEnd w:id="5"/>
      <w:r>
        <w:rPr>
          <w:rFonts w:ascii="仿宋" w:eastAsia="仿宋" w:hAnsi="仿宋" w:cs="仿宋" w:hint="eastAsia"/>
          <w:sz w:val="32"/>
          <w:szCs w:val="32"/>
        </w:rPr>
        <w:t>推动农业产业融合，提升区域基础设施建设，打造休闲农业亮点，带动全市休闲农业品质提升，提升地区休闲农业影响力。</w:t>
      </w:r>
    </w:p>
    <w:p w:rsidR="00EF6E51" w:rsidRDefault="002230F8">
      <w:pPr>
        <w:spacing w:line="300" w:lineRule="auto"/>
        <w:ind w:firstLineChars="200" w:firstLine="562"/>
        <w:outlineLvl w:val="2"/>
        <w:rPr>
          <w:rFonts w:eastAsia="仿宋"/>
          <w:b/>
          <w:bCs/>
          <w:sz w:val="28"/>
          <w:szCs w:val="28"/>
        </w:rPr>
      </w:pPr>
      <w:r>
        <w:rPr>
          <w:rFonts w:eastAsia="仿宋"/>
          <w:b/>
          <w:bCs/>
          <w:sz w:val="28"/>
          <w:szCs w:val="28"/>
        </w:rPr>
        <w:t>2.</w:t>
      </w:r>
      <w:r>
        <w:rPr>
          <w:rFonts w:eastAsia="仿宋"/>
          <w:b/>
          <w:bCs/>
          <w:sz w:val="28"/>
          <w:szCs w:val="28"/>
        </w:rPr>
        <w:t>年度</w:t>
      </w:r>
      <w:r>
        <w:rPr>
          <w:rFonts w:eastAsia="仿宋" w:hint="eastAsia"/>
          <w:b/>
          <w:bCs/>
          <w:sz w:val="28"/>
          <w:szCs w:val="28"/>
        </w:rPr>
        <w:t>绩效</w:t>
      </w:r>
      <w:r>
        <w:rPr>
          <w:rFonts w:eastAsia="仿宋"/>
          <w:b/>
          <w:bCs/>
          <w:sz w:val="28"/>
          <w:szCs w:val="28"/>
        </w:rPr>
        <w:t>目标</w:t>
      </w:r>
    </w:p>
    <w:p w:rsidR="00EF6E51" w:rsidRDefault="002230F8">
      <w:pPr>
        <w:adjustRightInd w:val="0"/>
        <w:snapToGrid w:val="0"/>
        <w:spacing w:line="560" w:lineRule="exact"/>
        <w:ind w:firstLineChars="200" w:firstLine="640"/>
        <w:rPr>
          <w:rFonts w:ascii="仿宋" w:eastAsia="仿宋" w:hAnsi="仿宋" w:cs="仿宋"/>
          <w:sz w:val="32"/>
          <w:szCs w:val="32"/>
        </w:rPr>
      </w:pPr>
      <w:bookmarkStart w:id="17" w:name="_Toc30543"/>
      <w:bookmarkStart w:id="18" w:name="_Toc18306"/>
      <w:bookmarkStart w:id="19" w:name="_Toc10708"/>
      <w:bookmarkStart w:id="20" w:name="_Toc17801"/>
      <w:bookmarkStart w:id="21" w:name="_Toc14210"/>
      <w:bookmarkStart w:id="22" w:name="_Toc7322"/>
      <w:bookmarkStart w:id="23" w:name="_Toc24519"/>
      <w:bookmarkStart w:id="24" w:name="_Toc17628"/>
      <w:bookmarkStart w:id="25" w:name="_Toc25235"/>
      <w:bookmarkStart w:id="26" w:name="_Toc21552"/>
      <w:bookmarkStart w:id="27" w:name="_Toc14568"/>
      <w:bookmarkStart w:id="28" w:name="_Toc32203"/>
      <w:bookmarkStart w:id="29" w:name="_Toc11061"/>
      <w:r>
        <w:rPr>
          <w:rFonts w:ascii="仿宋" w:eastAsia="仿宋" w:hAnsi="仿宋" w:cs="仿宋" w:hint="eastAsia"/>
          <w:sz w:val="32"/>
          <w:szCs w:val="32"/>
        </w:rPr>
        <w:t>举办第二十届农业嘉年华，扶持农业节庆、主题创意农园（含都市农园）等的数量为41个，</w:t>
      </w:r>
      <w:r>
        <w:rPr>
          <w:rFonts w:ascii="仿宋" w:eastAsia="仿宋" w:hAnsi="仿宋" w:cs="仿宋"/>
          <w:sz w:val="32"/>
          <w:szCs w:val="32"/>
        </w:rPr>
        <w:t>农业嘉年华接待游客、综合收入</w:t>
      </w:r>
      <w:r>
        <w:rPr>
          <w:rFonts w:ascii="仿宋" w:eastAsia="仿宋" w:hAnsi="仿宋" w:cs="仿宋"/>
          <w:sz w:val="32"/>
          <w:szCs w:val="32"/>
        </w:rPr>
        <w:lastRenderedPageBreak/>
        <w:t>以及休闲农业综合收入、接待游客人次均保持增长</w:t>
      </w:r>
      <w:r>
        <w:rPr>
          <w:rFonts w:ascii="仿宋" w:eastAsia="仿宋" w:hAnsi="仿宋" w:cs="仿宋" w:hint="eastAsia"/>
          <w:sz w:val="32"/>
          <w:szCs w:val="32"/>
        </w:rPr>
        <w:t>，促进休闲农业的推广。</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截至2025年5月底，2024年南京市创意休闲农业资金已全部拨付至各区，资金拨付率100%。</w:t>
      </w:r>
    </w:p>
    <w:p w:rsidR="00EF6E51" w:rsidRDefault="002230F8">
      <w:pPr>
        <w:adjustRightInd w:val="0"/>
        <w:snapToGrid w:val="0"/>
        <w:spacing w:line="560" w:lineRule="exact"/>
        <w:ind w:left="630"/>
        <w:outlineLvl w:val="1"/>
        <w:rPr>
          <w:rFonts w:ascii="黑体" w:eastAsia="黑体" w:hAnsi="黑体" w:cs="黑体"/>
          <w:sz w:val="32"/>
          <w:szCs w:val="32"/>
        </w:rPr>
      </w:pPr>
      <w:bookmarkStart w:id="30" w:name="_Toc22630"/>
      <w:r>
        <w:rPr>
          <w:rFonts w:ascii="黑体" w:eastAsia="黑体" w:hAnsi="黑体" w:cs="黑体" w:hint="eastAsia"/>
          <w:sz w:val="32"/>
          <w:szCs w:val="32"/>
        </w:rPr>
        <w:t>二、评价结论</w:t>
      </w:r>
      <w:bookmarkEnd w:id="30"/>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本次绩效评价对象为南京市2024年创意休闲农业专项资金，评价项目包含第二十届南京农业嘉年华、市本级都市农园客厅建设项目和2024南京美食</w:t>
      </w:r>
      <w:proofErr w:type="gramStart"/>
      <w:r>
        <w:rPr>
          <w:rFonts w:ascii="仿宋" w:eastAsia="仿宋" w:hAnsi="仿宋" w:cs="仿宋" w:hint="eastAsia"/>
          <w:sz w:val="32"/>
          <w:szCs w:val="32"/>
        </w:rPr>
        <w:t>美宿美购</w:t>
      </w:r>
      <w:proofErr w:type="gramEnd"/>
      <w:r>
        <w:rPr>
          <w:rFonts w:ascii="仿宋" w:eastAsia="仿宋" w:hAnsi="仿宋" w:cs="仿宋" w:hint="eastAsia"/>
          <w:sz w:val="32"/>
          <w:szCs w:val="32"/>
        </w:rPr>
        <w:t>乡村生活季活动项目，主题创意农园（含都市农园）和农业节庆三大块。按照绩效评价有关规定综合评分，评价结果采取百分制，按照综合评分划分为4个等级，其中90（含）-100分为优、80（含）-90分为良、60（含）-80分为中、60分以下为差。</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经综合评定，南京市2024年创意休闲农业专项资金绩效评价综合评分为90.59分，评价等级为“优”，得分情况见附表。</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项目按照“大专项+任务清单”的管理模式，各区统筹安排资金与任务，资金分配合理，项目管理较为规范，整体效果较好。但同时也存在需改进之处，主要表现为：资金拨付方式有待优化、管理水平还有待提升、实施进度还需进一步加快等。</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2024年，全市新支持各区主题创意农园建设达33家，举办农业节庆活动超过达10个，成功举办第二十届南京农业嘉年华，建设都市农园客厅并举办开馆仪式，举办2024南京美食</w:t>
      </w:r>
      <w:proofErr w:type="gramStart"/>
      <w:r>
        <w:rPr>
          <w:rFonts w:ascii="仿宋" w:eastAsia="仿宋" w:hAnsi="仿宋" w:cs="仿宋" w:hint="eastAsia"/>
          <w:sz w:val="32"/>
          <w:szCs w:val="32"/>
        </w:rPr>
        <w:t>美宿美购</w:t>
      </w:r>
      <w:proofErr w:type="gramEnd"/>
      <w:r>
        <w:rPr>
          <w:rFonts w:ascii="仿宋" w:eastAsia="仿宋" w:hAnsi="仿宋" w:cs="仿宋" w:hint="eastAsia"/>
          <w:sz w:val="32"/>
          <w:szCs w:val="32"/>
        </w:rPr>
        <w:t>乡村生活季活动，各项绩效目标均已完成。</w:t>
      </w:r>
    </w:p>
    <w:p w:rsidR="00EF6E51" w:rsidRDefault="002230F8">
      <w:pPr>
        <w:adjustRightInd w:val="0"/>
        <w:snapToGrid w:val="0"/>
        <w:spacing w:line="560" w:lineRule="exact"/>
        <w:ind w:firstLineChars="200" w:firstLine="640"/>
        <w:outlineLvl w:val="0"/>
        <w:rPr>
          <w:rFonts w:ascii="黑体" w:eastAsia="黑体" w:hAnsi="黑体" w:cs="黑体"/>
          <w:sz w:val="32"/>
          <w:szCs w:val="32"/>
        </w:rPr>
      </w:pPr>
      <w:bookmarkStart w:id="31" w:name="_Toc23029"/>
      <w:r>
        <w:rPr>
          <w:rFonts w:ascii="黑体" w:eastAsia="黑体" w:hAnsi="黑体" w:cs="黑体" w:hint="eastAsia"/>
          <w:sz w:val="32"/>
          <w:szCs w:val="32"/>
        </w:rPr>
        <w:t>三、项目成效</w:t>
      </w:r>
      <w:bookmarkEnd w:id="31"/>
    </w:p>
    <w:p w:rsidR="00EF6E51" w:rsidRDefault="002230F8">
      <w:pPr>
        <w:adjustRightInd w:val="0"/>
        <w:snapToGrid w:val="0"/>
        <w:spacing w:line="560" w:lineRule="exact"/>
        <w:ind w:firstLineChars="200" w:firstLine="640"/>
        <w:rPr>
          <w:rFonts w:ascii="仿宋" w:eastAsia="仿宋" w:hAnsi="仿宋" w:cs="仿宋"/>
          <w:sz w:val="32"/>
          <w:szCs w:val="32"/>
        </w:rPr>
      </w:pPr>
      <w:bookmarkStart w:id="32" w:name="_Toc139042038"/>
      <w:bookmarkStart w:id="33" w:name="_Toc139442032"/>
      <w:bookmarkStart w:id="34" w:name="_Toc28936"/>
      <w:bookmarkStart w:id="35" w:name="_Toc16296"/>
      <w:r>
        <w:rPr>
          <w:rFonts w:ascii="仿宋" w:eastAsia="仿宋" w:hAnsi="仿宋" w:cs="仿宋" w:hint="eastAsia"/>
          <w:sz w:val="32"/>
          <w:szCs w:val="32"/>
        </w:rPr>
        <w:t>南京市认真贯彻落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平总书记关于“三农”工作重要指</w:t>
      </w:r>
      <w:r>
        <w:rPr>
          <w:rFonts w:ascii="仿宋" w:eastAsia="仿宋" w:hAnsi="仿宋" w:cs="仿宋" w:hint="eastAsia"/>
          <w:sz w:val="32"/>
          <w:szCs w:val="32"/>
        </w:rPr>
        <w:lastRenderedPageBreak/>
        <w:t>示精神，紧扣乡村全面振兴目标，根据部省相关部署和要求，坚持都市现代农业的发展定位，将休闲农业作为融合一二三产业、兼容生产生活生态、融通工农城乡的新产业新业态，推动农业产业链延伸，农业附加值不断增加。2024年，全市休闲农业接待游客4454万人次，实现综合收入162.11亿元。</w:t>
      </w:r>
      <w:bookmarkEnd w:id="32"/>
      <w:bookmarkEnd w:id="33"/>
    </w:p>
    <w:p w:rsidR="00EF6E51" w:rsidRDefault="002230F8">
      <w:pPr>
        <w:spacing w:line="560" w:lineRule="exact"/>
        <w:ind w:firstLineChars="200" w:firstLine="640"/>
        <w:outlineLvl w:val="1"/>
        <w:rPr>
          <w:rFonts w:ascii="楷体" w:eastAsia="楷体" w:hAnsi="楷体" w:cs="仿宋"/>
          <w:bCs/>
          <w:sz w:val="32"/>
          <w:szCs w:val="32"/>
        </w:rPr>
      </w:pPr>
      <w:bookmarkStart w:id="36" w:name="_Toc139442033"/>
      <w:r>
        <w:rPr>
          <w:rFonts w:ascii="楷体" w:eastAsia="楷体" w:hAnsi="楷体" w:cs="仿宋" w:hint="eastAsia"/>
          <w:bCs/>
          <w:sz w:val="32"/>
          <w:szCs w:val="32"/>
        </w:rPr>
        <w:t>（一）培育了一批休闲农业精品</w:t>
      </w:r>
      <w:bookmarkEnd w:id="36"/>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照突出主题、丰富创意、挖掘内涵、提升品质的思路，全市培育市级以上主题创意农园96个，获得省级以上表彰的休闲农业点300多个。打造一批乡村休闲旅游线路，每年推介30条以上精品线路。11个村获评为中国美丽休闲乡村。休闲农业从“点上发力”到“面上开花”，实现全域高质量发展。</w:t>
      </w:r>
    </w:p>
    <w:p w:rsidR="00EF6E51" w:rsidRDefault="002230F8">
      <w:pPr>
        <w:spacing w:line="560" w:lineRule="exact"/>
        <w:ind w:firstLineChars="200" w:firstLine="640"/>
        <w:outlineLvl w:val="1"/>
        <w:rPr>
          <w:rFonts w:ascii="楷体" w:eastAsia="楷体" w:hAnsi="楷体" w:cs="仿宋"/>
          <w:bCs/>
          <w:sz w:val="32"/>
          <w:szCs w:val="32"/>
        </w:rPr>
      </w:pPr>
      <w:bookmarkStart w:id="37" w:name="_Toc139442034"/>
      <w:r>
        <w:rPr>
          <w:rFonts w:ascii="楷体" w:eastAsia="楷体" w:hAnsi="楷体" w:cs="仿宋" w:hint="eastAsia"/>
          <w:bCs/>
          <w:sz w:val="32"/>
          <w:szCs w:val="32"/>
        </w:rPr>
        <w:t>（二）休闲农业功能不断拓展</w:t>
      </w:r>
      <w:bookmarkEnd w:id="37"/>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市围绕文化体验、生态涵养、休闲旅游、健康养生、文创教育、创业就业等功能，率先在全省乃至全国探索形成了一批“休闲农业+”模式。“休闲农业+教育”模式。累计培育了59家耕读实践教育基地，出版《快乐学农季》学农指导用书，编制发布全国首个学农基地地方标准，聘请30位共享教师，推进农教融合发展。“休闲农业+会奖”模式。将乡村民宿纳入职工</w:t>
      </w:r>
      <w:proofErr w:type="gramStart"/>
      <w:r>
        <w:rPr>
          <w:rFonts w:ascii="仿宋" w:eastAsia="仿宋" w:hAnsi="仿宋" w:cs="仿宋" w:hint="eastAsia"/>
          <w:sz w:val="32"/>
          <w:szCs w:val="32"/>
        </w:rPr>
        <w:t>疗</w:t>
      </w:r>
      <w:proofErr w:type="gramEnd"/>
      <w:r>
        <w:rPr>
          <w:rFonts w:ascii="仿宋" w:eastAsia="仿宋" w:hAnsi="仿宋" w:cs="仿宋" w:hint="eastAsia"/>
          <w:sz w:val="32"/>
          <w:szCs w:val="32"/>
        </w:rPr>
        <w:t>休养基地，推动乡村旅游深度体验消费市场形成。把美丽乡村、创意农园和乡村民宿纳入党政机关会议定点范围，有效解决乡村休闲旅游“潮汐”现象，目前，全市66家乡村休闲农业点进入2024-2025年党政机关会议定点单位名录。“休闲农业+体育”模式。开展南京市乡村特色体育基地建设，认定20家乡村特色体育基地，通过体育赛事活动为乡村集聚人气。“休闲农业+都</w:t>
      </w:r>
      <w:r>
        <w:rPr>
          <w:rFonts w:ascii="仿宋" w:eastAsia="仿宋" w:hAnsi="仿宋" w:cs="仿宋" w:hint="eastAsia"/>
          <w:sz w:val="32"/>
          <w:szCs w:val="32"/>
        </w:rPr>
        <w:lastRenderedPageBreak/>
        <w:t>市农园”模式。目前共有16家项目建设单位，建设都市农园客厅项目，成立都市农园联盟。</w:t>
      </w:r>
    </w:p>
    <w:p w:rsidR="00EF6E51" w:rsidRDefault="002230F8">
      <w:pPr>
        <w:ind w:firstLineChars="200" w:firstLine="640"/>
        <w:rPr>
          <w:rFonts w:ascii="仿宋" w:eastAsia="仿宋_GB2312" w:hAnsi="仿宋" w:cs="仿宋"/>
          <w:sz w:val="32"/>
          <w:szCs w:val="32"/>
        </w:rPr>
      </w:pPr>
      <w:r>
        <w:rPr>
          <w:rFonts w:ascii="仿宋_GB2312" w:eastAsia="仿宋_GB2312" w:hint="eastAsia"/>
          <w:sz w:val="32"/>
          <w:szCs w:val="32"/>
        </w:rPr>
        <w:t>为进一步拓展农业及乡村多重功能，挖掘并盘活乡村闲置资源，促进农民增收致富，搭建城乡要素双向流动和平等交易的桥梁，推进全市休闲农业高质量发展，2024年我处</w:t>
      </w:r>
      <w:r>
        <w:rPr>
          <w:rFonts w:ascii="仿宋_GB2312" w:eastAsia="仿宋_GB2312" w:hAnsi="仿宋_GB2312" w:cs="仿宋_GB2312" w:hint="eastAsia"/>
          <w:sz w:val="32"/>
          <w:szCs w:val="32"/>
        </w:rPr>
        <w:t>开展“</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斯乡村共享小院+”特色村试点</w:t>
      </w:r>
      <w:r>
        <w:rPr>
          <w:rFonts w:ascii="仿宋_GB2312" w:eastAsia="仿宋_GB2312" w:hint="eastAsia"/>
          <w:sz w:val="32"/>
          <w:szCs w:val="32"/>
        </w:rPr>
        <w:t>工作，</w:t>
      </w:r>
      <w:r>
        <w:rPr>
          <w:rFonts w:ascii="仿宋_GB2312" w:eastAsia="仿宋_GB2312" w:hAnsi="仿宋_GB2312" w:cs="仿宋_GB2312" w:hint="eastAsia"/>
          <w:sz w:val="32"/>
          <w:szCs w:val="32"/>
        </w:rPr>
        <w:t>首批选定江北新区渡桥社区、江宁区</w:t>
      </w:r>
      <w:proofErr w:type="gramStart"/>
      <w:r>
        <w:rPr>
          <w:rFonts w:ascii="仿宋_GB2312" w:eastAsia="仿宋_GB2312" w:hAnsi="仿宋_GB2312" w:cs="仿宋_GB2312" w:hint="eastAsia"/>
          <w:sz w:val="32"/>
          <w:szCs w:val="32"/>
        </w:rPr>
        <w:t>龙尚村</w:t>
      </w:r>
      <w:proofErr w:type="gramEnd"/>
      <w:r>
        <w:rPr>
          <w:rFonts w:ascii="仿宋_GB2312" w:eastAsia="仿宋_GB2312" w:hAnsi="仿宋_GB2312" w:cs="仿宋_GB2312" w:hint="eastAsia"/>
          <w:sz w:val="32"/>
          <w:szCs w:val="32"/>
        </w:rPr>
        <w:t>、江宁区亲见村、浦口区九华社区、</w:t>
      </w:r>
      <w:proofErr w:type="gramStart"/>
      <w:r>
        <w:rPr>
          <w:rFonts w:ascii="仿宋_GB2312" w:eastAsia="仿宋_GB2312" w:hAnsi="仿宋_GB2312" w:cs="仿宋_GB2312" w:hint="eastAsia"/>
          <w:sz w:val="32"/>
          <w:szCs w:val="32"/>
        </w:rPr>
        <w:t>溧水区秋湖</w:t>
      </w:r>
      <w:proofErr w:type="gramEnd"/>
      <w:r>
        <w:rPr>
          <w:rFonts w:ascii="仿宋_GB2312" w:eastAsia="仿宋_GB2312" w:hAnsi="仿宋_GB2312" w:cs="仿宋_GB2312" w:hint="eastAsia"/>
          <w:sz w:val="32"/>
          <w:szCs w:val="32"/>
        </w:rPr>
        <w:t>村、高淳区茅山村6个村作为先行试点村。试点村围绕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在乡村给您一个家、一个院落(花园)、一个菜园(果园)的客户需求和定位，由有乡村情怀和田园梦想、热爱乡村且愿意支持乡村的“新村民”与原住村民共享共建。同时，我局制定“</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斯乡村新村民种子计划”“一站式服务计划”“探村访院计划”“乡村品牌提升运营计划”“专家志愿者助村计划”以及“金融助力计划”等六大计划，从政策、服务、宣传、指导等为推动项目科学、有序开展提供全方位的支持与保障。目前成功出租小院53栋。</w:t>
      </w:r>
    </w:p>
    <w:p w:rsidR="00EF6E51" w:rsidRDefault="002230F8">
      <w:pPr>
        <w:spacing w:line="560" w:lineRule="exact"/>
        <w:ind w:firstLineChars="200" w:firstLine="640"/>
        <w:outlineLvl w:val="1"/>
        <w:rPr>
          <w:rFonts w:ascii="楷体" w:eastAsia="楷体" w:hAnsi="楷体" w:cs="仿宋"/>
          <w:bCs/>
          <w:sz w:val="32"/>
          <w:szCs w:val="32"/>
        </w:rPr>
      </w:pPr>
      <w:bookmarkStart w:id="38" w:name="_Toc139442035"/>
      <w:r>
        <w:rPr>
          <w:rFonts w:ascii="楷体" w:eastAsia="楷体" w:hAnsi="楷体" w:cs="仿宋" w:hint="eastAsia"/>
          <w:bCs/>
          <w:sz w:val="32"/>
          <w:szCs w:val="32"/>
        </w:rPr>
        <w:t>（三）农业嘉年华影响力不断增强</w:t>
      </w:r>
      <w:bookmarkEnd w:id="38"/>
    </w:p>
    <w:bookmarkEnd w:id="34"/>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成功举办了第二十届中国南京农业嘉年华，目前正在筹备第二十一届嘉年华。市级财政每年安排一定预算资金，用于嘉年华建设，重点支持嘉年华创新模式，融合农业“四新”推广展示、乡村振兴高层论坛、农业招商洽谈、品牌农产品展示展销、南京都市</w:t>
      </w:r>
      <w:proofErr w:type="gramStart"/>
      <w:r>
        <w:rPr>
          <w:rFonts w:ascii="仿宋" w:eastAsia="仿宋" w:hAnsi="仿宋" w:cs="仿宋" w:hint="eastAsia"/>
          <w:sz w:val="32"/>
          <w:szCs w:val="32"/>
        </w:rPr>
        <w:t>圈系列</w:t>
      </w:r>
      <w:proofErr w:type="gramEnd"/>
      <w:r>
        <w:rPr>
          <w:rFonts w:ascii="仿宋" w:eastAsia="仿宋" w:hAnsi="仿宋" w:cs="仿宋" w:hint="eastAsia"/>
          <w:sz w:val="32"/>
          <w:szCs w:val="32"/>
        </w:rPr>
        <w:t>活动等内容，不断丰富内涵，提升嘉年华的品牌效应和影响力。嘉年华举办以来，取得了良好的社会效益和经济效益，</w:t>
      </w:r>
      <w:r>
        <w:rPr>
          <w:rFonts w:ascii="仿宋" w:eastAsia="仿宋" w:hAnsi="仿宋" w:cs="仿宋" w:hint="eastAsia"/>
          <w:sz w:val="32"/>
          <w:szCs w:val="32"/>
        </w:rPr>
        <w:lastRenderedPageBreak/>
        <w:t>深受广大农民和市民的欢迎。先后被国际都市农业基金会评为“国际都市农业创意与推广杰出城市奖”、</w:t>
      </w:r>
      <w:proofErr w:type="gramStart"/>
      <w:r>
        <w:rPr>
          <w:rFonts w:ascii="仿宋" w:eastAsia="仿宋" w:hAnsi="仿宋" w:cs="仿宋" w:hint="eastAsia"/>
          <w:sz w:val="32"/>
          <w:szCs w:val="32"/>
        </w:rPr>
        <w:t>被农业</w:t>
      </w:r>
      <w:proofErr w:type="gramEnd"/>
      <w:r w:rsidR="00055573">
        <w:rPr>
          <w:rFonts w:ascii="仿宋" w:eastAsia="仿宋" w:hAnsi="仿宋" w:cs="仿宋" w:hint="eastAsia"/>
          <w:sz w:val="32"/>
          <w:szCs w:val="32"/>
        </w:rPr>
        <w:t>农村</w:t>
      </w:r>
      <w:bookmarkStart w:id="39" w:name="_GoBack"/>
      <w:bookmarkEnd w:id="39"/>
      <w:r>
        <w:rPr>
          <w:rFonts w:ascii="仿宋" w:eastAsia="仿宋" w:hAnsi="仿宋" w:cs="仿宋" w:hint="eastAsia"/>
          <w:sz w:val="32"/>
          <w:szCs w:val="32"/>
        </w:rPr>
        <w:t xml:space="preserve">部评为“全国休闲农业创意奖”、被中国会展行业协会评为“中国十大节庆品牌”等。 </w:t>
      </w:r>
    </w:p>
    <w:p w:rsidR="00EF6E51" w:rsidRDefault="002230F8">
      <w:pPr>
        <w:tabs>
          <w:tab w:val="left" w:pos="5529"/>
        </w:tabs>
        <w:spacing w:line="560" w:lineRule="exact"/>
        <w:ind w:firstLineChars="200" w:firstLine="640"/>
        <w:rPr>
          <w:rFonts w:ascii="楷体" w:eastAsia="楷体" w:hAnsi="楷体"/>
          <w:spacing w:val="-2"/>
          <w:sz w:val="32"/>
          <w:szCs w:val="32"/>
        </w:rPr>
      </w:pPr>
      <w:r>
        <w:rPr>
          <w:rFonts w:ascii="楷体" w:eastAsia="楷体" w:hAnsi="楷体" w:cs="楷体" w:hint="eastAsia"/>
          <w:color w:val="000000"/>
          <w:kern w:val="0"/>
          <w:sz w:val="32"/>
          <w:szCs w:val="32"/>
        </w:rPr>
        <w:t>（四）乡村休闲旅游宣传推介力度加大</w:t>
      </w:r>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同时持续实施农业节庆项目补助，持续打造“苏韵乡情·与宁乡约”乡村休闲旅游品牌，在高淳、六合、江北等区开展“苏韵乡情·与宁乡约”乡村休闲旅游品牌专场推介活动，提升品牌影响力，激活乡村休闲旅游农业市场。引导各区结合不同时令开展农业节庆活动11场。</w:t>
      </w:r>
    </w:p>
    <w:p w:rsidR="00EF6E51" w:rsidRDefault="002230F8">
      <w:pPr>
        <w:adjustRightInd w:val="0"/>
        <w:snapToGrid w:val="0"/>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四、存在问题及原因分析</w:t>
      </w:r>
      <w:bookmarkEnd w:id="35"/>
    </w:p>
    <w:p w:rsidR="00EF6E51" w:rsidRDefault="002230F8">
      <w:pPr>
        <w:widowControl/>
        <w:spacing w:line="560" w:lineRule="exact"/>
        <w:ind w:firstLineChars="200" w:firstLine="640"/>
        <w:jc w:val="left"/>
        <w:outlineLvl w:val="1"/>
        <w:rPr>
          <w:rFonts w:ascii="楷体" w:eastAsia="楷体" w:hAnsi="楷体" w:cs="楷体"/>
          <w:color w:val="000000"/>
          <w:kern w:val="0"/>
          <w:sz w:val="32"/>
          <w:szCs w:val="32"/>
        </w:rPr>
      </w:pPr>
      <w:bookmarkStart w:id="40" w:name="_Toc139442037"/>
      <w:bookmarkStart w:id="41" w:name="_Toc107846029"/>
      <w:bookmarkStart w:id="42" w:name="_Toc31242"/>
      <w:bookmarkStart w:id="43" w:name="_Toc3103"/>
      <w:r>
        <w:rPr>
          <w:rFonts w:ascii="楷体" w:eastAsia="楷体" w:hAnsi="楷体" w:cs="楷体" w:hint="eastAsia"/>
          <w:color w:val="000000"/>
          <w:kern w:val="0"/>
          <w:sz w:val="32"/>
          <w:szCs w:val="32"/>
        </w:rPr>
        <w:t>（一）资金拨付方式需进一步优化</w:t>
      </w:r>
      <w:bookmarkEnd w:id="40"/>
      <w:bookmarkEnd w:id="41"/>
    </w:p>
    <w:p w:rsidR="00EF6E51" w:rsidRDefault="002230F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主题创意农园项目多为先建后补，各区在项目建成验收后才会将项目资金拨付给项目单位。实际上，休闲农业经营主体项目实施中的实际困难，特别是部分主体在项目实施过程中资金压力较大，急需财政资金的支持。此外由于项目资金下达较迟，导致部分主题创意农园验收率和建成率较低，预算执行率低。资金拨付流程需要进一步压缩。</w:t>
      </w:r>
    </w:p>
    <w:p w:rsidR="00EF6E51" w:rsidRDefault="002230F8">
      <w:pPr>
        <w:spacing w:line="560" w:lineRule="exact"/>
        <w:ind w:firstLineChars="200" w:firstLine="640"/>
        <w:outlineLvl w:val="1"/>
        <w:rPr>
          <w:rFonts w:ascii="楷体" w:eastAsia="楷体" w:hAnsi="楷体" w:cs="仿宋"/>
          <w:bCs/>
          <w:sz w:val="32"/>
          <w:szCs w:val="32"/>
        </w:rPr>
      </w:pPr>
      <w:bookmarkStart w:id="44" w:name="_Toc139442038"/>
      <w:r>
        <w:rPr>
          <w:rFonts w:ascii="楷体" w:eastAsia="楷体" w:hAnsi="楷体" w:cs="仿宋" w:hint="eastAsia"/>
          <w:bCs/>
          <w:sz w:val="32"/>
          <w:szCs w:val="32"/>
        </w:rPr>
        <w:t>（二）项目经营管理水平还需提升</w:t>
      </w:r>
      <w:bookmarkEnd w:id="44"/>
    </w:p>
    <w:p w:rsidR="00EF6E51" w:rsidRDefault="002230F8">
      <w:pPr>
        <w:pStyle w:val="11"/>
        <w:spacing w:line="560" w:lineRule="exact"/>
        <w:ind w:firstLine="640"/>
        <w:rPr>
          <w:rFonts w:ascii="仿宋" w:eastAsia="仿宋" w:hAnsi="仿宋" w:cs="仿宋"/>
          <w:sz w:val="32"/>
          <w:szCs w:val="32"/>
        </w:rPr>
      </w:pPr>
      <w:r>
        <w:rPr>
          <w:rFonts w:ascii="仿宋" w:eastAsia="仿宋" w:hAnsi="仿宋" w:cs="仿宋" w:hint="eastAsia"/>
          <w:sz w:val="32"/>
          <w:szCs w:val="32"/>
        </w:rPr>
        <w:t>多数主体能够按照项目实施内容完成项目建设，硬件设施水平有了大幅度的提升，但在实际运营上，如何更好的通过项目实施产生收益的能力还需要提升；产品缺乏新意，主题不够突出，经营主体在主题定位、规划布局、产品设计等方面特色不够鲜明。</w:t>
      </w:r>
    </w:p>
    <w:p w:rsidR="00EF6E51" w:rsidRDefault="002230F8">
      <w:pPr>
        <w:spacing w:line="560" w:lineRule="exact"/>
        <w:ind w:firstLineChars="200" w:firstLine="640"/>
        <w:outlineLvl w:val="1"/>
        <w:rPr>
          <w:rFonts w:ascii="楷体" w:eastAsia="楷体" w:hAnsi="楷体" w:cs="仿宋"/>
          <w:bCs/>
          <w:sz w:val="32"/>
          <w:szCs w:val="32"/>
        </w:rPr>
      </w:pPr>
      <w:bookmarkStart w:id="45" w:name="_Toc139442039"/>
      <w:r>
        <w:rPr>
          <w:rFonts w:ascii="楷体" w:eastAsia="楷体" w:hAnsi="楷体" w:cs="仿宋" w:hint="eastAsia"/>
          <w:bCs/>
          <w:sz w:val="32"/>
          <w:szCs w:val="32"/>
        </w:rPr>
        <w:t>（三）项目实施进度还需进一步加快</w:t>
      </w:r>
      <w:bookmarkEnd w:id="45"/>
    </w:p>
    <w:p w:rsidR="00EF6E51" w:rsidRDefault="002230F8">
      <w:pPr>
        <w:pStyle w:val="11"/>
        <w:spacing w:line="560" w:lineRule="exact"/>
        <w:ind w:firstLine="640"/>
        <w:rPr>
          <w:rFonts w:ascii="仿宋" w:eastAsia="仿宋" w:hAnsi="仿宋" w:cs="仿宋"/>
          <w:sz w:val="32"/>
          <w:szCs w:val="32"/>
        </w:rPr>
      </w:pPr>
      <w:r>
        <w:rPr>
          <w:rFonts w:ascii="仿宋" w:eastAsia="仿宋" w:hAnsi="仿宋" w:cs="仿宋" w:hint="eastAsia"/>
          <w:sz w:val="32"/>
          <w:szCs w:val="32"/>
        </w:rPr>
        <w:lastRenderedPageBreak/>
        <w:t>经核查，个别的农业节庆项目尚未立项，项目立项进度较慢，导致整体项目实施的进度还有待于进一步提升。各区还需要进一步加快项目实施建设以及后续验收的进度。</w:t>
      </w:r>
    </w:p>
    <w:bookmarkEnd w:id="42"/>
    <w:p w:rsidR="00EF6E51" w:rsidRDefault="002230F8">
      <w:pPr>
        <w:adjustRightInd w:val="0"/>
        <w:snapToGrid w:val="0"/>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五、有关建议</w:t>
      </w:r>
      <w:bookmarkEnd w:id="43"/>
    </w:p>
    <w:p w:rsidR="00EF6E51" w:rsidRDefault="002230F8">
      <w:pPr>
        <w:widowControl/>
        <w:spacing w:line="560" w:lineRule="exact"/>
        <w:ind w:firstLineChars="200" w:firstLine="640"/>
        <w:jc w:val="left"/>
        <w:outlineLvl w:val="1"/>
        <w:rPr>
          <w:rFonts w:ascii="楷体" w:eastAsia="楷体" w:hAnsi="楷体" w:cs="楷体"/>
          <w:color w:val="000000"/>
          <w:kern w:val="0"/>
          <w:sz w:val="32"/>
          <w:szCs w:val="32"/>
        </w:rPr>
      </w:pPr>
      <w:bookmarkStart w:id="46" w:name="_Toc107846033"/>
      <w:bookmarkStart w:id="47" w:name="_Toc139442041"/>
      <w:r>
        <w:rPr>
          <w:rFonts w:ascii="楷体" w:eastAsia="楷体" w:hAnsi="楷体" w:cs="楷体" w:hint="eastAsia"/>
          <w:color w:val="000000"/>
          <w:kern w:val="0"/>
          <w:sz w:val="32"/>
          <w:szCs w:val="32"/>
        </w:rPr>
        <w:t>（一）优化资金拨付方式</w:t>
      </w:r>
      <w:bookmarkEnd w:id="46"/>
      <w:bookmarkEnd w:id="47"/>
    </w:p>
    <w:p w:rsidR="00EF6E51" w:rsidRDefault="002230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各区要进一步优化资金拨付方式，根据各项</w:t>
      </w:r>
      <w:proofErr w:type="gramStart"/>
      <w:r>
        <w:rPr>
          <w:rFonts w:ascii="仿宋" w:eastAsia="仿宋" w:hAnsi="仿宋" w:cs="仿宋" w:hint="eastAsia"/>
          <w:sz w:val="32"/>
          <w:szCs w:val="32"/>
        </w:rPr>
        <w:t>目实施</w:t>
      </w:r>
      <w:proofErr w:type="gramEnd"/>
      <w:r>
        <w:rPr>
          <w:rFonts w:ascii="仿宋" w:eastAsia="仿宋" w:hAnsi="仿宋" w:cs="仿宋" w:hint="eastAsia"/>
          <w:sz w:val="32"/>
          <w:szCs w:val="32"/>
        </w:rPr>
        <w:t>的实际，可在分段分批拨付部分项目资金，缓解主体资金压力，推进项目按时、按质、按量完成，确保让财政资金的效益最大化，通过项目资金引导主体提质增效，推动主体发展壮大，带动全市休闲农业发展。</w:t>
      </w:r>
    </w:p>
    <w:p w:rsidR="00EF6E51" w:rsidRDefault="002230F8">
      <w:pPr>
        <w:widowControl/>
        <w:spacing w:line="560" w:lineRule="exact"/>
        <w:ind w:firstLineChars="200" w:firstLine="640"/>
        <w:jc w:val="left"/>
        <w:outlineLvl w:val="1"/>
        <w:rPr>
          <w:rFonts w:ascii="楷体" w:eastAsia="楷体" w:hAnsi="楷体" w:cs="楷体"/>
          <w:color w:val="000000"/>
          <w:kern w:val="0"/>
          <w:sz w:val="32"/>
          <w:szCs w:val="32"/>
        </w:rPr>
      </w:pPr>
      <w:bookmarkStart w:id="48" w:name="_Toc139442042"/>
      <w:r>
        <w:rPr>
          <w:rFonts w:ascii="楷体" w:eastAsia="楷体" w:hAnsi="楷体" w:cs="楷体" w:hint="eastAsia"/>
          <w:color w:val="000000"/>
          <w:kern w:val="0"/>
          <w:sz w:val="32"/>
          <w:szCs w:val="32"/>
        </w:rPr>
        <w:t>（二）完善项目管理水平</w:t>
      </w:r>
      <w:bookmarkEnd w:id="48"/>
    </w:p>
    <w:p w:rsidR="00EF6E51" w:rsidRDefault="002230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各区要加大各级各类相关专项资金统筹整合力度，严格按照《关于进一步推进南京市涉农资金“大专项+任务清单”管理模式的实施意见》（</w:t>
      </w:r>
      <w:proofErr w:type="gramStart"/>
      <w:r>
        <w:rPr>
          <w:rFonts w:ascii="仿宋" w:eastAsia="仿宋" w:hAnsi="仿宋" w:cs="仿宋" w:hint="eastAsia"/>
          <w:sz w:val="32"/>
          <w:szCs w:val="32"/>
        </w:rPr>
        <w:t>宁农计</w:t>
      </w:r>
      <w:proofErr w:type="gramEnd"/>
      <w:r>
        <w:rPr>
          <w:rFonts w:ascii="仿宋" w:eastAsia="仿宋" w:hAnsi="仿宋" w:cs="仿宋" w:hint="eastAsia"/>
          <w:sz w:val="32"/>
          <w:szCs w:val="32"/>
        </w:rPr>
        <w:t>〔2020〕19 号）等文件有关要求规范使用资金，加强资金统筹安排，加快项目实施进度，进一步提高财政资金使用效益。</w:t>
      </w:r>
    </w:p>
    <w:p w:rsidR="00EF6E51" w:rsidRDefault="002230F8">
      <w:pPr>
        <w:widowControl/>
        <w:spacing w:line="560" w:lineRule="exact"/>
        <w:ind w:firstLineChars="200" w:firstLine="640"/>
        <w:jc w:val="left"/>
        <w:outlineLvl w:val="1"/>
        <w:rPr>
          <w:rFonts w:ascii="楷体" w:eastAsia="楷体" w:hAnsi="楷体" w:cs="楷体"/>
          <w:color w:val="000000"/>
          <w:kern w:val="0"/>
          <w:sz w:val="32"/>
          <w:szCs w:val="32"/>
        </w:rPr>
      </w:pPr>
      <w:bookmarkStart w:id="49" w:name="_Toc139442043"/>
      <w:r>
        <w:rPr>
          <w:rFonts w:ascii="楷体" w:eastAsia="楷体" w:hAnsi="楷体" w:cs="楷体" w:hint="eastAsia"/>
          <w:color w:val="000000"/>
          <w:kern w:val="0"/>
          <w:sz w:val="32"/>
          <w:szCs w:val="32"/>
        </w:rPr>
        <w:t>（三）提升项目经营管理水平</w:t>
      </w:r>
      <w:bookmarkEnd w:id="49"/>
    </w:p>
    <w:p w:rsidR="00EF6E51" w:rsidRDefault="002230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是打造差异化产品。各区在前期项目申报时，要强化调研，指导各主体根据自身资源优势打造富有差异化的产品。二是优化项目经营方式，经营主体要通过学习借鉴、引进专业运营机构等方式，进一步提升自身经营管理水平。</w:t>
      </w:r>
    </w:p>
    <w:p w:rsidR="00EF6E51" w:rsidRDefault="002230F8">
      <w:pPr>
        <w:widowControl/>
        <w:spacing w:line="560" w:lineRule="exact"/>
        <w:ind w:firstLineChars="200" w:firstLine="640"/>
        <w:jc w:val="left"/>
        <w:outlineLvl w:val="1"/>
        <w:rPr>
          <w:rFonts w:ascii="楷体" w:eastAsia="楷体" w:hAnsi="楷体" w:cs="楷体"/>
          <w:color w:val="000000"/>
          <w:sz w:val="32"/>
          <w:szCs w:val="32"/>
        </w:rPr>
      </w:pPr>
      <w:bookmarkStart w:id="50" w:name="_Toc139442044"/>
      <w:bookmarkStart w:id="51" w:name="_Toc107846035"/>
      <w:r>
        <w:rPr>
          <w:rFonts w:ascii="楷体" w:eastAsia="楷体" w:hAnsi="楷体" w:cs="楷体" w:hint="eastAsia"/>
          <w:color w:val="000000"/>
          <w:kern w:val="0"/>
          <w:sz w:val="32"/>
          <w:szCs w:val="32"/>
        </w:rPr>
        <w:t>（四）创新发展模式</w:t>
      </w:r>
      <w:bookmarkEnd w:id="50"/>
      <w:bookmarkEnd w:id="51"/>
    </w:p>
    <w:p w:rsidR="00EF6E51" w:rsidRDefault="002230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继续深挖农业的产品供给、文化体验、生态涵养、休闲旅游、健康养生、文创教育、带动就业等多重功能，鼓励经营主体发挥</w:t>
      </w:r>
      <w:r>
        <w:rPr>
          <w:rFonts w:ascii="仿宋" w:eastAsia="仿宋" w:hAnsi="仿宋" w:cs="仿宋" w:hint="eastAsia"/>
          <w:sz w:val="32"/>
          <w:szCs w:val="32"/>
        </w:rPr>
        <w:lastRenderedPageBreak/>
        <w:t>自身的资源禀赋，结合后疫情时代市民的市场需求，发展市民租地等新业态，增强粘性客户，让休闲农园不仅美起来，还能活起来，带动农民富起来</w:t>
      </w:r>
    </w:p>
    <w:p w:rsidR="00EF6E51" w:rsidRDefault="00EF6E51">
      <w:pPr>
        <w:adjustRightInd w:val="0"/>
        <w:snapToGrid w:val="0"/>
        <w:spacing w:line="560" w:lineRule="exact"/>
        <w:ind w:firstLineChars="200" w:firstLine="640"/>
        <w:rPr>
          <w:rFonts w:ascii="仿宋" w:eastAsia="仿宋" w:hAnsi="仿宋" w:cs="仿宋"/>
          <w:sz w:val="32"/>
          <w:szCs w:val="32"/>
        </w:rPr>
      </w:pPr>
    </w:p>
    <w:p w:rsidR="00EF6E51" w:rsidRDefault="002230F8">
      <w:pPr>
        <w:pStyle w:val="11"/>
        <w:ind w:firstLineChars="100" w:firstLine="321"/>
        <w:outlineLvl w:val="0"/>
        <w:rPr>
          <w:rFonts w:ascii="仿宋_GB2312" w:eastAsia="仿宋_GB2312" w:hAnsi="仿宋" w:cs="仿宋"/>
          <w:b/>
          <w:bCs/>
          <w:sz w:val="32"/>
          <w:szCs w:val="32"/>
        </w:rPr>
      </w:pPr>
      <w:bookmarkStart w:id="52" w:name="_Toc139442045"/>
      <w:r>
        <w:rPr>
          <w:rFonts w:ascii="仿宋_GB2312" w:eastAsia="仿宋_GB2312" w:hAnsi="仿宋" w:cs="仿宋" w:hint="eastAsia"/>
          <w:b/>
          <w:bCs/>
          <w:sz w:val="32"/>
          <w:szCs w:val="32"/>
        </w:rPr>
        <w:t>附件：2024年南京市创意休闲农业专项资金绩效评价评分表</w:t>
      </w:r>
      <w:bookmarkEnd w:id="52"/>
    </w:p>
    <w:p w:rsidR="00EF6E51" w:rsidRDefault="00EF6E51">
      <w:pPr>
        <w:widowControl/>
        <w:spacing w:line="500" w:lineRule="exact"/>
        <w:jc w:val="right"/>
        <w:rPr>
          <w:rFonts w:ascii="仿宋_GB2312" w:eastAsia="仿宋_GB2312" w:hAnsi="仿宋" w:cs="仿宋"/>
          <w:sz w:val="32"/>
          <w:szCs w:val="32"/>
        </w:rPr>
      </w:pPr>
    </w:p>
    <w:p w:rsidR="00EF6E51" w:rsidRDefault="002230F8">
      <w:pPr>
        <w:widowControl/>
        <w:spacing w:line="500" w:lineRule="exact"/>
        <w:jc w:val="right"/>
        <w:rPr>
          <w:rFonts w:ascii="仿宋_GB2312" w:eastAsia="仿宋_GB2312" w:hAnsi="仿宋" w:cs="仿宋"/>
          <w:bCs/>
          <w:sz w:val="32"/>
          <w:szCs w:val="32"/>
        </w:rPr>
      </w:pPr>
      <w:r>
        <w:rPr>
          <w:rFonts w:ascii="仿宋_GB2312" w:eastAsia="仿宋_GB2312" w:hAnsi="仿宋" w:cs="仿宋" w:hint="eastAsia"/>
          <w:bCs/>
          <w:sz w:val="32"/>
          <w:szCs w:val="32"/>
        </w:rPr>
        <w:t>南京市农业农村局</w:t>
      </w:r>
    </w:p>
    <w:p w:rsidR="00EF6E51" w:rsidRDefault="002230F8">
      <w:pPr>
        <w:widowControl/>
        <w:spacing w:line="500" w:lineRule="exact"/>
        <w:jc w:val="right"/>
        <w:rPr>
          <w:rFonts w:ascii="仿宋_GB2312" w:eastAsia="仿宋_GB2312" w:hAnsi="仿宋" w:cs="仿宋"/>
          <w:bCs/>
          <w:sz w:val="32"/>
          <w:szCs w:val="32"/>
        </w:rPr>
      </w:pPr>
      <w:r>
        <w:rPr>
          <w:rFonts w:ascii="仿宋_GB2312" w:eastAsia="仿宋_GB2312" w:hAnsi="仿宋" w:cs="仿宋" w:hint="eastAsia"/>
          <w:bCs/>
          <w:sz w:val="32"/>
          <w:szCs w:val="32"/>
        </w:rPr>
        <w:t>2024年6月24日</w:t>
      </w:r>
    </w:p>
    <w:p w:rsidR="00EF6E51" w:rsidRDefault="00EF6E51">
      <w:pPr>
        <w:widowControl/>
        <w:spacing w:line="500" w:lineRule="exact"/>
        <w:jc w:val="right"/>
        <w:rPr>
          <w:rFonts w:ascii="仿宋_GB2312" w:eastAsia="仿宋_GB2312" w:hAnsi="仿宋" w:cs="仿宋"/>
          <w:bCs/>
          <w:sz w:val="32"/>
          <w:szCs w:val="32"/>
        </w:rPr>
      </w:pPr>
    </w:p>
    <w:p w:rsidR="00EF6E51" w:rsidRDefault="00EF6E51">
      <w:pPr>
        <w:widowControl/>
        <w:spacing w:line="500" w:lineRule="exact"/>
        <w:jc w:val="right"/>
        <w:rPr>
          <w:rFonts w:ascii="仿宋_GB2312" w:eastAsia="仿宋_GB2312" w:hAnsi="仿宋" w:cs="仿宋"/>
          <w:bCs/>
          <w:sz w:val="32"/>
          <w:szCs w:val="32"/>
        </w:rPr>
      </w:pPr>
    </w:p>
    <w:p w:rsidR="00EF6E51" w:rsidRDefault="00EF6E51">
      <w:pPr>
        <w:widowControl/>
        <w:spacing w:line="500" w:lineRule="exact"/>
        <w:jc w:val="right"/>
        <w:rPr>
          <w:rFonts w:ascii="仿宋_GB2312" w:eastAsia="仿宋_GB2312" w:hAnsi="仿宋" w:cs="仿宋"/>
          <w:bCs/>
          <w:sz w:val="32"/>
          <w:szCs w:val="32"/>
        </w:rPr>
      </w:pPr>
    </w:p>
    <w:p w:rsidR="00EF6E51" w:rsidRDefault="00EF6E51">
      <w:pPr>
        <w:widowControl/>
        <w:spacing w:line="500" w:lineRule="exact"/>
        <w:jc w:val="right"/>
        <w:rPr>
          <w:rFonts w:ascii="仿宋_GB2312" w:eastAsia="仿宋_GB2312" w:hAnsi="仿宋" w:cs="仿宋"/>
          <w:bCs/>
          <w:sz w:val="32"/>
          <w:szCs w:val="32"/>
        </w:rPr>
      </w:pPr>
    </w:p>
    <w:p w:rsidR="00EF6E51" w:rsidRDefault="00EF6E51">
      <w:pPr>
        <w:widowControl/>
        <w:spacing w:line="500" w:lineRule="exact"/>
        <w:jc w:val="right"/>
        <w:rPr>
          <w:rFonts w:ascii="仿宋_GB2312" w:eastAsia="仿宋_GB2312" w:hAnsi="仿宋" w:cs="仿宋"/>
          <w:bCs/>
          <w:sz w:val="32"/>
          <w:szCs w:val="32"/>
        </w:rPr>
      </w:pPr>
    </w:p>
    <w:p w:rsidR="00EF6E51" w:rsidRDefault="00EF6E51">
      <w:pPr>
        <w:widowControl/>
        <w:spacing w:line="500" w:lineRule="exact"/>
        <w:jc w:val="right"/>
        <w:rPr>
          <w:rFonts w:ascii="仿宋_GB2312" w:eastAsia="仿宋_GB2312" w:hAnsi="仿宋" w:cs="仿宋"/>
          <w:bCs/>
          <w:sz w:val="32"/>
          <w:szCs w:val="32"/>
        </w:rPr>
        <w:sectPr w:rsidR="00EF6E51">
          <w:footerReference w:type="default" r:id="rId11"/>
          <w:pgSz w:w="11906" w:h="16838"/>
          <w:pgMar w:top="1701" w:right="1474" w:bottom="1417" w:left="1587" w:header="851" w:footer="992" w:gutter="0"/>
          <w:cols w:space="720"/>
          <w:docGrid w:type="lines" w:linePitch="319"/>
        </w:sectPr>
      </w:pPr>
    </w:p>
    <w:p w:rsidR="00EF6E51" w:rsidRDefault="002230F8">
      <w:pPr>
        <w:spacing w:line="360" w:lineRule="auto"/>
        <w:ind w:leftChars="64" w:left="134" w:firstLineChars="200" w:firstLine="723"/>
        <w:jc w:val="center"/>
        <w:rPr>
          <w:rFonts w:ascii="仿宋" w:eastAsia="仿宋" w:hAnsi="仿宋" w:cs="仿宋"/>
          <w:b/>
          <w:bCs/>
          <w:kern w:val="0"/>
          <w:sz w:val="36"/>
          <w:szCs w:val="36"/>
          <w:lang w:bidi="ar"/>
        </w:rPr>
      </w:pPr>
      <w:r>
        <w:rPr>
          <w:rFonts w:ascii="仿宋" w:eastAsia="仿宋" w:hAnsi="仿宋" w:cs="仿宋" w:hint="eastAsia"/>
          <w:b/>
          <w:bCs/>
          <w:kern w:val="0"/>
          <w:sz w:val="36"/>
          <w:szCs w:val="36"/>
          <w:lang w:bidi="ar"/>
        </w:rPr>
        <w:lastRenderedPageBreak/>
        <w:t>2024年南京市创意休闲农业项目绩效评价指标评分表</w:t>
      </w:r>
    </w:p>
    <w:tbl>
      <w:tblPr>
        <w:tblW w:w="5373" w:type="pct"/>
        <w:jc w:val="center"/>
        <w:tblLayout w:type="fixed"/>
        <w:tblLook w:val="04A0" w:firstRow="1" w:lastRow="0" w:firstColumn="1" w:lastColumn="0" w:noHBand="0" w:noVBand="1"/>
      </w:tblPr>
      <w:tblGrid>
        <w:gridCol w:w="836"/>
        <w:gridCol w:w="47"/>
        <w:gridCol w:w="664"/>
        <w:gridCol w:w="1246"/>
        <w:gridCol w:w="813"/>
        <w:gridCol w:w="944"/>
        <w:gridCol w:w="3927"/>
        <w:gridCol w:w="4259"/>
        <w:gridCol w:w="896"/>
        <w:gridCol w:w="1599"/>
      </w:tblGrid>
      <w:tr w:rsidR="00EF6E51">
        <w:trPr>
          <w:trHeight w:val="480"/>
          <w:tblHeader/>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一级指标</w:t>
            </w:r>
          </w:p>
        </w:tc>
        <w:tc>
          <w:tcPr>
            <w:tcW w:w="233" w:type="pct"/>
            <w:gridSpan w:val="2"/>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二级指标</w:t>
            </w: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三级指标</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年度目标</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权重</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评价依据</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评分标准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得分</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EF6E51">
        <w:trPr>
          <w:trHeight w:val="1560"/>
          <w:jc w:val="center"/>
        </w:trPr>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决策</w:t>
            </w:r>
            <w:r>
              <w:rPr>
                <w:rFonts w:ascii="仿宋" w:eastAsia="仿宋" w:hAnsi="仿宋" w:cs="仿宋" w:hint="eastAsia"/>
                <w:color w:val="000000"/>
                <w:kern w:val="0"/>
                <w:sz w:val="22"/>
                <w:szCs w:val="22"/>
                <w:lang w:bidi="ar"/>
              </w:rPr>
              <w:br/>
              <w:t>（16分）</w:t>
            </w:r>
          </w:p>
        </w:tc>
        <w:tc>
          <w:tcPr>
            <w:tcW w:w="233" w:type="pct"/>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项目立项</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立项依据充分性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充分</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考察项目立项是否符合法律法规、相关政策、发展规划以及部门职责，用以反映和考核专项立项依据情况。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评分要点：</w:t>
            </w:r>
            <w:r>
              <w:rPr>
                <w:rFonts w:ascii="仿宋" w:eastAsia="仿宋" w:hAnsi="仿宋" w:cs="仿宋" w:hint="eastAsia"/>
                <w:color w:val="000000"/>
                <w:kern w:val="0"/>
                <w:sz w:val="22"/>
                <w:szCs w:val="22"/>
                <w:lang w:bidi="ar"/>
              </w:rPr>
              <w:br/>
              <w:t>①项目立项是否符合国家法律法规、国民经济发展规划和相关政策（1分）；</w:t>
            </w:r>
            <w:r>
              <w:rPr>
                <w:rFonts w:ascii="仿宋" w:eastAsia="仿宋" w:hAnsi="仿宋" w:cs="仿宋" w:hint="eastAsia"/>
                <w:color w:val="000000"/>
                <w:kern w:val="0"/>
                <w:sz w:val="22"/>
                <w:szCs w:val="22"/>
                <w:lang w:bidi="ar"/>
              </w:rPr>
              <w:br/>
              <w:t>②项目立项是否与部门职责范围相符 ,属于部门履职所需(1分）。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2</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rPr>
                <w:rFonts w:ascii="仿宋" w:eastAsia="仿宋" w:hAnsi="仿宋" w:cs="仿宋"/>
                <w:color w:val="000000"/>
                <w:sz w:val="22"/>
                <w:szCs w:val="22"/>
              </w:rPr>
            </w:pPr>
          </w:p>
        </w:tc>
      </w:tr>
      <w:tr w:rsidR="00EF6E51">
        <w:trPr>
          <w:trHeight w:val="156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立项程序规范性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规范</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考察专项申请、设立过程是否符合财政专项资金要求，用以反映和考核专项立项程序的规范情况。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评分要点：</w:t>
            </w:r>
            <w:r>
              <w:rPr>
                <w:rFonts w:ascii="仿宋" w:eastAsia="仿宋" w:hAnsi="仿宋" w:cs="仿宋" w:hint="eastAsia"/>
                <w:color w:val="000000"/>
                <w:kern w:val="0"/>
                <w:sz w:val="22"/>
                <w:szCs w:val="22"/>
                <w:lang w:bidi="ar"/>
              </w:rPr>
              <w:br/>
              <w:t>①项目是否按照规定的程序申请设置（1分）；</w:t>
            </w:r>
            <w:r>
              <w:rPr>
                <w:rFonts w:ascii="仿宋" w:eastAsia="仿宋" w:hAnsi="仿宋" w:cs="仿宋" w:hint="eastAsia"/>
                <w:color w:val="000000"/>
                <w:kern w:val="0"/>
                <w:sz w:val="22"/>
                <w:szCs w:val="22"/>
                <w:lang w:bidi="ar"/>
              </w:rPr>
              <w:br/>
              <w:t>②审核审批流程是否规范，审批文件、材料是否符合相关要求（1分）。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2</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2184"/>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绩效目标</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绩效目标合理性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合理</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考察专项所设定的绩效目标是否依据充分，是否符合客观实际，用以反映和考核专项绩效目标与专项实施的相符情况。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评分要点：</w:t>
            </w:r>
            <w:r>
              <w:rPr>
                <w:rFonts w:ascii="仿宋" w:eastAsia="仿宋" w:hAnsi="仿宋" w:cs="仿宋" w:hint="eastAsia"/>
                <w:color w:val="000000"/>
                <w:kern w:val="0"/>
                <w:sz w:val="22"/>
                <w:szCs w:val="22"/>
                <w:lang w:bidi="ar"/>
              </w:rPr>
              <w:br/>
              <w:t>①项目是否有绩效目标（1分） ;</w:t>
            </w:r>
            <w:r>
              <w:rPr>
                <w:rFonts w:ascii="仿宋" w:eastAsia="仿宋" w:hAnsi="仿宋" w:cs="仿宋" w:hint="eastAsia"/>
                <w:color w:val="000000"/>
                <w:kern w:val="0"/>
                <w:sz w:val="22"/>
                <w:szCs w:val="22"/>
                <w:lang w:bidi="ar"/>
              </w:rPr>
              <w:br/>
              <w:t>②项目绩效目标与实际工作内容是否具有相关性（1分） ;</w:t>
            </w:r>
            <w:r>
              <w:rPr>
                <w:rFonts w:ascii="仿宋" w:eastAsia="仿宋" w:hAnsi="仿宋" w:cs="仿宋" w:hint="eastAsia"/>
                <w:color w:val="000000"/>
                <w:kern w:val="0"/>
                <w:sz w:val="22"/>
                <w:szCs w:val="22"/>
                <w:lang w:bidi="ar"/>
              </w:rPr>
              <w:br/>
              <w:t>③项目预期产出效益和效果是否符合正常的业绩水平，是否与预算确定的项目投资额或资金量相匹配（1分）。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3</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2184"/>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绩效指标明确性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明确</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考察专项绩效目标设定的绩效指标是否清晰、细化、可衡量等，用以反映和考核专项绩效目标的</w:t>
            </w:r>
            <w:proofErr w:type="gramStart"/>
            <w:r>
              <w:rPr>
                <w:rFonts w:ascii="仿宋" w:eastAsia="仿宋" w:hAnsi="仿宋" w:cs="仿宋" w:hint="eastAsia"/>
                <w:color w:val="000000"/>
                <w:kern w:val="0"/>
                <w:sz w:val="22"/>
                <w:szCs w:val="22"/>
                <w:lang w:bidi="ar"/>
              </w:rPr>
              <w:t>明细化</w:t>
            </w:r>
            <w:proofErr w:type="gramEnd"/>
            <w:r>
              <w:rPr>
                <w:rFonts w:ascii="仿宋" w:eastAsia="仿宋" w:hAnsi="仿宋" w:cs="仿宋" w:hint="eastAsia"/>
                <w:color w:val="000000"/>
                <w:kern w:val="0"/>
                <w:sz w:val="22"/>
                <w:szCs w:val="22"/>
                <w:lang w:bidi="ar"/>
              </w:rPr>
              <w:t>程度。</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评价要点 :</w:t>
            </w:r>
            <w:r>
              <w:rPr>
                <w:rFonts w:ascii="仿宋" w:eastAsia="仿宋" w:hAnsi="仿宋" w:cs="仿宋" w:hint="eastAsia"/>
                <w:color w:val="000000"/>
                <w:kern w:val="0"/>
                <w:sz w:val="22"/>
                <w:szCs w:val="22"/>
                <w:lang w:bidi="ar"/>
              </w:rPr>
              <w:br/>
              <w:t>①是否将项目绩效目标细化分解为具体的绩效指标 （1分）;</w:t>
            </w:r>
            <w:r>
              <w:rPr>
                <w:rFonts w:ascii="仿宋" w:eastAsia="仿宋" w:hAnsi="仿宋" w:cs="仿宋" w:hint="eastAsia"/>
                <w:color w:val="000000"/>
                <w:kern w:val="0"/>
                <w:sz w:val="22"/>
                <w:szCs w:val="22"/>
                <w:lang w:bidi="ar"/>
              </w:rPr>
              <w:br/>
              <w:t>②是否通过清晰、可衡量的指标</w:t>
            </w:r>
            <w:proofErr w:type="gramStart"/>
            <w:r>
              <w:rPr>
                <w:rFonts w:ascii="仿宋" w:eastAsia="仿宋" w:hAnsi="仿宋" w:cs="仿宋" w:hint="eastAsia"/>
                <w:color w:val="000000"/>
                <w:kern w:val="0"/>
                <w:sz w:val="22"/>
                <w:szCs w:val="22"/>
                <w:lang w:bidi="ar"/>
              </w:rPr>
              <w:t>值予以</w:t>
            </w:r>
            <w:proofErr w:type="gramEnd"/>
            <w:r>
              <w:rPr>
                <w:rFonts w:ascii="仿宋" w:eastAsia="仿宋" w:hAnsi="仿宋" w:cs="仿宋" w:hint="eastAsia"/>
                <w:color w:val="000000"/>
                <w:kern w:val="0"/>
                <w:sz w:val="22"/>
                <w:szCs w:val="22"/>
                <w:lang w:bidi="ar"/>
              </w:rPr>
              <w:t>体现（1分） ;</w:t>
            </w:r>
            <w:r>
              <w:rPr>
                <w:rFonts w:ascii="仿宋" w:eastAsia="仿宋" w:hAnsi="仿宋" w:cs="仿宋" w:hint="eastAsia"/>
                <w:color w:val="000000"/>
                <w:kern w:val="0"/>
                <w:sz w:val="22"/>
                <w:szCs w:val="22"/>
                <w:lang w:bidi="ar"/>
              </w:rPr>
              <w:br/>
              <w:t>③是否与项目目标任务数或计划数相对应（1分）。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3</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1872"/>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资金投入</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预算编制科学性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科学</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项目预算编制是否经过科学论证、有明确标准，资金额度与年度目标是否相适应，用以反映和考核项目预算编制的合理性。</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评价要点：</w:t>
            </w:r>
            <w:r>
              <w:rPr>
                <w:rFonts w:ascii="仿宋" w:eastAsia="仿宋" w:hAnsi="仿宋" w:cs="仿宋" w:hint="eastAsia"/>
                <w:color w:val="000000"/>
                <w:kern w:val="0"/>
                <w:sz w:val="22"/>
                <w:szCs w:val="22"/>
                <w:lang w:bidi="ar"/>
              </w:rPr>
              <w:br/>
              <w:t>①预算编制是否细化到子项目，预算额度测算依据充分，按照标准编制（1.5分）；</w:t>
            </w:r>
            <w:r>
              <w:rPr>
                <w:rFonts w:ascii="仿宋" w:eastAsia="仿宋" w:hAnsi="仿宋" w:cs="仿宋" w:hint="eastAsia"/>
                <w:color w:val="000000"/>
                <w:kern w:val="0"/>
                <w:sz w:val="22"/>
                <w:szCs w:val="22"/>
                <w:lang w:bidi="ar"/>
              </w:rPr>
              <w:br/>
              <w:t>②预算编制和审批流程是否规范，符合制度规定（1.5分）。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3</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156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资金分配合理性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合理</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项目资金分配依据是否充分，项目资金分配是否合理</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评价要点 :</w:t>
            </w:r>
            <w:r>
              <w:rPr>
                <w:rFonts w:ascii="仿宋" w:eastAsia="仿宋" w:hAnsi="仿宋" w:cs="仿宋" w:hint="eastAsia"/>
                <w:color w:val="000000"/>
                <w:kern w:val="0"/>
                <w:sz w:val="22"/>
                <w:szCs w:val="22"/>
                <w:lang w:bidi="ar"/>
              </w:rPr>
              <w:br/>
              <w:t>①预算资金分配依据是否充分（1.5分） ;</w:t>
            </w:r>
            <w:r>
              <w:rPr>
                <w:rFonts w:ascii="仿宋" w:eastAsia="仿宋" w:hAnsi="仿宋" w:cs="仿宋" w:hint="eastAsia"/>
                <w:color w:val="000000"/>
                <w:kern w:val="0"/>
                <w:sz w:val="22"/>
                <w:szCs w:val="22"/>
                <w:lang w:bidi="ar"/>
              </w:rPr>
              <w:br/>
              <w:t>②资金分配额度是否合理 ,与项目单位或地方实际是否相适应（1.5分）。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3</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936"/>
          <w:jc w:val="center"/>
        </w:trPr>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过程</w:t>
            </w:r>
            <w:r>
              <w:rPr>
                <w:rFonts w:ascii="仿宋" w:eastAsia="仿宋" w:hAnsi="仿宋" w:cs="仿宋" w:hint="eastAsia"/>
                <w:color w:val="000000"/>
                <w:kern w:val="0"/>
                <w:sz w:val="22"/>
                <w:szCs w:val="22"/>
                <w:lang w:bidi="ar"/>
              </w:rPr>
              <w:br/>
              <w:t>（24分）</w:t>
            </w:r>
          </w:p>
        </w:tc>
        <w:tc>
          <w:tcPr>
            <w:tcW w:w="233" w:type="pct"/>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资金管理</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资金到位率</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实际到位资金与预算资金的比率 ,用以反映和考核资金落实情况对项目实施的总体保障程度。</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资金到位率 = (实际到位资金/预算资金) ×100%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936"/>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预算执行率</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项目预算资金是否按照计划执行 ,用以反映或考核项目预算执行情况。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预算执行率 = (实际支出资金/实际到位资金) ×100%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1.13</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预算执行率为28.35%</w:t>
            </w:r>
          </w:p>
        </w:tc>
      </w:tr>
      <w:tr w:rsidR="00EF6E51">
        <w:trPr>
          <w:trHeight w:val="288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资金使用合</w:t>
            </w:r>
            <w:proofErr w:type="gramStart"/>
            <w:r>
              <w:rPr>
                <w:rFonts w:ascii="仿宋" w:eastAsia="仿宋" w:hAnsi="仿宋" w:cs="仿宋" w:hint="eastAsia"/>
                <w:color w:val="000000"/>
                <w:kern w:val="0"/>
                <w:sz w:val="22"/>
                <w:szCs w:val="22"/>
                <w:lang w:bidi="ar"/>
              </w:rPr>
              <w:t>规</w:t>
            </w:r>
            <w:proofErr w:type="gramEnd"/>
            <w:r>
              <w:rPr>
                <w:rFonts w:ascii="仿宋" w:eastAsia="仿宋" w:hAnsi="仿宋" w:cs="仿宋" w:hint="eastAsia"/>
                <w:color w:val="000000"/>
                <w:kern w:val="0"/>
                <w:sz w:val="22"/>
                <w:szCs w:val="22"/>
                <w:lang w:bidi="ar"/>
              </w:rPr>
              <w:t>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合</w:t>
            </w:r>
            <w:proofErr w:type="gramStart"/>
            <w:r>
              <w:rPr>
                <w:rFonts w:ascii="仿宋" w:eastAsia="仿宋" w:hAnsi="仿宋" w:cs="仿宋" w:hint="eastAsia"/>
                <w:color w:val="000000"/>
                <w:kern w:val="0"/>
                <w:sz w:val="22"/>
                <w:szCs w:val="22"/>
                <w:lang w:bidi="ar"/>
              </w:rPr>
              <w:t>规</w:t>
            </w:r>
            <w:proofErr w:type="gramEnd"/>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项目资金使用是否符合相关 的财务管理制度规定 ,用以反 映和考核项目资金的规范运 行情况。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评价要点 :</w:t>
            </w:r>
            <w:r>
              <w:rPr>
                <w:rFonts w:ascii="仿宋" w:eastAsia="仿宋" w:hAnsi="仿宋" w:cs="仿宋" w:hint="eastAsia"/>
                <w:color w:val="000000"/>
                <w:kern w:val="0"/>
                <w:sz w:val="22"/>
                <w:szCs w:val="22"/>
                <w:lang w:bidi="ar"/>
              </w:rPr>
              <w:br/>
              <w:t>①是否符合国家财经法规和财务管理制度以及有关专项资金管理办法的规定，资金的拨付是否有完整的审批程序和手续（1分） ;</w:t>
            </w:r>
            <w:r>
              <w:rPr>
                <w:rFonts w:ascii="仿宋" w:eastAsia="仿宋" w:hAnsi="仿宋" w:cs="仿宋" w:hint="eastAsia"/>
                <w:color w:val="000000"/>
                <w:kern w:val="0"/>
                <w:sz w:val="22"/>
                <w:szCs w:val="22"/>
                <w:lang w:bidi="ar"/>
              </w:rPr>
              <w:br/>
              <w:t>②是否符合项目预算批复或合同规定的用途（1分） ;</w:t>
            </w:r>
            <w:r>
              <w:rPr>
                <w:rFonts w:ascii="仿宋" w:eastAsia="仿宋" w:hAnsi="仿宋" w:cs="仿宋" w:hint="eastAsia"/>
                <w:color w:val="000000"/>
                <w:kern w:val="0"/>
                <w:sz w:val="22"/>
                <w:szCs w:val="22"/>
                <w:lang w:bidi="ar"/>
              </w:rPr>
              <w:br/>
              <w:t>③是否存在截留、挤占、挪用、虚列支出等情况（1分）。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156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组织实施</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管理制度健全性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健全</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项目实施单位的业务管理制度、资金管理制度是否健全，用以反映和考核业务管理制度、资金管理制度对项目顺利实施的保障情况。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①已制定或具有相应的管理制度；</w:t>
            </w:r>
            <w:r>
              <w:rPr>
                <w:rFonts w:ascii="仿宋" w:eastAsia="仿宋" w:hAnsi="仿宋" w:cs="仿宋" w:hint="eastAsia"/>
                <w:color w:val="000000"/>
                <w:kern w:val="0"/>
                <w:sz w:val="20"/>
                <w:lang w:bidi="ar"/>
              </w:rPr>
              <w:br/>
              <w:t>②管理制度合法、合</w:t>
            </w:r>
            <w:proofErr w:type="gramStart"/>
            <w:r>
              <w:rPr>
                <w:rFonts w:ascii="仿宋" w:eastAsia="仿宋" w:hAnsi="仿宋" w:cs="仿宋" w:hint="eastAsia"/>
                <w:color w:val="000000"/>
                <w:kern w:val="0"/>
                <w:sz w:val="20"/>
                <w:lang w:bidi="ar"/>
              </w:rPr>
              <w:t>规</w:t>
            </w:r>
            <w:proofErr w:type="gramEnd"/>
            <w:r>
              <w:rPr>
                <w:rFonts w:ascii="仿宋" w:eastAsia="仿宋" w:hAnsi="仿宋" w:cs="仿宋" w:hint="eastAsia"/>
                <w:color w:val="000000"/>
                <w:kern w:val="0"/>
                <w:sz w:val="20"/>
                <w:lang w:bidi="ar"/>
              </w:rPr>
              <w:t>、完整；</w:t>
            </w:r>
            <w:r>
              <w:rPr>
                <w:rFonts w:ascii="仿宋" w:eastAsia="仿宋" w:hAnsi="仿宋" w:cs="仿宋" w:hint="eastAsia"/>
                <w:color w:val="000000"/>
                <w:kern w:val="0"/>
                <w:sz w:val="20"/>
                <w:lang w:bidi="ar"/>
              </w:rPr>
              <w:br/>
              <w:t>③已制定或具有相应的业务和资金管理制度；</w:t>
            </w:r>
            <w:r>
              <w:rPr>
                <w:rFonts w:ascii="仿宋" w:eastAsia="仿宋" w:hAnsi="仿宋" w:cs="仿宋" w:hint="eastAsia"/>
                <w:color w:val="000000"/>
                <w:kern w:val="0"/>
                <w:sz w:val="20"/>
                <w:lang w:bidi="ar"/>
              </w:rPr>
              <w:br/>
              <w:t>④业务和资金管理制度合法、合</w:t>
            </w:r>
            <w:proofErr w:type="gramStart"/>
            <w:r>
              <w:rPr>
                <w:rFonts w:ascii="仿宋" w:eastAsia="仿宋" w:hAnsi="仿宋" w:cs="仿宋" w:hint="eastAsia"/>
                <w:color w:val="000000"/>
                <w:kern w:val="0"/>
                <w:sz w:val="20"/>
                <w:lang w:bidi="ar"/>
              </w:rPr>
              <w:t>规</w:t>
            </w:r>
            <w:proofErr w:type="gramEnd"/>
            <w:r>
              <w:rPr>
                <w:rFonts w:ascii="仿宋" w:eastAsia="仿宋" w:hAnsi="仿宋" w:cs="仿宋" w:hint="eastAsia"/>
                <w:color w:val="000000"/>
                <w:kern w:val="0"/>
                <w:sz w:val="20"/>
                <w:lang w:bidi="ar"/>
              </w:rPr>
              <w:t>、完整。</w:t>
            </w:r>
            <w:r>
              <w:rPr>
                <w:rFonts w:ascii="仿宋" w:eastAsia="仿宋" w:hAnsi="仿宋" w:cs="仿宋" w:hint="eastAsia"/>
                <w:color w:val="000000"/>
                <w:kern w:val="0"/>
                <w:sz w:val="20"/>
                <w:lang w:bidi="ar"/>
              </w:rPr>
              <w:br/>
              <w:t>以上条件均满足得满分，否则</w:t>
            </w:r>
            <w:proofErr w:type="gramStart"/>
            <w:r>
              <w:rPr>
                <w:rFonts w:ascii="仿宋" w:eastAsia="仿宋" w:hAnsi="仿宋" w:cs="仿宋" w:hint="eastAsia"/>
                <w:color w:val="000000"/>
                <w:kern w:val="0"/>
                <w:sz w:val="20"/>
                <w:lang w:bidi="ar"/>
              </w:rPr>
              <w:t>扣相应</w:t>
            </w:r>
            <w:proofErr w:type="gramEnd"/>
            <w:r>
              <w:rPr>
                <w:rFonts w:ascii="仿宋" w:eastAsia="仿宋" w:hAnsi="仿宋" w:cs="仿宋" w:hint="eastAsia"/>
                <w:color w:val="000000"/>
                <w:kern w:val="0"/>
                <w:sz w:val="20"/>
                <w:lang w:bidi="ar"/>
              </w:rPr>
              <w:t>权重分。</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6</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78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nil"/>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制度执行有效性</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有效</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1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sz w:val="20"/>
              </w:rPr>
            </w:pPr>
            <w:r>
              <w:rPr>
                <w:rFonts w:ascii="仿宋" w:eastAsia="仿宋" w:hAnsi="仿宋" w:cs="仿宋" w:hint="eastAsia"/>
                <w:color w:val="000000"/>
                <w:kern w:val="0"/>
                <w:sz w:val="20"/>
                <w:lang w:bidi="ar"/>
              </w:rPr>
              <w:t>项目管理制度执行是否有效</w:t>
            </w:r>
          </w:p>
        </w:tc>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left"/>
              <w:textAlignment w:val="center"/>
              <w:rPr>
                <w:rFonts w:ascii="仿宋" w:eastAsia="仿宋" w:hAnsi="仿宋" w:cs="仿宋"/>
                <w:color w:val="000000"/>
                <w:kern w:val="0"/>
                <w:sz w:val="20"/>
                <w:lang w:bidi="ar"/>
              </w:rPr>
            </w:pPr>
            <w:r>
              <w:rPr>
                <w:rFonts w:ascii="仿宋" w:eastAsia="仿宋" w:hAnsi="仿宋" w:cs="仿宋" w:hint="eastAsia"/>
                <w:color w:val="000000"/>
                <w:kern w:val="0"/>
                <w:sz w:val="20"/>
                <w:lang w:bidi="ar"/>
              </w:rPr>
              <w:t>项目制度执行有效得满分，否则每有一项未有效执行，扣10%权重分，扣完为止。</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档案资料不齐全且未归档完毕、少部分项目建设内容未全部得以实施</w:t>
            </w:r>
          </w:p>
        </w:tc>
      </w:tr>
      <w:tr w:rsidR="00EF6E51">
        <w:trPr>
          <w:trHeight w:val="1248"/>
          <w:jc w:val="center"/>
        </w:trPr>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产出（30分）</w:t>
            </w:r>
          </w:p>
        </w:tc>
        <w:tc>
          <w:tcPr>
            <w:tcW w:w="2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数量指标</w:t>
            </w:r>
          </w:p>
        </w:tc>
        <w:tc>
          <w:tcPr>
            <w:tcW w:w="409" w:type="pct"/>
            <w:tcBorders>
              <w:top w:val="single" w:sz="4" w:space="0" w:color="000000"/>
              <w:left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举办活动、建设主题创意农园</w:t>
            </w:r>
          </w:p>
        </w:tc>
        <w:tc>
          <w:tcPr>
            <w:tcW w:w="267" w:type="pc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数量≥23</w:t>
            </w:r>
          </w:p>
        </w:tc>
        <w:tc>
          <w:tcPr>
            <w:tcW w:w="310" w:type="pc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12</w:t>
            </w:r>
          </w:p>
        </w:tc>
        <w:tc>
          <w:tcPr>
            <w:tcW w:w="1289" w:type="pc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反映和考核项目数量目标的实现程度。</w:t>
            </w:r>
          </w:p>
        </w:tc>
        <w:tc>
          <w:tcPr>
            <w:tcW w:w="1398" w:type="pc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数量≥23场得满分，每少一场扣1.5分</w:t>
            </w:r>
          </w:p>
        </w:tc>
        <w:tc>
          <w:tcPr>
            <w:tcW w:w="294" w:type="pc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12</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624"/>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举办第20届农业嘉年华</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1次</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反映和考核项目数量目标的实现程度。</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举办第20届农业嘉年华得满分，未举办得0分。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6</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624"/>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时效指标</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项目建成率</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建成</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反映项目按预定计划完成情况</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项目建成率 = (实际建成项目数/计划建成项目数) ×100% ，得分=项目建成率*总分值.</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3.79</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建成率为75.8%</w:t>
            </w:r>
          </w:p>
        </w:tc>
      </w:tr>
      <w:tr w:rsidR="00EF6E51">
        <w:trPr>
          <w:trHeight w:val="90"/>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项目验收率</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达标</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反映了项目交付质量的达标程度</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项目验收率=（通过验收项目数/计划建成项目数）×100% ，得分=项目验收率*总分值。</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1.67</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验收率33.3%</w:t>
            </w:r>
          </w:p>
        </w:tc>
      </w:tr>
      <w:tr w:rsidR="00EF6E51">
        <w:trPr>
          <w:trHeight w:val="624"/>
          <w:jc w:val="center"/>
        </w:trPr>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效益（30分）</w:t>
            </w:r>
          </w:p>
        </w:tc>
        <w:tc>
          <w:tcPr>
            <w:tcW w:w="2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经济效益</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农业嘉年华综合收入增长率</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增长</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反映项目实施产生的经济效益。</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保持增长得满分；较去年每下降5%扣1分，扣完为止。</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1248"/>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休闲农业综合收入增长率</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增长</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反映项目实施产生的经济效益。</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项目建成后收入与建成前进行比较，时间收入增长得分，视项目总体情况给分。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个别项目去年并未营业</w:t>
            </w:r>
          </w:p>
        </w:tc>
      </w:tr>
      <w:tr w:rsidR="00EF6E51">
        <w:trPr>
          <w:trHeight w:val="936"/>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val="restart"/>
            <w:tcBorders>
              <w:top w:val="single" w:sz="4" w:space="0" w:color="000000"/>
              <w:left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社会效益</w:t>
            </w:r>
          </w:p>
          <w:p w:rsidR="00EF6E51" w:rsidRDefault="00EF6E51">
            <w:pPr>
              <w:widowControl/>
              <w:jc w:val="center"/>
              <w:textAlignment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农业嘉年华接待游客人次增长率</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增长</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视达成</w:t>
            </w:r>
            <w:proofErr w:type="gramEnd"/>
            <w:r>
              <w:rPr>
                <w:rFonts w:ascii="仿宋" w:eastAsia="仿宋" w:hAnsi="仿宋" w:cs="仿宋" w:hint="eastAsia"/>
                <w:color w:val="000000"/>
                <w:kern w:val="0"/>
                <w:sz w:val="22"/>
                <w:szCs w:val="22"/>
                <w:lang w:bidi="ar"/>
              </w:rPr>
              <w:t>情况酌情给分。</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保持增长得满分；较去年每下降5%扣1分，扣完为止。</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1273"/>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tcBorders>
              <w:left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宣传推广次数</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50篇</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反映项目实施产生的社会效益。</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宣传推广大于50次得满分，每少1次扣0.2分。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936"/>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vMerge/>
            <w:tcBorders>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休闲农业接待游客人次增长率</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增长</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视达成</w:t>
            </w:r>
            <w:proofErr w:type="gramEnd"/>
            <w:r>
              <w:rPr>
                <w:rFonts w:ascii="仿宋" w:eastAsia="仿宋" w:hAnsi="仿宋" w:cs="仿宋" w:hint="eastAsia"/>
                <w:color w:val="000000"/>
                <w:kern w:val="0"/>
                <w:sz w:val="22"/>
                <w:szCs w:val="22"/>
                <w:lang w:bidi="ar"/>
              </w:rPr>
              <w:t>情况酌情给分。</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保持增长得满分；较去年每下降5%扣1分，扣完为止。</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EF6E51">
            <w:pPr>
              <w:widowControl/>
              <w:jc w:val="center"/>
              <w:textAlignment w:val="center"/>
              <w:rPr>
                <w:rFonts w:ascii="仿宋" w:eastAsia="仿宋" w:hAnsi="仿宋" w:cs="仿宋"/>
                <w:color w:val="000000"/>
                <w:sz w:val="22"/>
                <w:szCs w:val="22"/>
              </w:rPr>
            </w:pPr>
          </w:p>
        </w:tc>
      </w:tr>
      <w:tr w:rsidR="00EF6E51">
        <w:trPr>
          <w:trHeight w:val="936"/>
          <w:jc w:val="center"/>
        </w:trPr>
        <w:tc>
          <w:tcPr>
            <w:tcW w:w="2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color w:val="000000"/>
                <w:sz w:val="22"/>
                <w:szCs w:val="22"/>
              </w:rPr>
            </w:pPr>
          </w:p>
        </w:tc>
        <w:tc>
          <w:tcPr>
            <w:tcW w:w="2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满意度指标</w:t>
            </w: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受益企业满意度</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满意</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w:t>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满意度达90%得全分，低于90%酌情给分。</w:t>
            </w: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满意度达90%得全分，低于90%酌情给分。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10</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6E51" w:rsidRDefault="002230F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满意度96.74%</w:t>
            </w:r>
          </w:p>
        </w:tc>
      </w:tr>
      <w:tr w:rsidR="00EF6E51">
        <w:trPr>
          <w:trHeight w:val="376"/>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合计</w:t>
            </w:r>
          </w:p>
        </w:tc>
        <w:tc>
          <w:tcPr>
            <w:tcW w:w="2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b/>
                <w:bCs/>
                <w:color w:val="000000"/>
                <w:sz w:val="22"/>
                <w:szCs w:val="22"/>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b/>
                <w:bCs/>
                <w:color w:val="000000"/>
                <w:sz w:val="22"/>
                <w:szCs w:val="22"/>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b/>
                <w:bCs/>
                <w:color w:val="000000"/>
                <w:sz w:val="22"/>
                <w:szCs w:val="22"/>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jc w:val="center"/>
              <w:rPr>
                <w:rFonts w:ascii="仿宋" w:eastAsia="仿宋" w:hAnsi="仿宋" w:cs="仿宋"/>
                <w:b/>
                <w:bCs/>
                <w:color w:val="000000"/>
                <w:sz w:val="22"/>
                <w:szCs w:val="22"/>
              </w:rPr>
            </w:pPr>
            <w:r>
              <w:rPr>
                <w:rFonts w:ascii="仿宋" w:eastAsia="仿宋" w:hAnsi="仿宋" w:cs="仿宋"/>
                <w:b/>
                <w:bCs/>
                <w:color w:val="000000"/>
                <w:sz w:val="22"/>
                <w:szCs w:val="22"/>
              </w:rPr>
              <w:fldChar w:fldCharType="begin"/>
            </w:r>
            <w:r>
              <w:rPr>
                <w:rFonts w:ascii="仿宋" w:eastAsia="仿宋" w:hAnsi="仿宋" w:cs="仿宋"/>
                <w:b/>
                <w:bCs/>
                <w:color w:val="000000"/>
                <w:sz w:val="22"/>
                <w:szCs w:val="22"/>
              </w:rPr>
              <w:instrText xml:space="preserve"> =SUM(ABOVE) \* MERGEFORMAT </w:instrText>
            </w:r>
            <w:r>
              <w:rPr>
                <w:rFonts w:ascii="仿宋" w:eastAsia="仿宋" w:hAnsi="仿宋" w:cs="仿宋"/>
                <w:b/>
                <w:bCs/>
                <w:color w:val="000000"/>
                <w:sz w:val="22"/>
                <w:szCs w:val="22"/>
              </w:rPr>
              <w:fldChar w:fldCharType="separate"/>
            </w:r>
            <w:r>
              <w:rPr>
                <w:rFonts w:ascii="仿宋" w:eastAsia="仿宋" w:hAnsi="仿宋" w:cs="仿宋"/>
                <w:b/>
                <w:bCs/>
                <w:color w:val="000000"/>
                <w:sz w:val="22"/>
                <w:szCs w:val="22"/>
              </w:rPr>
              <w:t>100</w:t>
            </w:r>
            <w:r>
              <w:rPr>
                <w:rFonts w:ascii="仿宋" w:eastAsia="仿宋" w:hAnsi="仿宋" w:cs="仿宋"/>
                <w:b/>
                <w:bCs/>
                <w:color w:val="000000"/>
                <w:sz w:val="22"/>
                <w:szCs w:val="22"/>
              </w:rPr>
              <w:fldChar w:fldCharType="end"/>
            </w:r>
          </w:p>
        </w:tc>
        <w:tc>
          <w:tcPr>
            <w:tcW w:w="1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b/>
                <w:bCs/>
                <w:color w:val="000000"/>
                <w:sz w:val="22"/>
                <w:szCs w:val="22"/>
              </w:rPr>
            </w:pPr>
          </w:p>
        </w:tc>
        <w:tc>
          <w:tcPr>
            <w:tcW w:w="1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widowControl/>
              <w:jc w:val="center"/>
              <w:textAlignment w:val="center"/>
              <w:rPr>
                <w:rFonts w:ascii="仿宋" w:eastAsia="仿宋" w:hAnsi="仿宋" w:cs="仿宋"/>
                <w:b/>
                <w:bCs/>
                <w:color w:val="000000"/>
                <w:kern w:val="0"/>
                <w:sz w:val="22"/>
                <w:szCs w:val="22"/>
                <w:lang w:bidi="ar"/>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2230F8">
            <w:pPr>
              <w:widowControl/>
              <w:jc w:val="center"/>
              <w:textAlignment w:val="center"/>
              <w:rPr>
                <w:rFonts w:ascii="仿宋" w:eastAsia="仿宋" w:hAnsi="仿宋" w:cs="仿宋"/>
                <w:b/>
                <w:bCs/>
                <w:color w:val="000000"/>
                <w:sz w:val="22"/>
                <w:szCs w:val="22"/>
              </w:rPr>
            </w:pPr>
            <w:r>
              <w:rPr>
                <w:rFonts w:ascii="仿宋" w:eastAsia="仿宋" w:hAnsi="仿宋" w:cs="仿宋"/>
                <w:b/>
                <w:bCs/>
                <w:color w:val="000000"/>
                <w:sz w:val="22"/>
                <w:szCs w:val="22"/>
              </w:rPr>
              <w:fldChar w:fldCharType="begin"/>
            </w:r>
            <w:r>
              <w:rPr>
                <w:rFonts w:ascii="仿宋" w:eastAsia="仿宋" w:hAnsi="仿宋" w:cs="仿宋"/>
                <w:b/>
                <w:bCs/>
                <w:color w:val="000000"/>
                <w:sz w:val="22"/>
                <w:szCs w:val="22"/>
              </w:rPr>
              <w:instrText xml:space="preserve"> =SUM(ABOVE) \* MERGEFORMAT </w:instrText>
            </w:r>
            <w:r>
              <w:rPr>
                <w:rFonts w:ascii="仿宋" w:eastAsia="仿宋" w:hAnsi="仿宋" w:cs="仿宋"/>
                <w:b/>
                <w:bCs/>
                <w:color w:val="000000"/>
                <w:sz w:val="22"/>
                <w:szCs w:val="22"/>
              </w:rPr>
              <w:fldChar w:fldCharType="separate"/>
            </w:r>
            <w:r>
              <w:rPr>
                <w:rFonts w:ascii="仿宋" w:eastAsia="仿宋" w:hAnsi="仿宋" w:cs="仿宋"/>
                <w:b/>
                <w:bCs/>
                <w:color w:val="000000"/>
                <w:sz w:val="22"/>
                <w:szCs w:val="22"/>
              </w:rPr>
              <w:t>90.59</w:t>
            </w:r>
            <w:r>
              <w:rPr>
                <w:rFonts w:ascii="仿宋" w:eastAsia="仿宋" w:hAnsi="仿宋" w:cs="仿宋"/>
                <w:b/>
                <w:bCs/>
                <w:color w:val="000000"/>
                <w:sz w:val="22"/>
                <w:szCs w:val="22"/>
              </w:rPr>
              <w:fldChar w:fldCharType="end"/>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E51" w:rsidRDefault="00EF6E51">
            <w:pPr>
              <w:jc w:val="center"/>
              <w:rPr>
                <w:rFonts w:ascii="仿宋" w:eastAsia="仿宋" w:hAnsi="仿宋" w:cs="仿宋"/>
                <w:b/>
                <w:bCs/>
                <w:color w:val="000000"/>
                <w:sz w:val="22"/>
                <w:szCs w:val="22"/>
              </w:rPr>
            </w:pPr>
          </w:p>
        </w:tc>
      </w:tr>
      <w:tr w:rsidR="00EF6E51">
        <w:trPr>
          <w:gridAfter w:val="8"/>
          <w:wAfter w:w="4710" w:type="pct"/>
          <w:trHeight w:val="312"/>
          <w:jc w:val="center"/>
        </w:trPr>
        <w:tc>
          <w:tcPr>
            <w:tcW w:w="289" w:type="pct"/>
            <w:gridSpan w:val="2"/>
            <w:tcBorders>
              <w:top w:val="nil"/>
              <w:left w:val="nil"/>
              <w:bottom w:val="nil"/>
              <w:right w:val="nil"/>
            </w:tcBorders>
            <w:shd w:val="clear" w:color="auto" w:fill="auto"/>
            <w:noWrap/>
            <w:vAlign w:val="center"/>
          </w:tcPr>
          <w:p w:rsidR="00EF6E51" w:rsidRDefault="00EF6E51">
            <w:pPr>
              <w:widowControl/>
              <w:textAlignment w:val="center"/>
              <w:rPr>
                <w:rFonts w:ascii="仿宋" w:eastAsia="仿宋" w:hAnsi="仿宋" w:cs="仿宋"/>
                <w:color w:val="000000"/>
                <w:kern w:val="0"/>
                <w:sz w:val="22"/>
                <w:szCs w:val="22"/>
                <w:lang w:bidi="ar"/>
              </w:rPr>
            </w:pPr>
          </w:p>
        </w:tc>
      </w:tr>
    </w:tbl>
    <w:p w:rsidR="00EF6E51" w:rsidRDefault="00EF6E51">
      <w:pPr>
        <w:spacing w:line="300" w:lineRule="auto"/>
        <w:outlineLvl w:val="0"/>
        <w:rPr>
          <w:rFonts w:eastAsia="仿宋"/>
          <w:sz w:val="28"/>
          <w:szCs w:val="28"/>
        </w:rPr>
      </w:pPr>
    </w:p>
    <w:bookmarkEnd w:id="0"/>
    <w:p w:rsidR="00EF6E51" w:rsidRDefault="00EF6E51"/>
    <w:sectPr w:rsidR="00EF6E5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26" w:rsidRDefault="004D2426">
      <w:r>
        <w:separator/>
      </w:r>
    </w:p>
  </w:endnote>
  <w:endnote w:type="continuationSeparator" w:id="0">
    <w:p w:rsidR="004D2426" w:rsidRDefault="004D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51" w:rsidRDefault="00EF6E51">
    <w:pPr>
      <w:pStyle w:val="a3"/>
      <w:spacing w:before="120" w:after="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51" w:rsidRDefault="002230F8">
    <w:pPr>
      <w:pStyle w:val="a3"/>
      <w:spacing w:before="120" w:after="120"/>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6E51" w:rsidRDefault="002230F8">
                          <w:pPr>
                            <w:pStyle w:val="a3"/>
                          </w:pPr>
                          <w:r>
                            <w:fldChar w:fldCharType="begin"/>
                          </w:r>
                          <w:r>
                            <w:instrText xml:space="preserve"> PAGE  \* MERGEFORMAT </w:instrText>
                          </w:r>
                          <w:r>
                            <w:fldChar w:fldCharType="separate"/>
                          </w:r>
                          <w:r w:rsidR="00055573">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F6E51" w:rsidRDefault="002230F8">
                    <w:pPr>
                      <w:pStyle w:val="a3"/>
                    </w:pPr>
                    <w:r>
                      <w:fldChar w:fldCharType="begin"/>
                    </w:r>
                    <w:r>
                      <w:instrText xml:space="preserve"> PAGE  \* MERGEFORMAT </w:instrText>
                    </w:r>
                    <w:r>
                      <w:fldChar w:fldCharType="separate"/>
                    </w:r>
                    <w:r w:rsidR="00055573">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26" w:rsidRDefault="004D2426">
      <w:r>
        <w:separator/>
      </w:r>
    </w:p>
  </w:footnote>
  <w:footnote w:type="continuationSeparator" w:id="0">
    <w:p w:rsidR="004D2426" w:rsidRDefault="004D2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51" w:rsidRDefault="00EF6E5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0EBCA"/>
    <w:multiLevelType w:val="singleLevel"/>
    <w:tmpl w:val="CED0EBCA"/>
    <w:lvl w:ilvl="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1B58"/>
    <w:rsid w:val="00055573"/>
    <w:rsid w:val="002230F8"/>
    <w:rsid w:val="004D2426"/>
    <w:rsid w:val="00987F30"/>
    <w:rsid w:val="00EF6E51"/>
    <w:rsid w:val="00F678AE"/>
    <w:rsid w:val="27FB794C"/>
    <w:rsid w:val="30AD1B58"/>
    <w:rsid w:val="335B64E5"/>
    <w:rsid w:val="51E34683"/>
    <w:rsid w:val="5E3E3F56"/>
    <w:rsid w:val="691F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uiPriority w:val="39"/>
    <w:qFormat/>
    <w:pPr>
      <w:ind w:leftChars="200" w:left="420"/>
    </w:p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qFormat/>
    <w:rPr>
      <w:color w:val="0000FF"/>
      <w:u w:val="single"/>
    </w:rPr>
  </w:style>
  <w:style w:type="paragraph" w:customStyle="1" w:styleId="a7">
    <w:name w:val="闻政页码"/>
    <w:uiPriority w:val="6"/>
    <w:qFormat/>
    <w:pPr>
      <w:jc w:val="center"/>
    </w:pPr>
    <w:rPr>
      <w:rFonts w:ascii="等线" w:eastAsia="Times New Roman" w:hAnsi="等线"/>
      <w:color w:val="000000"/>
      <w:sz w:val="24"/>
      <w:szCs w:val="28"/>
    </w:rPr>
  </w:style>
  <w:style w:type="paragraph" w:customStyle="1" w:styleId="WPSOffice1">
    <w:name w:val="WPSOffice手动目录 1"/>
    <w:qFormat/>
  </w:style>
  <w:style w:type="character" w:customStyle="1" w:styleId="font11">
    <w:name w:val="font11"/>
    <w:basedOn w:val="a0"/>
    <w:qFormat/>
    <w:rPr>
      <w:rFonts w:ascii="仿宋" w:eastAsia="仿宋" w:hAnsi="仿宋" w:cs="仿宋" w:hint="eastAsia"/>
      <w:color w:val="000000"/>
      <w:sz w:val="21"/>
      <w:szCs w:val="21"/>
      <w:u w:val="none"/>
    </w:rPr>
  </w:style>
  <w:style w:type="character" w:customStyle="1" w:styleId="font21">
    <w:name w:val="font21"/>
    <w:basedOn w:val="a0"/>
    <w:qFormat/>
    <w:rPr>
      <w:rFonts w:ascii="仿宋" w:eastAsia="仿宋" w:hAnsi="仿宋" w:cs="仿宋" w:hint="eastAsia"/>
      <w:color w:val="000000"/>
      <w:sz w:val="24"/>
      <w:szCs w:val="24"/>
      <w:u w:val="none"/>
    </w:rPr>
  </w:style>
  <w:style w:type="paragraph" w:customStyle="1" w:styleId="11">
    <w:name w:val="列出段落1"/>
    <w:basedOn w:val="a"/>
    <w:uiPriority w:val="34"/>
    <w:qFormat/>
    <w:pPr>
      <w:ind w:firstLineChars="200" w:firstLine="420"/>
    </w:pPr>
  </w:style>
  <w:style w:type="character" w:customStyle="1" w:styleId="font51">
    <w:name w:val="font5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uiPriority w:val="39"/>
    <w:qFormat/>
    <w:pPr>
      <w:ind w:leftChars="200" w:left="420"/>
    </w:p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qFormat/>
    <w:rPr>
      <w:color w:val="0000FF"/>
      <w:u w:val="single"/>
    </w:rPr>
  </w:style>
  <w:style w:type="paragraph" w:customStyle="1" w:styleId="a7">
    <w:name w:val="闻政页码"/>
    <w:uiPriority w:val="6"/>
    <w:qFormat/>
    <w:pPr>
      <w:jc w:val="center"/>
    </w:pPr>
    <w:rPr>
      <w:rFonts w:ascii="等线" w:eastAsia="Times New Roman" w:hAnsi="等线"/>
      <w:color w:val="000000"/>
      <w:sz w:val="24"/>
      <w:szCs w:val="28"/>
    </w:rPr>
  </w:style>
  <w:style w:type="paragraph" w:customStyle="1" w:styleId="WPSOffice1">
    <w:name w:val="WPSOffice手动目录 1"/>
    <w:qFormat/>
  </w:style>
  <w:style w:type="character" w:customStyle="1" w:styleId="font11">
    <w:name w:val="font11"/>
    <w:basedOn w:val="a0"/>
    <w:qFormat/>
    <w:rPr>
      <w:rFonts w:ascii="仿宋" w:eastAsia="仿宋" w:hAnsi="仿宋" w:cs="仿宋" w:hint="eastAsia"/>
      <w:color w:val="000000"/>
      <w:sz w:val="21"/>
      <w:szCs w:val="21"/>
      <w:u w:val="none"/>
    </w:rPr>
  </w:style>
  <w:style w:type="character" w:customStyle="1" w:styleId="font21">
    <w:name w:val="font21"/>
    <w:basedOn w:val="a0"/>
    <w:qFormat/>
    <w:rPr>
      <w:rFonts w:ascii="仿宋" w:eastAsia="仿宋" w:hAnsi="仿宋" w:cs="仿宋" w:hint="eastAsia"/>
      <w:color w:val="000000"/>
      <w:sz w:val="24"/>
      <w:szCs w:val="24"/>
      <w:u w:val="none"/>
    </w:rPr>
  </w:style>
  <w:style w:type="paragraph" w:customStyle="1" w:styleId="11">
    <w:name w:val="列出段落1"/>
    <w:basedOn w:val="a"/>
    <w:uiPriority w:val="34"/>
    <w:qFormat/>
    <w:pPr>
      <w:ind w:firstLineChars="200" w:firstLine="420"/>
    </w:pPr>
  </w:style>
  <w:style w:type="character" w:customStyle="1" w:styleId="font51">
    <w:name w:val="font5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WPS_1740725785</dc:creator>
  <cp:lastModifiedBy>Windows 用户</cp:lastModifiedBy>
  <cp:revision>4</cp:revision>
  <dcterms:created xsi:type="dcterms:W3CDTF">2025-06-20T01:59:00Z</dcterms:created>
  <dcterms:modified xsi:type="dcterms:W3CDTF">2025-10-09T08:38:00Z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A3627E6763284ED3BC41919E9BD2CA38_11</vt:lpwstr>
  </property>
  <property fmtid="{D5CDD505-2E9C-101B-9397-08002B2CF9AE}" pid="4" name="KSOTemplateDocerSaveRecord">
    <vt:lpwstr>eyJoZGlkIjoiY2NjZWIxNGUyYjM5OTZlMjVkMGZhMjU2ZjAyZDZkZWIiLCJ1c2VySWQiOiIxNjgyNjE2MjM5In0=</vt:lpwstr>
  </property>
</Properties>
</file>