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B3BD5" w:rsidRDefault="00417501" w:rsidP="00417501">
      <w:pPr>
        <w:widowControl/>
        <w:spacing w:line="600" w:lineRule="exact"/>
        <w:jc w:val="center"/>
        <w:rPr>
          <w:rFonts w:eastAsia="方正小标宋_GBK" w:hint="eastAsia"/>
          <w:bCs/>
          <w:sz w:val="44"/>
          <w:szCs w:val="44"/>
        </w:rPr>
      </w:pPr>
      <w:r w:rsidRPr="00417501">
        <w:rPr>
          <w:rFonts w:eastAsia="方正小标宋_GBK" w:hint="eastAsia"/>
          <w:bCs/>
          <w:sz w:val="44"/>
          <w:szCs w:val="44"/>
        </w:rPr>
        <w:t>2024</w:t>
      </w:r>
      <w:r w:rsidRPr="00417501">
        <w:rPr>
          <w:rFonts w:eastAsia="方正小标宋_GBK" w:hint="eastAsia"/>
          <w:bCs/>
          <w:sz w:val="44"/>
          <w:szCs w:val="44"/>
        </w:rPr>
        <w:t>年度南京市农业农村局农田基础设施建设绩效评价报告</w:t>
      </w:r>
    </w:p>
    <w:p w:rsidR="00417501" w:rsidRDefault="00417501" w:rsidP="00417501">
      <w:pPr>
        <w:widowControl/>
        <w:spacing w:line="600" w:lineRule="exact"/>
        <w:jc w:val="center"/>
        <w:rPr>
          <w:rFonts w:eastAsia="楷体_GB2312"/>
          <w:bCs/>
          <w:sz w:val="32"/>
          <w:szCs w:val="32"/>
        </w:rPr>
      </w:pPr>
      <w:bookmarkStart w:id="0" w:name="_GoBack"/>
      <w:bookmarkEnd w:id="0"/>
    </w:p>
    <w:p w:rsidR="002B3BD5" w:rsidRDefault="00271220">
      <w:pPr>
        <w:widowControl/>
        <w:spacing w:line="580" w:lineRule="exact"/>
        <w:ind w:firstLineChars="200" w:firstLine="640"/>
        <w:jc w:val="left"/>
        <w:rPr>
          <w:rFonts w:eastAsia="黑体"/>
          <w:kern w:val="0"/>
          <w:sz w:val="24"/>
        </w:rPr>
      </w:pPr>
      <w:r>
        <w:rPr>
          <w:rFonts w:eastAsia="黑体"/>
          <w:color w:val="000000"/>
          <w:kern w:val="0"/>
          <w:sz w:val="32"/>
          <w:szCs w:val="32"/>
        </w:rPr>
        <w:t>一、项目概况</w:t>
      </w:r>
    </w:p>
    <w:p w:rsidR="002B3BD5" w:rsidRDefault="00271220">
      <w:pPr>
        <w:widowControl/>
        <w:spacing w:line="580" w:lineRule="exact"/>
        <w:ind w:firstLineChars="200" w:firstLine="640"/>
        <w:jc w:val="left"/>
        <w:rPr>
          <w:rFonts w:eastAsia="楷体"/>
          <w:color w:val="000000"/>
          <w:kern w:val="0"/>
          <w:sz w:val="32"/>
          <w:szCs w:val="32"/>
        </w:rPr>
      </w:pPr>
      <w:r>
        <w:rPr>
          <w:rFonts w:eastAsia="楷体"/>
          <w:color w:val="000000"/>
          <w:kern w:val="0"/>
          <w:sz w:val="32"/>
          <w:szCs w:val="32"/>
        </w:rPr>
        <w:t>（一）项目基本情况</w:t>
      </w:r>
    </w:p>
    <w:p w:rsidR="002B3BD5" w:rsidRDefault="00271220">
      <w:pPr>
        <w:widowControl/>
        <w:spacing w:line="580" w:lineRule="exact"/>
        <w:ind w:firstLineChars="200" w:firstLine="640"/>
        <w:jc w:val="left"/>
        <w:rPr>
          <w:rFonts w:eastAsia="仿宋"/>
          <w:color w:val="000000"/>
          <w:kern w:val="0"/>
          <w:sz w:val="32"/>
          <w:szCs w:val="32"/>
        </w:rPr>
      </w:pPr>
      <w:r>
        <w:rPr>
          <w:rFonts w:eastAsia="仿宋"/>
          <w:color w:val="000000"/>
          <w:kern w:val="0"/>
          <w:sz w:val="32"/>
          <w:szCs w:val="32"/>
        </w:rPr>
        <w:t>根据国务院办公厅《关于切实加强高标准农田建设提升国家粮食安全保障能力的意见》（国办发〔</w:t>
      </w:r>
      <w:r>
        <w:rPr>
          <w:rFonts w:eastAsia="仿宋"/>
          <w:color w:val="000000"/>
          <w:kern w:val="0"/>
          <w:sz w:val="32"/>
          <w:szCs w:val="32"/>
        </w:rPr>
        <w:t>2019</w:t>
      </w:r>
      <w:r>
        <w:rPr>
          <w:rFonts w:eastAsia="仿宋"/>
          <w:color w:val="000000"/>
          <w:kern w:val="0"/>
          <w:sz w:val="32"/>
          <w:szCs w:val="32"/>
        </w:rPr>
        <w:t>〕</w:t>
      </w:r>
      <w:r>
        <w:rPr>
          <w:rFonts w:eastAsia="仿宋"/>
          <w:color w:val="000000"/>
          <w:kern w:val="0"/>
          <w:sz w:val="32"/>
          <w:szCs w:val="32"/>
        </w:rPr>
        <w:t>50</w:t>
      </w:r>
      <w:r>
        <w:rPr>
          <w:rFonts w:eastAsia="仿宋"/>
          <w:color w:val="000000"/>
          <w:kern w:val="0"/>
          <w:sz w:val="32"/>
          <w:szCs w:val="32"/>
        </w:rPr>
        <w:t>号）《省政府办公厅关于切实加强高标准农田等农业基础设施建设巩固提升粮食安全保障能力的实施意见》（苏政办发〔</w:t>
      </w:r>
      <w:r>
        <w:rPr>
          <w:rFonts w:eastAsia="仿宋"/>
          <w:color w:val="000000"/>
          <w:kern w:val="0"/>
          <w:sz w:val="32"/>
          <w:szCs w:val="32"/>
        </w:rPr>
        <w:t>2020</w:t>
      </w:r>
      <w:r>
        <w:rPr>
          <w:rFonts w:eastAsia="仿宋"/>
          <w:color w:val="000000"/>
          <w:kern w:val="0"/>
          <w:sz w:val="32"/>
          <w:szCs w:val="32"/>
        </w:rPr>
        <w:t>〕</w:t>
      </w:r>
      <w:r>
        <w:rPr>
          <w:rFonts w:eastAsia="仿宋"/>
          <w:color w:val="000000"/>
          <w:kern w:val="0"/>
          <w:sz w:val="32"/>
          <w:szCs w:val="32"/>
        </w:rPr>
        <w:t>64</w:t>
      </w:r>
      <w:r>
        <w:rPr>
          <w:rFonts w:eastAsia="仿宋"/>
          <w:color w:val="000000"/>
          <w:kern w:val="0"/>
          <w:sz w:val="32"/>
          <w:szCs w:val="32"/>
        </w:rPr>
        <w:t>号）《江苏省农田建设补助资金管理办法》</w:t>
      </w:r>
      <w:r>
        <w:rPr>
          <w:rFonts w:eastAsia="仿宋"/>
          <w:color w:val="000000"/>
          <w:kern w:val="0"/>
          <w:sz w:val="32"/>
          <w:szCs w:val="32"/>
        </w:rPr>
        <w:t>(</w:t>
      </w:r>
      <w:r>
        <w:rPr>
          <w:rFonts w:eastAsia="仿宋"/>
          <w:color w:val="000000"/>
          <w:kern w:val="0"/>
          <w:sz w:val="32"/>
          <w:szCs w:val="32"/>
        </w:rPr>
        <w:t>苏财规〔</w:t>
      </w:r>
      <w:r>
        <w:rPr>
          <w:rFonts w:eastAsia="仿宋"/>
          <w:color w:val="000000"/>
          <w:kern w:val="0"/>
          <w:sz w:val="32"/>
          <w:szCs w:val="32"/>
        </w:rPr>
        <w:t>2022</w:t>
      </w:r>
      <w:r>
        <w:rPr>
          <w:rFonts w:eastAsia="仿宋"/>
          <w:color w:val="000000"/>
          <w:kern w:val="0"/>
          <w:sz w:val="32"/>
          <w:szCs w:val="32"/>
        </w:rPr>
        <w:t>〕</w:t>
      </w:r>
      <w:r>
        <w:rPr>
          <w:rFonts w:eastAsia="仿宋"/>
          <w:color w:val="000000"/>
          <w:kern w:val="0"/>
          <w:sz w:val="32"/>
          <w:szCs w:val="32"/>
        </w:rPr>
        <w:t xml:space="preserve">7 </w:t>
      </w:r>
      <w:r>
        <w:rPr>
          <w:rFonts w:eastAsia="仿宋"/>
          <w:color w:val="000000"/>
          <w:kern w:val="0"/>
          <w:sz w:val="32"/>
          <w:szCs w:val="32"/>
        </w:rPr>
        <w:t>号</w:t>
      </w:r>
      <w:r>
        <w:rPr>
          <w:rFonts w:eastAsia="仿宋"/>
          <w:color w:val="000000"/>
          <w:kern w:val="0"/>
          <w:sz w:val="32"/>
          <w:szCs w:val="32"/>
        </w:rPr>
        <w:t>)</w:t>
      </w:r>
      <w:r>
        <w:rPr>
          <w:rFonts w:eastAsia="仿宋"/>
          <w:color w:val="000000"/>
          <w:kern w:val="0"/>
          <w:sz w:val="32"/>
          <w:szCs w:val="32"/>
        </w:rPr>
        <w:t>《南京市高标准农田建设规划（</w:t>
      </w:r>
      <w:r>
        <w:rPr>
          <w:rFonts w:eastAsia="仿宋"/>
          <w:color w:val="000000"/>
          <w:kern w:val="0"/>
          <w:sz w:val="32"/>
          <w:szCs w:val="32"/>
        </w:rPr>
        <w:t>2021-2030</w:t>
      </w:r>
      <w:r>
        <w:rPr>
          <w:rFonts w:eastAsia="仿宋"/>
          <w:color w:val="000000"/>
          <w:kern w:val="0"/>
          <w:sz w:val="32"/>
          <w:szCs w:val="32"/>
        </w:rPr>
        <w:t>年）》等文件要求，</w:t>
      </w:r>
      <w:r>
        <w:rPr>
          <w:rFonts w:eastAsia="仿宋"/>
          <w:color w:val="000000"/>
          <w:kern w:val="0"/>
          <w:sz w:val="32"/>
          <w:szCs w:val="32"/>
        </w:rPr>
        <w:t>2024</w:t>
      </w:r>
      <w:r>
        <w:rPr>
          <w:rFonts w:eastAsia="仿宋"/>
          <w:color w:val="000000"/>
          <w:kern w:val="0"/>
          <w:sz w:val="32"/>
          <w:szCs w:val="32"/>
        </w:rPr>
        <w:t>年继续实施农田基础设施建设项目专项。主要内容为：一是新建高标准农田</w:t>
      </w:r>
      <w:r>
        <w:rPr>
          <w:rFonts w:eastAsia="仿宋"/>
          <w:color w:val="000000"/>
          <w:kern w:val="0"/>
          <w:sz w:val="32"/>
          <w:szCs w:val="32"/>
        </w:rPr>
        <w:t>2.0</w:t>
      </w:r>
      <w:r>
        <w:rPr>
          <w:rFonts w:eastAsia="仿宋"/>
          <w:color w:val="000000"/>
          <w:kern w:val="0"/>
          <w:sz w:val="32"/>
          <w:szCs w:val="32"/>
        </w:rPr>
        <w:t>5</w:t>
      </w:r>
      <w:r>
        <w:rPr>
          <w:rFonts w:eastAsia="仿宋"/>
          <w:color w:val="000000"/>
          <w:kern w:val="0"/>
          <w:sz w:val="32"/>
          <w:szCs w:val="32"/>
        </w:rPr>
        <w:t>万亩、改造提升高标准农田</w:t>
      </w:r>
      <w:r>
        <w:rPr>
          <w:rFonts w:eastAsia="仿宋"/>
          <w:color w:val="000000"/>
          <w:kern w:val="0"/>
          <w:sz w:val="32"/>
          <w:szCs w:val="32"/>
        </w:rPr>
        <w:t>3.74</w:t>
      </w:r>
      <w:r>
        <w:rPr>
          <w:rFonts w:eastAsia="仿宋"/>
          <w:color w:val="000000"/>
          <w:kern w:val="0"/>
          <w:sz w:val="32"/>
          <w:szCs w:val="32"/>
        </w:rPr>
        <w:t>万亩、</w:t>
      </w:r>
      <w:r>
        <w:rPr>
          <w:rFonts w:eastAsia="仿宋"/>
          <w:color w:val="000000"/>
          <w:kern w:val="0"/>
          <w:sz w:val="32"/>
          <w:szCs w:val="32"/>
        </w:rPr>
        <w:t>实施</w:t>
      </w:r>
      <w:r>
        <w:rPr>
          <w:rFonts w:eastAsia="仿宋"/>
          <w:color w:val="000000"/>
          <w:kern w:val="0"/>
          <w:sz w:val="32"/>
          <w:szCs w:val="32"/>
        </w:rPr>
        <w:t>高效节水灌溉面积</w:t>
      </w:r>
      <w:r>
        <w:rPr>
          <w:rFonts w:eastAsia="仿宋"/>
          <w:color w:val="000000"/>
          <w:kern w:val="0"/>
          <w:sz w:val="32"/>
          <w:szCs w:val="32"/>
        </w:rPr>
        <w:t>0.6</w:t>
      </w:r>
      <w:r>
        <w:rPr>
          <w:rFonts w:eastAsia="仿宋"/>
          <w:color w:val="000000"/>
          <w:kern w:val="0"/>
          <w:sz w:val="32"/>
          <w:szCs w:val="32"/>
        </w:rPr>
        <w:t>万亩；二是开展</w:t>
      </w:r>
      <w:r>
        <w:rPr>
          <w:rFonts w:eastAsia="仿宋"/>
          <w:color w:val="000000"/>
          <w:kern w:val="0"/>
          <w:sz w:val="32"/>
          <w:szCs w:val="32"/>
        </w:rPr>
        <w:t>202</w:t>
      </w:r>
      <w:r>
        <w:rPr>
          <w:rFonts w:eastAsia="仿宋"/>
          <w:color w:val="000000"/>
          <w:kern w:val="0"/>
          <w:sz w:val="32"/>
          <w:szCs w:val="32"/>
        </w:rPr>
        <w:t>4</w:t>
      </w:r>
      <w:r>
        <w:rPr>
          <w:rFonts w:eastAsia="仿宋"/>
          <w:color w:val="000000"/>
          <w:kern w:val="0"/>
          <w:sz w:val="32"/>
          <w:szCs w:val="32"/>
        </w:rPr>
        <w:t>年度高标准农田建设评价工作；三是开展高标准农田建设工程市级质量检测工作。</w:t>
      </w:r>
    </w:p>
    <w:p w:rsidR="002B3BD5" w:rsidRDefault="00271220">
      <w:pPr>
        <w:widowControl/>
        <w:spacing w:line="580" w:lineRule="exact"/>
        <w:ind w:firstLineChars="200" w:firstLine="640"/>
        <w:jc w:val="left"/>
        <w:rPr>
          <w:rFonts w:eastAsia="楷体"/>
          <w:color w:val="000000"/>
          <w:kern w:val="0"/>
          <w:sz w:val="32"/>
          <w:szCs w:val="32"/>
        </w:rPr>
      </w:pPr>
      <w:r>
        <w:rPr>
          <w:rFonts w:eastAsia="楷体"/>
          <w:color w:val="000000"/>
          <w:kern w:val="0"/>
          <w:sz w:val="32"/>
          <w:szCs w:val="32"/>
        </w:rPr>
        <w:t>（二）项目资金情况</w:t>
      </w:r>
    </w:p>
    <w:p w:rsidR="002B3BD5" w:rsidRDefault="00271220">
      <w:pPr>
        <w:widowControl/>
        <w:spacing w:line="580" w:lineRule="exact"/>
        <w:ind w:firstLineChars="200" w:firstLine="640"/>
        <w:jc w:val="left"/>
        <w:rPr>
          <w:rFonts w:eastAsia="仿宋"/>
          <w:color w:val="000000"/>
          <w:kern w:val="0"/>
          <w:sz w:val="32"/>
          <w:szCs w:val="32"/>
        </w:rPr>
      </w:pPr>
      <w:r>
        <w:rPr>
          <w:rFonts w:eastAsia="仿宋"/>
          <w:color w:val="000000"/>
          <w:kern w:val="0"/>
          <w:sz w:val="32"/>
          <w:szCs w:val="32"/>
        </w:rPr>
        <w:t>2024</w:t>
      </w:r>
      <w:r>
        <w:rPr>
          <w:rFonts w:eastAsia="仿宋"/>
          <w:color w:val="000000"/>
          <w:kern w:val="0"/>
          <w:sz w:val="32"/>
          <w:szCs w:val="32"/>
        </w:rPr>
        <w:t>年度农田基础设施建设项目专项实际下达市级财政资金</w:t>
      </w:r>
      <w:r>
        <w:rPr>
          <w:rFonts w:eastAsia="仿宋"/>
          <w:color w:val="000000"/>
          <w:kern w:val="0"/>
          <w:sz w:val="32"/>
          <w:szCs w:val="32"/>
        </w:rPr>
        <w:t>2687.8</w:t>
      </w:r>
      <w:r>
        <w:rPr>
          <w:rFonts w:eastAsia="仿宋"/>
          <w:color w:val="000000"/>
          <w:kern w:val="0"/>
          <w:sz w:val="32"/>
          <w:szCs w:val="32"/>
        </w:rPr>
        <w:t>万元。其中：</w:t>
      </w:r>
      <w:r>
        <w:rPr>
          <w:rFonts w:eastAsia="仿宋"/>
          <w:color w:val="000000"/>
          <w:kern w:val="0"/>
          <w:sz w:val="32"/>
          <w:szCs w:val="32"/>
        </w:rPr>
        <w:t>2024</w:t>
      </w:r>
      <w:r>
        <w:rPr>
          <w:rFonts w:eastAsia="仿宋"/>
          <w:color w:val="000000"/>
          <w:kern w:val="0"/>
          <w:sz w:val="32"/>
          <w:szCs w:val="32"/>
        </w:rPr>
        <w:t>年度国家高标准农田建设项目市级补助资金</w:t>
      </w:r>
      <w:r>
        <w:rPr>
          <w:rFonts w:eastAsia="仿宋"/>
          <w:color w:val="000000"/>
          <w:sz w:val="32"/>
          <w:szCs w:val="32"/>
        </w:rPr>
        <w:t>589.8</w:t>
      </w:r>
      <w:r>
        <w:rPr>
          <w:rFonts w:eastAsia="仿宋"/>
          <w:color w:val="000000"/>
          <w:kern w:val="0"/>
          <w:sz w:val="32"/>
          <w:szCs w:val="32"/>
        </w:rPr>
        <w:t>万元，</w:t>
      </w:r>
      <w:r>
        <w:rPr>
          <w:rFonts w:eastAsia="仿宋"/>
          <w:color w:val="000000"/>
          <w:kern w:val="0"/>
          <w:sz w:val="32"/>
          <w:szCs w:val="32"/>
        </w:rPr>
        <w:t>2024</w:t>
      </w:r>
      <w:r>
        <w:rPr>
          <w:rFonts w:eastAsia="仿宋"/>
          <w:color w:val="000000"/>
          <w:kern w:val="0"/>
          <w:sz w:val="32"/>
          <w:szCs w:val="32"/>
        </w:rPr>
        <w:t>年度高标准农田建设评价奖补资金</w:t>
      </w:r>
      <w:r>
        <w:rPr>
          <w:rFonts w:eastAsia="仿宋"/>
          <w:color w:val="000000"/>
          <w:kern w:val="0"/>
          <w:sz w:val="32"/>
          <w:szCs w:val="32"/>
        </w:rPr>
        <w:t>2</w:t>
      </w:r>
      <w:r>
        <w:rPr>
          <w:rFonts w:eastAsia="仿宋"/>
          <w:color w:val="000000"/>
          <w:kern w:val="0"/>
          <w:sz w:val="32"/>
          <w:szCs w:val="32"/>
        </w:rPr>
        <w:t>000</w:t>
      </w:r>
      <w:r>
        <w:rPr>
          <w:rFonts w:eastAsia="仿宋"/>
          <w:color w:val="000000"/>
          <w:kern w:val="0"/>
          <w:sz w:val="32"/>
          <w:szCs w:val="32"/>
        </w:rPr>
        <w:t>万元，高标准农田建设工程市级质量检测费用</w:t>
      </w:r>
      <w:r>
        <w:rPr>
          <w:rFonts w:eastAsia="仿宋"/>
          <w:color w:val="000000"/>
          <w:kern w:val="0"/>
          <w:sz w:val="32"/>
          <w:szCs w:val="32"/>
        </w:rPr>
        <w:t>98</w:t>
      </w:r>
      <w:r>
        <w:rPr>
          <w:rFonts w:eastAsia="仿宋"/>
          <w:color w:val="000000"/>
          <w:kern w:val="0"/>
          <w:sz w:val="32"/>
          <w:szCs w:val="32"/>
        </w:rPr>
        <w:t>万元。下达</w:t>
      </w:r>
      <w:r>
        <w:rPr>
          <w:rFonts w:eastAsia="仿宋"/>
          <w:color w:val="000000"/>
          <w:kern w:val="0"/>
          <w:sz w:val="32"/>
          <w:szCs w:val="32"/>
        </w:rPr>
        <w:t>7</w:t>
      </w:r>
      <w:r>
        <w:rPr>
          <w:rFonts w:eastAsia="仿宋"/>
          <w:color w:val="000000"/>
          <w:kern w:val="0"/>
          <w:sz w:val="32"/>
          <w:szCs w:val="32"/>
        </w:rPr>
        <w:t>区市级财政资金分别为：江北新区</w:t>
      </w:r>
      <w:r>
        <w:rPr>
          <w:rFonts w:eastAsia="仿宋"/>
          <w:color w:val="000000"/>
          <w:kern w:val="0"/>
          <w:sz w:val="32"/>
          <w:szCs w:val="32"/>
        </w:rPr>
        <w:t>258.8</w:t>
      </w:r>
      <w:r>
        <w:rPr>
          <w:rFonts w:eastAsia="仿宋"/>
          <w:color w:val="000000"/>
          <w:kern w:val="0"/>
          <w:sz w:val="32"/>
          <w:szCs w:val="32"/>
        </w:rPr>
        <w:t>万元，栖霞区</w:t>
      </w:r>
      <w:r>
        <w:rPr>
          <w:rFonts w:eastAsia="仿宋"/>
          <w:color w:val="000000"/>
          <w:kern w:val="0"/>
          <w:sz w:val="32"/>
          <w:szCs w:val="32"/>
        </w:rPr>
        <w:t>208.8</w:t>
      </w:r>
      <w:r>
        <w:rPr>
          <w:rFonts w:eastAsia="仿宋"/>
          <w:color w:val="000000"/>
          <w:kern w:val="0"/>
          <w:sz w:val="32"/>
          <w:szCs w:val="32"/>
        </w:rPr>
        <w:lastRenderedPageBreak/>
        <w:t>万元，江宁区</w:t>
      </w:r>
      <w:r>
        <w:rPr>
          <w:rFonts w:eastAsia="仿宋"/>
          <w:color w:val="000000"/>
          <w:kern w:val="0"/>
          <w:sz w:val="32"/>
          <w:szCs w:val="32"/>
        </w:rPr>
        <w:t>500</w:t>
      </w:r>
      <w:r>
        <w:rPr>
          <w:rFonts w:eastAsia="仿宋"/>
          <w:color w:val="000000"/>
          <w:kern w:val="0"/>
          <w:sz w:val="32"/>
          <w:szCs w:val="32"/>
        </w:rPr>
        <w:t>万元，浦口区</w:t>
      </w:r>
      <w:r>
        <w:rPr>
          <w:rFonts w:eastAsia="仿宋"/>
          <w:color w:val="000000"/>
          <w:kern w:val="0"/>
          <w:sz w:val="32"/>
          <w:szCs w:val="32"/>
        </w:rPr>
        <w:t>449.6</w:t>
      </w:r>
      <w:r>
        <w:rPr>
          <w:rFonts w:eastAsia="仿宋"/>
          <w:color w:val="000000"/>
          <w:kern w:val="0"/>
          <w:sz w:val="32"/>
          <w:szCs w:val="32"/>
        </w:rPr>
        <w:t>万元，六合区</w:t>
      </w:r>
      <w:r>
        <w:rPr>
          <w:rFonts w:eastAsia="仿宋"/>
          <w:color w:val="000000"/>
          <w:kern w:val="0"/>
          <w:sz w:val="32"/>
          <w:szCs w:val="32"/>
        </w:rPr>
        <w:t>610</w:t>
      </w:r>
      <w:r>
        <w:rPr>
          <w:rFonts w:eastAsia="仿宋"/>
          <w:color w:val="000000"/>
          <w:kern w:val="0"/>
          <w:sz w:val="32"/>
          <w:szCs w:val="32"/>
        </w:rPr>
        <w:t>万元，溧水区</w:t>
      </w:r>
      <w:r>
        <w:rPr>
          <w:rFonts w:eastAsia="仿宋"/>
          <w:color w:val="000000"/>
          <w:kern w:val="0"/>
          <w:sz w:val="32"/>
          <w:szCs w:val="32"/>
        </w:rPr>
        <w:t>300</w:t>
      </w:r>
      <w:r>
        <w:rPr>
          <w:rFonts w:eastAsia="仿宋"/>
          <w:color w:val="000000"/>
          <w:kern w:val="0"/>
          <w:sz w:val="32"/>
          <w:szCs w:val="32"/>
        </w:rPr>
        <w:t>万元，高淳区</w:t>
      </w:r>
      <w:r>
        <w:rPr>
          <w:rFonts w:eastAsia="仿宋"/>
          <w:color w:val="000000"/>
          <w:kern w:val="0"/>
          <w:sz w:val="32"/>
          <w:szCs w:val="32"/>
        </w:rPr>
        <w:t>262.6</w:t>
      </w:r>
      <w:r>
        <w:rPr>
          <w:rFonts w:eastAsia="仿宋"/>
          <w:color w:val="000000"/>
          <w:kern w:val="0"/>
          <w:sz w:val="32"/>
          <w:szCs w:val="32"/>
        </w:rPr>
        <w:t>万元，</w:t>
      </w:r>
      <w:r>
        <w:rPr>
          <w:rFonts w:eastAsia="仿宋"/>
          <w:color w:val="000000"/>
          <w:kern w:val="0"/>
          <w:sz w:val="32"/>
          <w:szCs w:val="32"/>
        </w:rPr>
        <w:t>另外</w:t>
      </w:r>
      <w:r>
        <w:rPr>
          <w:rFonts w:eastAsia="仿宋"/>
          <w:color w:val="000000"/>
          <w:kern w:val="0"/>
          <w:sz w:val="32"/>
          <w:szCs w:val="32"/>
        </w:rPr>
        <w:t>市耕保站</w:t>
      </w:r>
      <w:r>
        <w:rPr>
          <w:rFonts w:eastAsia="仿宋"/>
          <w:color w:val="000000"/>
          <w:kern w:val="0"/>
          <w:sz w:val="32"/>
          <w:szCs w:val="32"/>
        </w:rPr>
        <w:t>98</w:t>
      </w:r>
      <w:r>
        <w:rPr>
          <w:rFonts w:eastAsia="仿宋"/>
          <w:color w:val="000000"/>
          <w:kern w:val="0"/>
          <w:sz w:val="32"/>
          <w:szCs w:val="32"/>
        </w:rPr>
        <w:t>万元。</w:t>
      </w:r>
    </w:p>
    <w:p w:rsidR="002B3BD5" w:rsidRDefault="00271220">
      <w:pPr>
        <w:widowControl/>
        <w:spacing w:line="580" w:lineRule="exact"/>
        <w:ind w:firstLineChars="200" w:firstLine="640"/>
        <w:jc w:val="left"/>
        <w:rPr>
          <w:rFonts w:eastAsia="楷体"/>
          <w:color w:val="000000"/>
          <w:kern w:val="0"/>
          <w:sz w:val="32"/>
          <w:szCs w:val="32"/>
        </w:rPr>
      </w:pPr>
      <w:r>
        <w:rPr>
          <w:rFonts w:eastAsia="楷体"/>
          <w:color w:val="000000"/>
          <w:kern w:val="0"/>
          <w:sz w:val="32"/>
          <w:szCs w:val="32"/>
        </w:rPr>
        <w:t>（三）绩效目标</w:t>
      </w:r>
    </w:p>
    <w:p w:rsidR="002B3BD5" w:rsidRDefault="00271220">
      <w:pPr>
        <w:widowControl/>
        <w:spacing w:line="580" w:lineRule="exact"/>
        <w:ind w:firstLineChars="200" w:firstLine="640"/>
        <w:jc w:val="left"/>
        <w:rPr>
          <w:rFonts w:ascii="仿宋" w:eastAsia="仿宋" w:hAnsi="仿宋" w:cs="仿宋"/>
          <w:color w:val="000000"/>
          <w:kern w:val="0"/>
          <w:sz w:val="32"/>
          <w:szCs w:val="32"/>
        </w:rPr>
      </w:pPr>
      <w:r>
        <w:rPr>
          <w:rFonts w:eastAsia="楷体"/>
          <w:color w:val="000000"/>
          <w:kern w:val="0"/>
          <w:sz w:val="32"/>
          <w:szCs w:val="32"/>
        </w:rPr>
        <w:t>中长期目标：</w:t>
      </w:r>
      <w:r>
        <w:rPr>
          <w:rFonts w:ascii="仿宋" w:eastAsia="仿宋" w:hAnsi="仿宋" w:cs="仿宋" w:hint="eastAsia"/>
          <w:color w:val="000000"/>
          <w:kern w:val="0"/>
          <w:sz w:val="32"/>
          <w:szCs w:val="32"/>
        </w:rPr>
        <w:t>完成省级下达的永久基本农田建设任务和市政府批复的“十四五”规划建设任务，巩固提升粮食综合生产能力</w:t>
      </w:r>
      <w:r>
        <w:rPr>
          <w:rFonts w:ascii="仿宋" w:eastAsia="仿宋" w:hAnsi="仿宋" w:cs="仿宋"/>
          <w:color w:val="000000"/>
          <w:kern w:val="0"/>
          <w:sz w:val="32"/>
          <w:szCs w:val="32"/>
        </w:rPr>
        <w:t>。</w:t>
      </w:r>
    </w:p>
    <w:p w:rsidR="002B3BD5" w:rsidRDefault="00271220">
      <w:pPr>
        <w:widowControl/>
        <w:spacing w:line="580" w:lineRule="exact"/>
        <w:ind w:firstLineChars="200" w:firstLine="640"/>
        <w:jc w:val="left"/>
        <w:rPr>
          <w:rFonts w:eastAsia="仿宋"/>
          <w:color w:val="000000"/>
          <w:kern w:val="0"/>
          <w:sz w:val="32"/>
          <w:szCs w:val="32"/>
        </w:rPr>
      </w:pPr>
      <w:r>
        <w:rPr>
          <w:rFonts w:eastAsia="楷体" w:hint="eastAsia"/>
          <w:color w:val="000000"/>
          <w:kern w:val="0"/>
          <w:sz w:val="32"/>
          <w:szCs w:val="32"/>
        </w:rPr>
        <w:t>2024</w:t>
      </w:r>
      <w:r>
        <w:rPr>
          <w:rFonts w:eastAsia="楷体" w:hint="eastAsia"/>
          <w:color w:val="000000"/>
          <w:kern w:val="0"/>
          <w:sz w:val="32"/>
          <w:szCs w:val="32"/>
        </w:rPr>
        <w:t>年度目标：</w:t>
      </w:r>
      <w:r>
        <w:rPr>
          <w:rFonts w:eastAsia="仿宋"/>
          <w:color w:val="000000"/>
          <w:kern w:val="0"/>
          <w:sz w:val="32"/>
          <w:szCs w:val="32"/>
        </w:rPr>
        <w:t>完成省下达高标准农田</w:t>
      </w:r>
      <w:r>
        <w:rPr>
          <w:rFonts w:eastAsia="仿宋"/>
          <w:color w:val="000000"/>
          <w:kern w:val="0"/>
          <w:sz w:val="32"/>
          <w:szCs w:val="32"/>
        </w:rPr>
        <w:t>5.79</w:t>
      </w:r>
      <w:r>
        <w:rPr>
          <w:rFonts w:eastAsia="仿宋"/>
          <w:color w:val="000000"/>
          <w:kern w:val="0"/>
          <w:sz w:val="32"/>
          <w:szCs w:val="32"/>
        </w:rPr>
        <w:t>万亩（新建</w:t>
      </w:r>
      <w:r>
        <w:rPr>
          <w:rFonts w:eastAsia="仿宋"/>
          <w:color w:val="000000"/>
          <w:kern w:val="0"/>
          <w:sz w:val="32"/>
          <w:szCs w:val="32"/>
        </w:rPr>
        <w:t>2.05</w:t>
      </w:r>
      <w:r>
        <w:rPr>
          <w:rFonts w:eastAsia="仿宋"/>
          <w:color w:val="000000"/>
          <w:kern w:val="0"/>
          <w:sz w:val="32"/>
          <w:szCs w:val="32"/>
        </w:rPr>
        <w:t>万亩、改造提升</w:t>
      </w:r>
      <w:r>
        <w:rPr>
          <w:rFonts w:eastAsia="仿宋"/>
          <w:color w:val="000000"/>
          <w:kern w:val="0"/>
          <w:sz w:val="32"/>
          <w:szCs w:val="32"/>
        </w:rPr>
        <w:t>3.74</w:t>
      </w:r>
      <w:r>
        <w:rPr>
          <w:rFonts w:eastAsia="仿宋"/>
          <w:color w:val="000000"/>
          <w:kern w:val="0"/>
          <w:sz w:val="32"/>
          <w:szCs w:val="32"/>
        </w:rPr>
        <w:t>万亩）和高效节水灌溉</w:t>
      </w:r>
      <w:r>
        <w:rPr>
          <w:rFonts w:eastAsia="仿宋"/>
          <w:color w:val="000000"/>
          <w:kern w:val="0"/>
          <w:sz w:val="32"/>
          <w:szCs w:val="32"/>
        </w:rPr>
        <w:t>0.6</w:t>
      </w:r>
      <w:r>
        <w:rPr>
          <w:rFonts w:eastAsia="仿宋"/>
          <w:color w:val="000000"/>
          <w:kern w:val="0"/>
          <w:sz w:val="32"/>
          <w:szCs w:val="32"/>
        </w:rPr>
        <w:t>万亩的建设任务；完成高标准农田建设工程市级质量检测任务。</w:t>
      </w:r>
    </w:p>
    <w:p w:rsidR="002B3BD5" w:rsidRDefault="00271220">
      <w:pPr>
        <w:widowControl/>
        <w:spacing w:line="580" w:lineRule="exact"/>
        <w:ind w:firstLineChars="200" w:firstLine="640"/>
        <w:jc w:val="left"/>
        <w:rPr>
          <w:rFonts w:eastAsia="黑体"/>
          <w:kern w:val="0"/>
          <w:sz w:val="24"/>
        </w:rPr>
      </w:pPr>
      <w:r>
        <w:rPr>
          <w:rFonts w:eastAsia="黑体"/>
          <w:color w:val="000000"/>
          <w:kern w:val="0"/>
          <w:sz w:val="32"/>
          <w:szCs w:val="32"/>
        </w:rPr>
        <w:t>二、评价结论</w:t>
      </w:r>
    </w:p>
    <w:p w:rsidR="002B3BD5" w:rsidRDefault="00271220">
      <w:pPr>
        <w:widowControl/>
        <w:spacing w:line="580" w:lineRule="exact"/>
        <w:ind w:firstLineChars="200" w:firstLine="640"/>
        <w:jc w:val="left"/>
        <w:rPr>
          <w:rFonts w:eastAsia="仿宋"/>
          <w:color w:val="000000"/>
          <w:kern w:val="0"/>
          <w:sz w:val="32"/>
          <w:szCs w:val="32"/>
        </w:rPr>
      </w:pPr>
      <w:r>
        <w:rPr>
          <w:rFonts w:eastAsia="仿宋"/>
          <w:color w:val="000000"/>
          <w:kern w:val="0"/>
          <w:sz w:val="32"/>
          <w:szCs w:val="32"/>
        </w:rPr>
        <w:t>本次绩效自评价对象：涉及</w:t>
      </w:r>
      <w:r>
        <w:rPr>
          <w:rFonts w:eastAsia="仿宋"/>
          <w:color w:val="000000"/>
          <w:kern w:val="0"/>
          <w:sz w:val="32"/>
          <w:szCs w:val="32"/>
        </w:rPr>
        <w:t>7</w:t>
      </w:r>
      <w:r>
        <w:rPr>
          <w:rFonts w:eastAsia="仿宋"/>
          <w:color w:val="000000"/>
          <w:kern w:val="0"/>
          <w:sz w:val="32"/>
          <w:szCs w:val="32"/>
        </w:rPr>
        <w:t>个区承担的</w:t>
      </w:r>
      <w:r>
        <w:rPr>
          <w:rFonts w:eastAsia="仿宋"/>
          <w:color w:val="000000"/>
          <w:kern w:val="0"/>
          <w:sz w:val="32"/>
          <w:szCs w:val="32"/>
        </w:rPr>
        <w:t>2024</w:t>
      </w:r>
      <w:r>
        <w:rPr>
          <w:rFonts w:eastAsia="仿宋"/>
          <w:color w:val="000000"/>
          <w:kern w:val="0"/>
          <w:sz w:val="32"/>
          <w:szCs w:val="32"/>
        </w:rPr>
        <w:t>年度高标准农田建设项目、高标准农田建设评价奖补资金和高标准农田建设工程市级质量检测完成情况。结合</w:t>
      </w:r>
      <w:r>
        <w:rPr>
          <w:rFonts w:eastAsia="仿宋"/>
          <w:color w:val="000000"/>
          <w:kern w:val="0"/>
          <w:sz w:val="32"/>
          <w:szCs w:val="32"/>
        </w:rPr>
        <w:t>2024</w:t>
      </w:r>
      <w:r>
        <w:rPr>
          <w:rFonts w:eastAsia="仿宋"/>
          <w:color w:val="000000"/>
          <w:kern w:val="0"/>
          <w:sz w:val="32"/>
          <w:szCs w:val="32"/>
        </w:rPr>
        <w:t>年度省级项目支出绩效自评价情况，以及各区</w:t>
      </w:r>
      <w:r>
        <w:rPr>
          <w:rFonts w:eastAsia="仿宋"/>
          <w:color w:val="000000"/>
          <w:kern w:val="0"/>
          <w:sz w:val="32"/>
          <w:szCs w:val="32"/>
        </w:rPr>
        <w:t>2024</w:t>
      </w:r>
      <w:r>
        <w:rPr>
          <w:rFonts w:eastAsia="仿宋"/>
          <w:color w:val="000000"/>
          <w:kern w:val="0"/>
          <w:sz w:val="32"/>
          <w:szCs w:val="32"/>
        </w:rPr>
        <w:t>度项目建设和市级资金使用情况，开展</w:t>
      </w:r>
      <w:r>
        <w:rPr>
          <w:rFonts w:eastAsia="仿宋"/>
          <w:color w:val="000000"/>
          <w:kern w:val="0"/>
          <w:sz w:val="32"/>
          <w:szCs w:val="32"/>
        </w:rPr>
        <w:t>南京市市级项目预算绩效</w:t>
      </w:r>
      <w:r>
        <w:rPr>
          <w:rFonts w:eastAsia="仿宋"/>
          <w:color w:val="000000"/>
          <w:kern w:val="0"/>
          <w:sz w:val="32"/>
          <w:szCs w:val="32"/>
        </w:rPr>
        <w:t>自评价</w:t>
      </w:r>
      <w:r>
        <w:rPr>
          <w:rFonts w:eastAsia="仿宋"/>
          <w:color w:val="000000"/>
          <w:kern w:val="0"/>
          <w:sz w:val="32"/>
          <w:szCs w:val="32"/>
        </w:rPr>
        <w:t>（</w:t>
      </w:r>
      <w:r>
        <w:rPr>
          <w:rFonts w:eastAsia="仿宋"/>
          <w:color w:val="000000"/>
          <w:kern w:val="0"/>
          <w:sz w:val="32"/>
          <w:szCs w:val="32"/>
        </w:rPr>
        <w:t>详见附件</w:t>
      </w:r>
      <w:r>
        <w:rPr>
          <w:rFonts w:eastAsia="仿宋"/>
          <w:color w:val="000000"/>
          <w:kern w:val="0"/>
          <w:sz w:val="32"/>
          <w:szCs w:val="32"/>
        </w:rPr>
        <w:t>）</w:t>
      </w:r>
      <w:r>
        <w:rPr>
          <w:rFonts w:eastAsia="仿宋"/>
          <w:color w:val="000000"/>
          <w:kern w:val="0"/>
          <w:sz w:val="32"/>
          <w:szCs w:val="32"/>
        </w:rPr>
        <w:t>。</w:t>
      </w:r>
      <w:r>
        <w:rPr>
          <w:rFonts w:eastAsia="仿宋"/>
          <w:color w:val="000000"/>
          <w:kern w:val="0"/>
          <w:sz w:val="32"/>
          <w:szCs w:val="32"/>
        </w:rPr>
        <w:t>2024</w:t>
      </w:r>
      <w:r>
        <w:rPr>
          <w:rFonts w:eastAsia="仿宋"/>
          <w:color w:val="000000"/>
          <w:kern w:val="0"/>
          <w:sz w:val="32"/>
          <w:szCs w:val="32"/>
        </w:rPr>
        <w:t>年度绩效目标已完成，自评得分</w:t>
      </w:r>
      <w:r>
        <w:rPr>
          <w:rFonts w:eastAsia="仿宋"/>
          <w:color w:val="000000"/>
          <w:kern w:val="0"/>
          <w:sz w:val="32"/>
          <w:szCs w:val="32"/>
        </w:rPr>
        <w:t>94.5</w:t>
      </w:r>
      <w:r>
        <w:rPr>
          <w:rFonts w:eastAsia="仿宋"/>
          <w:color w:val="000000"/>
          <w:kern w:val="0"/>
          <w:sz w:val="32"/>
          <w:szCs w:val="32"/>
        </w:rPr>
        <w:t>分，绩效等级为</w:t>
      </w:r>
      <w:r>
        <w:rPr>
          <w:rFonts w:eastAsia="仿宋"/>
          <w:color w:val="000000"/>
          <w:kern w:val="0"/>
          <w:sz w:val="32"/>
          <w:szCs w:val="32"/>
        </w:rPr>
        <w:t>“</w:t>
      </w:r>
      <w:r>
        <w:rPr>
          <w:rFonts w:eastAsia="仿宋"/>
          <w:color w:val="000000"/>
          <w:kern w:val="0"/>
          <w:sz w:val="32"/>
          <w:szCs w:val="32"/>
        </w:rPr>
        <w:t>优</w:t>
      </w:r>
      <w:r>
        <w:rPr>
          <w:rFonts w:eastAsia="仿宋"/>
          <w:color w:val="000000"/>
          <w:kern w:val="0"/>
          <w:sz w:val="32"/>
          <w:szCs w:val="32"/>
        </w:rPr>
        <w:t>”</w:t>
      </w:r>
      <w:r>
        <w:rPr>
          <w:rFonts w:eastAsia="仿宋"/>
          <w:color w:val="000000"/>
          <w:kern w:val="0"/>
          <w:sz w:val="32"/>
          <w:szCs w:val="32"/>
        </w:rPr>
        <w:t>，未偏离绩</w:t>
      </w:r>
      <w:r>
        <w:rPr>
          <w:rFonts w:eastAsia="仿宋"/>
          <w:color w:val="000000"/>
          <w:kern w:val="0"/>
          <w:sz w:val="32"/>
          <w:szCs w:val="32"/>
        </w:rPr>
        <w:t>效目标。具体评价情况如下：</w:t>
      </w:r>
    </w:p>
    <w:p w:rsidR="002B3BD5" w:rsidRDefault="00271220">
      <w:pPr>
        <w:widowControl/>
        <w:spacing w:line="580" w:lineRule="exact"/>
        <w:ind w:firstLineChars="200" w:firstLine="640"/>
        <w:jc w:val="left"/>
        <w:rPr>
          <w:rFonts w:eastAsia="楷体"/>
          <w:color w:val="000000"/>
          <w:kern w:val="0"/>
          <w:sz w:val="32"/>
          <w:szCs w:val="32"/>
        </w:rPr>
      </w:pPr>
      <w:r>
        <w:rPr>
          <w:rFonts w:eastAsia="楷体"/>
          <w:color w:val="000000"/>
          <w:kern w:val="0"/>
          <w:sz w:val="32"/>
          <w:szCs w:val="32"/>
        </w:rPr>
        <w:t>（一）年度绩效目标完成情况</w:t>
      </w:r>
    </w:p>
    <w:p w:rsidR="002B3BD5" w:rsidRDefault="00271220">
      <w:pPr>
        <w:widowControl/>
        <w:spacing w:line="580" w:lineRule="exact"/>
        <w:ind w:firstLineChars="200" w:firstLine="640"/>
        <w:jc w:val="left"/>
        <w:rPr>
          <w:rFonts w:eastAsia="仿宋"/>
          <w:color w:val="000000"/>
          <w:kern w:val="0"/>
          <w:sz w:val="32"/>
          <w:szCs w:val="32"/>
        </w:rPr>
      </w:pPr>
      <w:r>
        <w:rPr>
          <w:rFonts w:eastAsia="仿宋"/>
          <w:color w:val="000000"/>
          <w:kern w:val="0"/>
          <w:sz w:val="32"/>
          <w:szCs w:val="32"/>
        </w:rPr>
        <w:t>2024</w:t>
      </w:r>
      <w:r>
        <w:rPr>
          <w:rFonts w:eastAsia="仿宋"/>
          <w:color w:val="000000"/>
          <w:kern w:val="0"/>
          <w:sz w:val="32"/>
          <w:szCs w:val="32"/>
        </w:rPr>
        <w:t>年立项批复高标准农田建设项目</w:t>
      </w:r>
      <w:r>
        <w:rPr>
          <w:rFonts w:eastAsia="仿宋"/>
          <w:color w:val="000000"/>
          <w:kern w:val="0"/>
          <w:sz w:val="32"/>
          <w:szCs w:val="32"/>
        </w:rPr>
        <w:t>31</w:t>
      </w:r>
      <w:r>
        <w:rPr>
          <w:rFonts w:eastAsia="仿宋"/>
          <w:color w:val="000000"/>
          <w:kern w:val="0"/>
          <w:sz w:val="32"/>
          <w:szCs w:val="32"/>
        </w:rPr>
        <w:t>个，</w:t>
      </w:r>
      <w:r>
        <w:rPr>
          <w:rFonts w:eastAsia="仿宋"/>
          <w:color w:val="000000"/>
          <w:kern w:val="0"/>
          <w:sz w:val="32"/>
          <w:szCs w:val="32"/>
        </w:rPr>
        <w:t>我</w:t>
      </w:r>
      <w:r>
        <w:rPr>
          <w:rFonts w:eastAsia="仿宋"/>
          <w:color w:val="000000"/>
          <w:kern w:val="0"/>
          <w:sz w:val="32"/>
          <w:szCs w:val="32"/>
        </w:rPr>
        <w:t>市计划建设面积</w:t>
      </w:r>
      <w:r>
        <w:rPr>
          <w:rFonts w:eastAsia="仿宋"/>
          <w:color w:val="000000"/>
          <w:kern w:val="0"/>
          <w:sz w:val="32"/>
          <w:szCs w:val="32"/>
        </w:rPr>
        <w:t>5.81</w:t>
      </w:r>
      <w:r>
        <w:rPr>
          <w:rFonts w:eastAsia="仿宋"/>
          <w:color w:val="000000"/>
          <w:kern w:val="0"/>
          <w:sz w:val="32"/>
          <w:szCs w:val="32"/>
        </w:rPr>
        <w:t>万亩、实施高效节水灌溉面积</w:t>
      </w:r>
      <w:r>
        <w:rPr>
          <w:rFonts w:eastAsia="仿宋"/>
          <w:color w:val="000000"/>
          <w:kern w:val="0"/>
          <w:sz w:val="32"/>
          <w:szCs w:val="32"/>
        </w:rPr>
        <w:t>0.61</w:t>
      </w:r>
      <w:r>
        <w:rPr>
          <w:rFonts w:eastAsia="仿宋"/>
          <w:color w:val="000000"/>
          <w:kern w:val="0"/>
          <w:sz w:val="32"/>
          <w:szCs w:val="32"/>
        </w:rPr>
        <w:t>万亩（均超过省定任务），总投资</w:t>
      </w:r>
      <w:r>
        <w:rPr>
          <w:rFonts w:eastAsia="仿宋"/>
          <w:color w:val="000000"/>
          <w:kern w:val="0"/>
          <w:sz w:val="32"/>
          <w:szCs w:val="32"/>
        </w:rPr>
        <w:t>16444.54</w:t>
      </w:r>
      <w:r>
        <w:rPr>
          <w:rFonts w:eastAsia="仿宋"/>
          <w:color w:val="000000"/>
          <w:kern w:val="0"/>
          <w:sz w:val="32"/>
          <w:szCs w:val="32"/>
        </w:rPr>
        <w:t>万元，其中：中央财政补助资金</w:t>
      </w:r>
      <w:r>
        <w:rPr>
          <w:rFonts w:eastAsia="仿宋"/>
          <w:color w:val="000000"/>
          <w:kern w:val="0"/>
          <w:sz w:val="32"/>
          <w:szCs w:val="32"/>
        </w:rPr>
        <w:t>11143</w:t>
      </w:r>
      <w:r>
        <w:rPr>
          <w:rFonts w:eastAsia="仿宋"/>
          <w:color w:val="000000"/>
          <w:kern w:val="0"/>
          <w:sz w:val="32"/>
          <w:szCs w:val="32"/>
        </w:rPr>
        <w:t>万元、省级财政资金</w:t>
      </w:r>
      <w:r>
        <w:rPr>
          <w:rFonts w:eastAsia="仿宋"/>
          <w:color w:val="000000"/>
          <w:kern w:val="0"/>
          <w:sz w:val="32"/>
          <w:szCs w:val="32"/>
        </w:rPr>
        <w:t>4006.2</w:t>
      </w:r>
      <w:r>
        <w:rPr>
          <w:rFonts w:eastAsia="仿宋"/>
          <w:color w:val="000000"/>
          <w:kern w:val="0"/>
          <w:sz w:val="32"/>
          <w:szCs w:val="32"/>
        </w:rPr>
        <w:t>万元、市级财政资金</w:t>
      </w:r>
      <w:r>
        <w:rPr>
          <w:rFonts w:eastAsia="仿宋"/>
          <w:color w:val="000000"/>
          <w:kern w:val="0"/>
          <w:sz w:val="32"/>
          <w:szCs w:val="32"/>
        </w:rPr>
        <w:t>589.8</w:t>
      </w:r>
      <w:r>
        <w:rPr>
          <w:rFonts w:eastAsia="仿宋"/>
          <w:color w:val="000000"/>
          <w:kern w:val="0"/>
          <w:sz w:val="32"/>
          <w:szCs w:val="32"/>
        </w:rPr>
        <w:t>万元，截止评价日</w:t>
      </w:r>
      <w:r>
        <w:rPr>
          <w:rFonts w:eastAsia="仿宋"/>
          <w:color w:val="000000"/>
          <w:kern w:val="0"/>
          <w:sz w:val="32"/>
          <w:szCs w:val="32"/>
        </w:rPr>
        <w:t>24</w:t>
      </w:r>
      <w:r>
        <w:rPr>
          <w:rFonts w:eastAsia="仿宋"/>
          <w:color w:val="000000"/>
          <w:kern w:val="0"/>
          <w:sz w:val="32"/>
          <w:szCs w:val="32"/>
        </w:rPr>
        <w:t>个项目已完成四方验收，资金</w:t>
      </w:r>
      <w:r>
        <w:rPr>
          <w:rFonts w:eastAsia="仿宋"/>
          <w:color w:val="000000"/>
          <w:kern w:val="0"/>
          <w:sz w:val="32"/>
          <w:szCs w:val="32"/>
        </w:rPr>
        <w:t>支出率</w:t>
      </w:r>
      <w:r>
        <w:rPr>
          <w:rFonts w:eastAsia="仿宋"/>
          <w:color w:val="000000"/>
          <w:kern w:val="0"/>
          <w:sz w:val="32"/>
          <w:szCs w:val="32"/>
        </w:rPr>
        <w:t>6</w:t>
      </w:r>
      <w:r>
        <w:rPr>
          <w:rFonts w:eastAsia="仿宋"/>
          <w:color w:val="000000"/>
          <w:kern w:val="0"/>
          <w:sz w:val="32"/>
          <w:szCs w:val="32"/>
        </w:rPr>
        <w:t>4</w:t>
      </w:r>
      <w:r>
        <w:rPr>
          <w:rFonts w:eastAsia="仿宋"/>
          <w:color w:val="000000"/>
          <w:kern w:val="0"/>
          <w:sz w:val="32"/>
          <w:szCs w:val="32"/>
        </w:rPr>
        <w:t>%</w:t>
      </w:r>
      <w:r>
        <w:rPr>
          <w:rFonts w:eastAsia="仿宋"/>
          <w:color w:val="000000"/>
          <w:kern w:val="0"/>
          <w:sz w:val="32"/>
          <w:szCs w:val="32"/>
        </w:rPr>
        <w:t>。根据</w:t>
      </w:r>
      <w:r>
        <w:rPr>
          <w:rFonts w:eastAsia="仿宋"/>
          <w:color w:val="000000"/>
          <w:kern w:val="0"/>
          <w:sz w:val="32"/>
          <w:szCs w:val="32"/>
        </w:rPr>
        <w:lastRenderedPageBreak/>
        <w:t>南京市高标准农田建设管理评价标准，综合考虑各区高标准农田的建设任务、资金投入、建设管理、建设成效和建后管护等情况，对各区进行综合评价并实行奖补共计</w:t>
      </w:r>
      <w:r>
        <w:rPr>
          <w:rFonts w:eastAsia="仿宋"/>
          <w:color w:val="000000"/>
          <w:kern w:val="0"/>
          <w:sz w:val="32"/>
          <w:szCs w:val="32"/>
        </w:rPr>
        <w:t>2000</w:t>
      </w:r>
      <w:r>
        <w:rPr>
          <w:rFonts w:eastAsia="仿宋"/>
          <w:color w:val="000000"/>
          <w:kern w:val="0"/>
          <w:sz w:val="32"/>
          <w:szCs w:val="32"/>
        </w:rPr>
        <w:t>万元，其中六合区</w:t>
      </w:r>
      <w:r>
        <w:rPr>
          <w:rFonts w:eastAsia="仿宋"/>
          <w:color w:val="000000"/>
          <w:kern w:val="0"/>
          <w:sz w:val="32"/>
          <w:szCs w:val="32"/>
        </w:rPr>
        <w:t>610</w:t>
      </w:r>
      <w:r>
        <w:rPr>
          <w:rFonts w:eastAsia="仿宋"/>
          <w:color w:val="000000"/>
          <w:kern w:val="0"/>
          <w:sz w:val="32"/>
          <w:szCs w:val="32"/>
        </w:rPr>
        <w:t>万元、江宁区</w:t>
      </w:r>
      <w:r>
        <w:rPr>
          <w:rFonts w:eastAsia="仿宋"/>
          <w:color w:val="000000"/>
          <w:kern w:val="0"/>
          <w:sz w:val="32"/>
          <w:szCs w:val="32"/>
        </w:rPr>
        <w:t>500</w:t>
      </w:r>
      <w:r>
        <w:rPr>
          <w:rFonts w:eastAsia="仿宋"/>
          <w:color w:val="000000"/>
          <w:kern w:val="0"/>
          <w:sz w:val="32"/>
          <w:szCs w:val="32"/>
        </w:rPr>
        <w:t>万元、溧水区</w:t>
      </w:r>
      <w:r>
        <w:rPr>
          <w:rFonts w:eastAsia="仿宋"/>
          <w:color w:val="000000"/>
          <w:kern w:val="0"/>
          <w:sz w:val="32"/>
          <w:szCs w:val="32"/>
        </w:rPr>
        <w:t>300</w:t>
      </w:r>
      <w:r>
        <w:rPr>
          <w:rFonts w:eastAsia="仿宋"/>
          <w:color w:val="000000"/>
          <w:kern w:val="0"/>
          <w:sz w:val="32"/>
          <w:szCs w:val="32"/>
        </w:rPr>
        <w:t>万元、高淳区</w:t>
      </w:r>
      <w:r>
        <w:rPr>
          <w:rFonts w:eastAsia="仿宋"/>
          <w:color w:val="000000"/>
          <w:kern w:val="0"/>
          <w:sz w:val="32"/>
          <w:szCs w:val="32"/>
        </w:rPr>
        <w:t>220</w:t>
      </w:r>
      <w:r>
        <w:rPr>
          <w:rFonts w:eastAsia="仿宋"/>
          <w:color w:val="000000"/>
          <w:kern w:val="0"/>
          <w:sz w:val="32"/>
          <w:szCs w:val="32"/>
        </w:rPr>
        <w:t>万元、浦口区</w:t>
      </w:r>
      <w:r>
        <w:rPr>
          <w:rFonts w:eastAsia="仿宋"/>
          <w:color w:val="000000"/>
          <w:kern w:val="0"/>
          <w:sz w:val="32"/>
          <w:szCs w:val="32"/>
        </w:rPr>
        <w:t>200</w:t>
      </w:r>
      <w:r>
        <w:rPr>
          <w:rFonts w:eastAsia="仿宋"/>
          <w:color w:val="000000"/>
          <w:kern w:val="0"/>
          <w:sz w:val="32"/>
          <w:szCs w:val="32"/>
        </w:rPr>
        <w:t>万元、江北新区</w:t>
      </w:r>
      <w:r>
        <w:rPr>
          <w:rFonts w:eastAsia="仿宋"/>
          <w:color w:val="000000"/>
          <w:kern w:val="0"/>
          <w:sz w:val="32"/>
          <w:szCs w:val="32"/>
        </w:rPr>
        <w:t>110</w:t>
      </w:r>
      <w:r>
        <w:rPr>
          <w:rFonts w:eastAsia="仿宋"/>
          <w:color w:val="000000"/>
          <w:kern w:val="0"/>
          <w:sz w:val="32"/>
          <w:szCs w:val="32"/>
        </w:rPr>
        <w:t>万元、栖霞区</w:t>
      </w:r>
      <w:r>
        <w:rPr>
          <w:rFonts w:eastAsia="仿宋"/>
          <w:color w:val="000000"/>
          <w:kern w:val="0"/>
          <w:sz w:val="32"/>
          <w:szCs w:val="32"/>
        </w:rPr>
        <w:t>60</w:t>
      </w:r>
      <w:r>
        <w:rPr>
          <w:rFonts w:eastAsia="仿宋"/>
          <w:color w:val="000000"/>
          <w:kern w:val="0"/>
          <w:sz w:val="32"/>
          <w:szCs w:val="32"/>
        </w:rPr>
        <w:t>万元。</w:t>
      </w:r>
    </w:p>
    <w:p w:rsidR="002B3BD5" w:rsidRDefault="00271220">
      <w:pPr>
        <w:widowControl/>
        <w:numPr>
          <w:ilvl w:val="0"/>
          <w:numId w:val="1"/>
        </w:numPr>
        <w:spacing w:line="580" w:lineRule="exact"/>
        <w:ind w:firstLineChars="200" w:firstLine="640"/>
        <w:jc w:val="left"/>
        <w:rPr>
          <w:rFonts w:eastAsia="仿宋"/>
          <w:color w:val="000000"/>
          <w:kern w:val="0"/>
          <w:sz w:val="32"/>
          <w:szCs w:val="32"/>
        </w:rPr>
      </w:pPr>
      <w:r>
        <w:rPr>
          <w:rFonts w:eastAsia="楷体"/>
          <w:color w:val="000000"/>
          <w:kern w:val="0"/>
          <w:sz w:val="32"/>
          <w:szCs w:val="32"/>
        </w:rPr>
        <w:t>决策指标完成情况。</w:t>
      </w:r>
      <w:r>
        <w:rPr>
          <w:rFonts w:eastAsia="仿宋"/>
          <w:color w:val="000000"/>
          <w:kern w:val="0"/>
          <w:sz w:val="32"/>
          <w:szCs w:val="32"/>
        </w:rPr>
        <w:t>2024</w:t>
      </w:r>
      <w:r>
        <w:rPr>
          <w:rFonts w:eastAsia="仿宋"/>
          <w:color w:val="000000"/>
          <w:kern w:val="0"/>
          <w:sz w:val="32"/>
          <w:szCs w:val="32"/>
        </w:rPr>
        <w:t>年度项目立项依据充分，符合国家法律法规、国民经济发展规划和相关政策，符合行业发展规划和政策要求、与部门职责范围相符部门履职所需；立项程序规范，按照规定的程序申请设立，审批文件、材料符合国</w:t>
      </w:r>
      <w:r>
        <w:rPr>
          <w:rFonts w:eastAsia="仿宋"/>
          <w:color w:val="000000"/>
          <w:kern w:val="0"/>
          <w:sz w:val="32"/>
          <w:szCs w:val="32"/>
        </w:rPr>
        <w:t>家和省级文件要求。绩效目标</w:t>
      </w:r>
      <w:r>
        <w:rPr>
          <w:rFonts w:eastAsia="仿宋"/>
          <w:color w:val="000000"/>
          <w:kern w:val="0"/>
          <w:sz w:val="32"/>
          <w:szCs w:val="32"/>
        </w:rPr>
        <w:t>合理，绩效指标明确；预算编制科学，资金分配合理。</w:t>
      </w:r>
    </w:p>
    <w:p w:rsidR="002B3BD5" w:rsidRDefault="00271220">
      <w:pPr>
        <w:widowControl/>
        <w:numPr>
          <w:ilvl w:val="0"/>
          <w:numId w:val="1"/>
        </w:numPr>
        <w:spacing w:line="580" w:lineRule="exact"/>
        <w:ind w:firstLineChars="200" w:firstLine="640"/>
        <w:jc w:val="left"/>
        <w:rPr>
          <w:rFonts w:eastAsia="楷体"/>
          <w:color w:val="000000"/>
          <w:kern w:val="0"/>
          <w:sz w:val="32"/>
          <w:szCs w:val="32"/>
        </w:rPr>
      </w:pPr>
      <w:r>
        <w:rPr>
          <w:rFonts w:eastAsia="楷体"/>
          <w:color w:val="000000"/>
          <w:kern w:val="0"/>
          <w:sz w:val="32"/>
          <w:szCs w:val="32"/>
        </w:rPr>
        <w:t>过程指标完成情况。</w:t>
      </w:r>
    </w:p>
    <w:p w:rsidR="002B3BD5" w:rsidRDefault="00271220">
      <w:pPr>
        <w:widowControl/>
        <w:spacing w:line="580" w:lineRule="exact"/>
        <w:ind w:firstLineChars="200" w:firstLine="640"/>
        <w:jc w:val="left"/>
        <w:rPr>
          <w:rFonts w:eastAsia="仿宋"/>
          <w:color w:val="000000"/>
          <w:kern w:val="0"/>
          <w:sz w:val="32"/>
          <w:szCs w:val="32"/>
        </w:rPr>
      </w:pPr>
      <w:r>
        <w:rPr>
          <w:rFonts w:eastAsia="仿宋"/>
          <w:color w:val="000000"/>
          <w:kern w:val="0"/>
          <w:sz w:val="32"/>
          <w:szCs w:val="32"/>
        </w:rPr>
        <w:t>1.</w:t>
      </w:r>
      <w:r>
        <w:rPr>
          <w:rFonts w:eastAsia="仿宋"/>
          <w:color w:val="000000"/>
          <w:kern w:val="0"/>
          <w:sz w:val="32"/>
          <w:szCs w:val="32"/>
        </w:rPr>
        <w:t>资金管理指标完成情况。资金到位率为</w:t>
      </w:r>
      <w:r>
        <w:rPr>
          <w:rFonts w:eastAsia="仿宋"/>
          <w:color w:val="000000"/>
          <w:kern w:val="0"/>
          <w:sz w:val="32"/>
          <w:szCs w:val="32"/>
        </w:rPr>
        <w:t>100%,</w:t>
      </w:r>
      <w:r>
        <w:rPr>
          <w:rFonts w:eastAsia="仿宋"/>
          <w:color w:val="000000"/>
          <w:kern w:val="0"/>
          <w:sz w:val="32"/>
          <w:szCs w:val="32"/>
        </w:rPr>
        <w:t>资金使用符合国家财经法规和财务管理制度以及有关专项资金管理办法的规定</w:t>
      </w:r>
      <w:r>
        <w:rPr>
          <w:rFonts w:eastAsia="仿宋"/>
          <w:color w:val="000000"/>
          <w:kern w:val="0"/>
          <w:sz w:val="32"/>
          <w:szCs w:val="32"/>
        </w:rPr>
        <w:t>,</w:t>
      </w:r>
      <w:r>
        <w:rPr>
          <w:rFonts w:eastAsia="仿宋"/>
          <w:color w:val="000000"/>
          <w:kern w:val="0"/>
          <w:sz w:val="32"/>
          <w:szCs w:val="32"/>
        </w:rPr>
        <w:t>资金的拨付有完整的审批程序和手续。因项目建设期为</w:t>
      </w:r>
      <w:r>
        <w:rPr>
          <w:rFonts w:eastAsia="仿宋"/>
          <w:color w:val="000000"/>
          <w:kern w:val="0"/>
          <w:sz w:val="32"/>
          <w:szCs w:val="32"/>
        </w:rPr>
        <w:t>1-2</w:t>
      </w:r>
      <w:r>
        <w:rPr>
          <w:rFonts w:eastAsia="仿宋"/>
          <w:color w:val="000000"/>
          <w:kern w:val="0"/>
          <w:sz w:val="32"/>
          <w:szCs w:val="32"/>
        </w:rPr>
        <w:t>年，项目尚未组织开展竣工验收，目前实际支出资金按照合同约定完成支出，即完成</w:t>
      </w:r>
      <w:r>
        <w:rPr>
          <w:rFonts w:eastAsia="仿宋"/>
          <w:color w:val="000000"/>
          <w:kern w:val="0"/>
          <w:sz w:val="32"/>
          <w:szCs w:val="32"/>
        </w:rPr>
        <w:t>64%</w:t>
      </w:r>
      <w:r>
        <w:rPr>
          <w:rFonts w:eastAsia="仿宋"/>
          <w:color w:val="000000"/>
          <w:kern w:val="0"/>
          <w:sz w:val="32"/>
          <w:szCs w:val="32"/>
        </w:rPr>
        <w:t>施工资金支付，预算执行率尚未达到</w:t>
      </w:r>
      <w:r>
        <w:rPr>
          <w:rFonts w:eastAsia="仿宋"/>
          <w:color w:val="000000"/>
          <w:kern w:val="0"/>
          <w:sz w:val="32"/>
          <w:szCs w:val="32"/>
        </w:rPr>
        <w:t>100%</w:t>
      </w:r>
      <w:r>
        <w:rPr>
          <w:rFonts w:eastAsia="仿宋"/>
          <w:color w:val="000000"/>
          <w:kern w:val="0"/>
          <w:sz w:val="32"/>
          <w:szCs w:val="32"/>
        </w:rPr>
        <w:t>支付要求。</w:t>
      </w:r>
    </w:p>
    <w:p w:rsidR="002B3BD5" w:rsidRDefault="00271220">
      <w:pPr>
        <w:widowControl/>
        <w:spacing w:line="580" w:lineRule="exact"/>
        <w:ind w:firstLineChars="200" w:firstLine="640"/>
        <w:jc w:val="left"/>
        <w:rPr>
          <w:rFonts w:eastAsia="仿宋"/>
          <w:color w:val="000000"/>
          <w:kern w:val="0"/>
          <w:sz w:val="32"/>
          <w:szCs w:val="32"/>
        </w:rPr>
      </w:pPr>
      <w:r>
        <w:rPr>
          <w:rFonts w:eastAsia="仿宋"/>
          <w:color w:val="000000"/>
          <w:kern w:val="0"/>
          <w:sz w:val="32"/>
          <w:szCs w:val="32"/>
        </w:rPr>
        <w:t>2.</w:t>
      </w:r>
      <w:r>
        <w:rPr>
          <w:rFonts w:eastAsia="仿宋"/>
          <w:color w:val="000000"/>
          <w:kern w:val="0"/>
          <w:sz w:val="32"/>
          <w:szCs w:val="32"/>
        </w:rPr>
        <w:t>组织实施指标完成情况。管理制度健全，制度执行有效。</w:t>
      </w:r>
    </w:p>
    <w:p w:rsidR="002B3BD5" w:rsidRDefault="00271220">
      <w:pPr>
        <w:widowControl/>
        <w:spacing w:line="580" w:lineRule="exact"/>
        <w:ind w:firstLineChars="200" w:firstLine="640"/>
        <w:jc w:val="left"/>
        <w:rPr>
          <w:rFonts w:eastAsia="楷体"/>
          <w:color w:val="000000"/>
          <w:kern w:val="0"/>
          <w:sz w:val="32"/>
          <w:szCs w:val="32"/>
        </w:rPr>
      </w:pPr>
      <w:r>
        <w:rPr>
          <w:rFonts w:eastAsia="楷体"/>
          <w:color w:val="000000"/>
          <w:kern w:val="0"/>
          <w:sz w:val="32"/>
          <w:szCs w:val="32"/>
        </w:rPr>
        <w:t>（四）产出指标完成情况</w:t>
      </w:r>
    </w:p>
    <w:p w:rsidR="002B3BD5" w:rsidRDefault="00271220">
      <w:pPr>
        <w:widowControl/>
        <w:spacing w:line="580" w:lineRule="exact"/>
        <w:ind w:firstLineChars="200" w:firstLine="640"/>
        <w:jc w:val="left"/>
        <w:rPr>
          <w:rFonts w:eastAsia="仿宋"/>
          <w:color w:val="000000"/>
          <w:kern w:val="0"/>
          <w:sz w:val="32"/>
          <w:szCs w:val="32"/>
        </w:rPr>
      </w:pPr>
      <w:r>
        <w:rPr>
          <w:rFonts w:eastAsia="仿宋"/>
          <w:bCs/>
          <w:color w:val="000000"/>
          <w:kern w:val="0"/>
          <w:sz w:val="32"/>
          <w:szCs w:val="32"/>
        </w:rPr>
        <w:t>1</w:t>
      </w:r>
      <w:r>
        <w:rPr>
          <w:rFonts w:eastAsia="仿宋"/>
          <w:bCs/>
          <w:color w:val="000000"/>
          <w:kern w:val="0"/>
          <w:sz w:val="32"/>
          <w:szCs w:val="32"/>
        </w:rPr>
        <w:t>．数量指标完成情况。</w:t>
      </w:r>
      <w:r>
        <w:rPr>
          <w:rFonts w:eastAsia="仿宋"/>
          <w:color w:val="000000"/>
          <w:kern w:val="0"/>
          <w:sz w:val="32"/>
          <w:szCs w:val="32"/>
        </w:rPr>
        <w:t>根据《关于</w:t>
      </w:r>
      <w:r>
        <w:rPr>
          <w:rFonts w:eastAsia="仿宋"/>
          <w:color w:val="000000"/>
          <w:kern w:val="0"/>
          <w:sz w:val="32"/>
          <w:szCs w:val="32"/>
        </w:rPr>
        <w:t>2024</w:t>
      </w:r>
      <w:r>
        <w:rPr>
          <w:rFonts w:eastAsia="仿宋"/>
          <w:color w:val="000000"/>
          <w:kern w:val="0"/>
          <w:sz w:val="32"/>
          <w:szCs w:val="32"/>
        </w:rPr>
        <w:t>年度</w:t>
      </w:r>
      <w:r>
        <w:rPr>
          <w:rFonts w:eastAsia="仿宋"/>
          <w:color w:val="000000"/>
          <w:kern w:val="0"/>
          <w:sz w:val="32"/>
          <w:szCs w:val="32"/>
        </w:rPr>
        <w:t>中央财政补助</w:t>
      </w:r>
      <w:r>
        <w:rPr>
          <w:rFonts w:eastAsia="仿宋"/>
          <w:color w:val="000000"/>
          <w:kern w:val="0"/>
          <w:sz w:val="32"/>
          <w:szCs w:val="32"/>
        </w:rPr>
        <w:t>高标准农田建设项目实施计划的批复》</w:t>
      </w:r>
      <w:r>
        <w:rPr>
          <w:rFonts w:eastAsia="仿宋"/>
          <w:color w:val="000000"/>
          <w:kern w:val="0"/>
          <w:sz w:val="32"/>
          <w:szCs w:val="32"/>
        </w:rPr>
        <w:t>(</w:t>
      </w:r>
      <w:r>
        <w:rPr>
          <w:rFonts w:eastAsia="仿宋"/>
          <w:color w:val="000000"/>
          <w:kern w:val="0"/>
          <w:sz w:val="32"/>
          <w:szCs w:val="32"/>
        </w:rPr>
        <w:t>苏农复〔</w:t>
      </w:r>
      <w:r>
        <w:rPr>
          <w:rFonts w:eastAsia="仿宋"/>
          <w:color w:val="000000"/>
          <w:kern w:val="0"/>
          <w:sz w:val="32"/>
          <w:szCs w:val="32"/>
        </w:rPr>
        <w:t>2024</w:t>
      </w:r>
      <w:r>
        <w:rPr>
          <w:rFonts w:eastAsia="仿宋"/>
          <w:color w:val="000000"/>
          <w:kern w:val="0"/>
          <w:sz w:val="32"/>
          <w:szCs w:val="32"/>
        </w:rPr>
        <w:t>〕</w:t>
      </w:r>
      <w:r>
        <w:rPr>
          <w:rFonts w:eastAsia="仿宋"/>
          <w:color w:val="000000"/>
          <w:kern w:val="0"/>
          <w:sz w:val="32"/>
          <w:szCs w:val="32"/>
        </w:rPr>
        <w:t>37</w:t>
      </w:r>
      <w:r>
        <w:rPr>
          <w:rFonts w:eastAsia="仿宋"/>
          <w:color w:val="000000"/>
          <w:kern w:val="0"/>
          <w:sz w:val="32"/>
          <w:szCs w:val="32"/>
        </w:rPr>
        <w:t>号</w:t>
      </w:r>
      <w:r>
        <w:rPr>
          <w:rFonts w:eastAsia="仿宋"/>
          <w:color w:val="000000"/>
          <w:kern w:val="0"/>
          <w:sz w:val="32"/>
          <w:szCs w:val="32"/>
        </w:rPr>
        <w:t>)</w:t>
      </w:r>
      <w:r>
        <w:rPr>
          <w:rFonts w:eastAsia="仿宋"/>
          <w:color w:val="000000"/>
          <w:kern w:val="0"/>
          <w:sz w:val="32"/>
          <w:szCs w:val="32"/>
        </w:rPr>
        <w:t>精神及项目与资金管理有关规定，联合市财政局及时批复南京</w:t>
      </w:r>
      <w:r>
        <w:rPr>
          <w:rFonts w:eastAsia="仿宋"/>
          <w:color w:val="000000"/>
          <w:kern w:val="0"/>
          <w:sz w:val="32"/>
          <w:szCs w:val="32"/>
        </w:rPr>
        <w:lastRenderedPageBreak/>
        <w:t>市</w:t>
      </w:r>
      <w:r>
        <w:rPr>
          <w:rFonts w:eastAsia="仿宋"/>
          <w:color w:val="000000"/>
          <w:kern w:val="0"/>
          <w:sz w:val="32"/>
          <w:szCs w:val="32"/>
        </w:rPr>
        <w:t>2024</w:t>
      </w:r>
      <w:r>
        <w:rPr>
          <w:rFonts w:eastAsia="仿宋"/>
          <w:color w:val="000000"/>
          <w:kern w:val="0"/>
          <w:sz w:val="32"/>
          <w:szCs w:val="32"/>
        </w:rPr>
        <w:t>年度高标准农田建设项目实施计划与资金，随文下</w:t>
      </w:r>
      <w:r>
        <w:rPr>
          <w:rFonts w:eastAsia="仿宋"/>
          <w:color w:val="000000"/>
          <w:kern w:val="0"/>
          <w:sz w:val="32"/>
          <w:szCs w:val="32"/>
        </w:rPr>
        <w:t>达</w:t>
      </w:r>
      <w:r>
        <w:rPr>
          <w:rFonts w:eastAsia="仿宋"/>
          <w:color w:val="000000"/>
          <w:kern w:val="0"/>
          <w:sz w:val="32"/>
          <w:szCs w:val="32"/>
        </w:rPr>
        <w:t>市级补助资金，加强项目计划管理、加快项目组织实施。按照农业农村部《高标准农田建设项目竣工验收办法》（农建发</w:t>
      </w:r>
      <w:bookmarkStart w:id="1" w:name="_Hlk138976855"/>
      <w:r>
        <w:rPr>
          <w:rFonts w:eastAsia="仿宋"/>
          <w:color w:val="000000"/>
          <w:kern w:val="0"/>
          <w:sz w:val="32"/>
          <w:szCs w:val="32"/>
        </w:rPr>
        <w:t>〔</w:t>
      </w:r>
      <w:r>
        <w:rPr>
          <w:rFonts w:eastAsia="仿宋"/>
          <w:color w:val="000000"/>
          <w:kern w:val="0"/>
          <w:sz w:val="32"/>
          <w:szCs w:val="32"/>
        </w:rPr>
        <w:t>2021</w:t>
      </w:r>
      <w:r>
        <w:rPr>
          <w:rFonts w:eastAsia="仿宋"/>
          <w:color w:val="000000"/>
          <w:kern w:val="0"/>
          <w:sz w:val="32"/>
          <w:szCs w:val="32"/>
        </w:rPr>
        <w:t>〕</w:t>
      </w:r>
      <w:bookmarkEnd w:id="1"/>
      <w:r>
        <w:rPr>
          <w:rFonts w:eastAsia="仿宋"/>
          <w:color w:val="000000"/>
          <w:kern w:val="0"/>
          <w:sz w:val="32"/>
          <w:szCs w:val="32"/>
        </w:rPr>
        <w:t>5</w:t>
      </w:r>
      <w:r>
        <w:rPr>
          <w:rFonts w:eastAsia="仿宋"/>
          <w:color w:val="000000"/>
          <w:kern w:val="0"/>
          <w:sz w:val="32"/>
          <w:szCs w:val="32"/>
        </w:rPr>
        <w:t>号）和《江苏省高标准农田建设项目竣工验收实施办法》，各区督促建设单位组织设计、施工和监理单位开展自验，区级对通过自验</w:t>
      </w:r>
      <w:r>
        <w:rPr>
          <w:rFonts w:eastAsia="仿宋"/>
          <w:sz w:val="32"/>
          <w:szCs w:val="32"/>
        </w:rPr>
        <w:t>提交验收申请的</w:t>
      </w:r>
      <w:r>
        <w:rPr>
          <w:rFonts w:eastAsia="仿宋"/>
          <w:color w:val="000000"/>
          <w:kern w:val="0"/>
          <w:sz w:val="32"/>
          <w:szCs w:val="32"/>
        </w:rPr>
        <w:t>项目工程完成情况、资金拨付情况和档案资料整理情况进行检查，并委托审</w:t>
      </w:r>
      <w:r>
        <w:rPr>
          <w:rFonts w:eastAsia="仿宋"/>
          <w:color w:val="000000"/>
          <w:kern w:val="0"/>
          <w:sz w:val="32"/>
          <w:szCs w:val="32"/>
        </w:rPr>
        <w:t>计单位编制竣工决算和财务审计，通过区级初验合格的项目申请市级验收。</w:t>
      </w:r>
      <w:r>
        <w:rPr>
          <w:rFonts w:eastAsia="仿宋"/>
          <w:color w:val="000000"/>
          <w:kern w:val="0"/>
          <w:sz w:val="32"/>
          <w:szCs w:val="32"/>
        </w:rPr>
        <w:t>截止绩效评价日，新建高标准农田面积</w:t>
      </w:r>
      <w:r>
        <w:rPr>
          <w:rFonts w:eastAsia="仿宋"/>
          <w:color w:val="000000"/>
          <w:kern w:val="0"/>
          <w:sz w:val="32"/>
          <w:szCs w:val="32"/>
        </w:rPr>
        <w:t>2.07</w:t>
      </w:r>
      <w:r>
        <w:rPr>
          <w:rFonts w:eastAsia="仿宋"/>
          <w:color w:val="000000"/>
          <w:kern w:val="0"/>
          <w:sz w:val="32"/>
          <w:szCs w:val="32"/>
        </w:rPr>
        <w:t>万亩（超过省定任务）、改造提升面积</w:t>
      </w:r>
      <w:r>
        <w:rPr>
          <w:rFonts w:eastAsia="仿宋"/>
          <w:color w:val="000000"/>
          <w:kern w:val="0"/>
          <w:sz w:val="32"/>
          <w:szCs w:val="32"/>
        </w:rPr>
        <w:t>3.74</w:t>
      </w:r>
      <w:r>
        <w:rPr>
          <w:rFonts w:eastAsia="仿宋"/>
          <w:color w:val="000000"/>
          <w:kern w:val="0"/>
          <w:sz w:val="32"/>
          <w:szCs w:val="32"/>
        </w:rPr>
        <w:t>万亩，完成高效节水灌溉建设面积</w:t>
      </w:r>
      <w:r>
        <w:rPr>
          <w:rFonts w:eastAsia="仿宋"/>
          <w:color w:val="000000"/>
          <w:kern w:val="0"/>
          <w:sz w:val="32"/>
          <w:szCs w:val="32"/>
        </w:rPr>
        <w:t>0.61</w:t>
      </w:r>
      <w:r>
        <w:rPr>
          <w:rFonts w:eastAsia="仿宋"/>
          <w:color w:val="000000"/>
          <w:kern w:val="0"/>
          <w:sz w:val="32"/>
          <w:szCs w:val="32"/>
        </w:rPr>
        <w:t>万亩。</w:t>
      </w:r>
    </w:p>
    <w:p w:rsidR="002B3BD5" w:rsidRDefault="00271220">
      <w:pPr>
        <w:spacing w:line="580" w:lineRule="exact"/>
        <w:ind w:firstLineChars="200" w:firstLine="640"/>
        <w:rPr>
          <w:rFonts w:eastAsia="仿宋"/>
          <w:color w:val="000000"/>
          <w:kern w:val="0"/>
          <w:sz w:val="32"/>
          <w:szCs w:val="32"/>
        </w:rPr>
      </w:pPr>
      <w:r>
        <w:rPr>
          <w:rFonts w:eastAsia="仿宋"/>
          <w:bCs/>
          <w:color w:val="000000"/>
          <w:kern w:val="0"/>
          <w:sz w:val="32"/>
          <w:szCs w:val="32"/>
        </w:rPr>
        <w:t>2</w:t>
      </w:r>
      <w:r>
        <w:rPr>
          <w:rFonts w:eastAsia="仿宋"/>
          <w:bCs/>
          <w:color w:val="000000"/>
          <w:kern w:val="0"/>
          <w:sz w:val="32"/>
          <w:szCs w:val="32"/>
        </w:rPr>
        <w:t>．质量指标完成情况。</w:t>
      </w:r>
      <w:r>
        <w:rPr>
          <w:rFonts w:eastAsia="仿宋"/>
          <w:color w:val="000000"/>
          <w:kern w:val="0"/>
          <w:sz w:val="32"/>
          <w:szCs w:val="32"/>
        </w:rPr>
        <w:t>2024</w:t>
      </w:r>
      <w:r>
        <w:rPr>
          <w:rFonts w:eastAsia="仿宋"/>
          <w:color w:val="000000"/>
          <w:kern w:val="0"/>
          <w:sz w:val="32"/>
          <w:szCs w:val="32"/>
        </w:rPr>
        <w:t>年度高标准农田建设项目工程质量均符合设计要求</w:t>
      </w:r>
      <w:r>
        <w:rPr>
          <w:rFonts w:eastAsia="仿宋"/>
          <w:color w:val="000000"/>
          <w:kern w:val="0"/>
          <w:sz w:val="32"/>
          <w:szCs w:val="32"/>
        </w:rPr>
        <w:t>，</w:t>
      </w:r>
      <w:r>
        <w:rPr>
          <w:rFonts w:eastAsia="仿宋"/>
          <w:color w:val="000000"/>
          <w:kern w:val="0"/>
          <w:sz w:val="32"/>
          <w:szCs w:val="32"/>
        </w:rPr>
        <w:t>通过高标准农田建设耕地质量逐步得到提升</w:t>
      </w:r>
      <w:r>
        <w:rPr>
          <w:rFonts w:eastAsia="仿宋"/>
          <w:color w:val="000000"/>
          <w:kern w:val="0"/>
          <w:sz w:val="32"/>
          <w:szCs w:val="32"/>
        </w:rPr>
        <w:t>。</w:t>
      </w:r>
      <w:r>
        <w:rPr>
          <w:rFonts w:eastAsia="仿宋"/>
          <w:color w:val="000000"/>
          <w:kern w:val="0"/>
          <w:sz w:val="32"/>
          <w:szCs w:val="32"/>
        </w:rPr>
        <w:t>因项目建设期为</w:t>
      </w:r>
      <w:r>
        <w:rPr>
          <w:rFonts w:eastAsia="仿宋"/>
          <w:color w:val="000000"/>
          <w:kern w:val="0"/>
          <w:sz w:val="32"/>
          <w:szCs w:val="32"/>
        </w:rPr>
        <w:t>1-2</w:t>
      </w:r>
      <w:r>
        <w:rPr>
          <w:rFonts w:eastAsia="仿宋"/>
          <w:color w:val="000000"/>
          <w:kern w:val="0"/>
          <w:sz w:val="32"/>
          <w:szCs w:val="32"/>
        </w:rPr>
        <w:t>年，目前仅完成</w:t>
      </w:r>
      <w:r>
        <w:rPr>
          <w:rFonts w:eastAsia="仿宋"/>
          <w:color w:val="000000"/>
          <w:kern w:val="0"/>
          <w:sz w:val="32"/>
          <w:szCs w:val="32"/>
        </w:rPr>
        <w:t>10</w:t>
      </w:r>
      <w:r>
        <w:rPr>
          <w:rFonts w:eastAsia="仿宋"/>
          <w:color w:val="000000"/>
          <w:kern w:val="0"/>
          <w:sz w:val="32"/>
          <w:szCs w:val="32"/>
        </w:rPr>
        <w:t>个项目区级初验，其余</w:t>
      </w:r>
      <w:r>
        <w:rPr>
          <w:rFonts w:eastAsia="仿宋"/>
          <w:color w:val="000000"/>
          <w:kern w:val="0"/>
          <w:sz w:val="32"/>
          <w:szCs w:val="32"/>
        </w:rPr>
        <w:t>21</w:t>
      </w:r>
      <w:r>
        <w:rPr>
          <w:rFonts w:eastAsia="仿宋"/>
          <w:color w:val="000000"/>
          <w:kern w:val="0"/>
          <w:sz w:val="32"/>
          <w:szCs w:val="32"/>
        </w:rPr>
        <w:t>个项目区级初验预计</w:t>
      </w:r>
      <w:r>
        <w:rPr>
          <w:rFonts w:eastAsia="仿宋"/>
          <w:color w:val="000000"/>
          <w:kern w:val="0"/>
          <w:sz w:val="32"/>
          <w:szCs w:val="32"/>
        </w:rPr>
        <w:t>7</w:t>
      </w:r>
      <w:r>
        <w:rPr>
          <w:rFonts w:eastAsia="仿宋"/>
          <w:color w:val="000000"/>
          <w:kern w:val="0"/>
          <w:sz w:val="32"/>
          <w:szCs w:val="32"/>
        </w:rPr>
        <w:t>月完成，因此项目验收合格率为</w:t>
      </w:r>
      <w:r>
        <w:rPr>
          <w:rFonts w:eastAsia="仿宋"/>
          <w:color w:val="000000"/>
          <w:kern w:val="0"/>
          <w:sz w:val="32"/>
          <w:szCs w:val="32"/>
        </w:rPr>
        <w:t>32.25%</w:t>
      </w:r>
      <w:r>
        <w:rPr>
          <w:rFonts w:eastAsia="仿宋"/>
          <w:color w:val="000000"/>
          <w:kern w:val="0"/>
          <w:sz w:val="32"/>
          <w:szCs w:val="32"/>
        </w:rPr>
        <w:t>。</w:t>
      </w:r>
    </w:p>
    <w:p w:rsidR="002B3BD5" w:rsidRDefault="00271220">
      <w:pPr>
        <w:spacing w:line="580" w:lineRule="exact"/>
        <w:ind w:firstLineChars="200" w:firstLine="640"/>
        <w:rPr>
          <w:rFonts w:eastAsia="仿宋"/>
          <w:color w:val="000000"/>
          <w:kern w:val="0"/>
          <w:sz w:val="32"/>
          <w:szCs w:val="32"/>
        </w:rPr>
      </w:pPr>
      <w:r>
        <w:rPr>
          <w:rFonts w:eastAsia="仿宋"/>
          <w:bCs/>
          <w:color w:val="000000"/>
          <w:kern w:val="0"/>
          <w:sz w:val="32"/>
          <w:szCs w:val="32"/>
        </w:rPr>
        <w:t>3</w:t>
      </w:r>
      <w:r>
        <w:rPr>
          <w:rFonts w:eastAsia="仿宋"/>
          <w:bCs/>
          <w:color w:val="000000"/>
          <w:kern w:val="0"/>
          <w:sz w:val="32"/>
          <w:szCs w:val="32"/>
        </w:rPr>
        <w:t>．时效指标完成情况。</w:t>
      </w:r>
      <w:r>
        <w:rPr>
          <w:rFonts w:eastAsia="仿宋"/>
          <w:color w:val="000000"/>
          <w:kern w:val="0"/>
          <w:sz w:val="32"/>
          <w:szCs w:val="32"/>
        </w:rPr>
        <w:t>截止</w:t>
      </w:r>
      <w:r>
        <w:rPr>
          <w:rFonts w:eastAsia="仿宋"/>
          <w:color w:val="000000"/>
          <w:kern w:val="0"/>
          <w:sz w:val="32"/>
          <w:szCs w:val="32"/>
        </w:rPr>
        <w:t>202</w:t>
      </w:r>
      <w:r>
        <w:rPr>
          <w:rFonts w:eastAsia="仿宋"/>
          <w:color w:val="000000"/>
          <w:kern w:val="0"/>
          <w:sz w:val="32"/>
          <w:szCs w:val="32"/>
        </w:rPr>
        <w:t>5</w:t>
      </w:r>
      <w:r>
        <w:rPr>
          <w:rFonts w:eastAsia="仿宋"/>
          <w:color w:val="000000"/>
          <w:kern w:val="0"/>
          <w:sz w:val="32"/>
          <w:szCs w:val="32"/>
        </w:rPr>
        <w:t>年</w:t>
      </w:r>
      <w:r>
        <w:rPr>
          <w:rFonts w:eastAsia="仿宋"/>
          <w:color w:val="000000"/>
          <w:kern w:val="0"/>
          <w:sz w:val="32"/>
          <w:szCs w:val="32"/>
        </w:rPr>
        <w:t>6</w:t>
      </w:r>
      <w:r>
        <w:rPr>
          <w:rFonts w:eastAsia="仿宋"/>
          <w:color w:val="000000"/>
          <w:kern w:val="0"/>
          <w:sz w:val="32"/>
          <w:szCs w:val="32"/>
        </w:rPr>
        <w:t>月</w:t>
      </w:r>
      <w:r>
        <w:rPr>
          <w:rFonts w:eastAsia="仿宋"/>
          <w:color w:val="000000"/>
          <w:kern w:val="0"/>
          <w:sz w:val="32"/>
          <w:szCs w:val="32"/>
        </w:rPr>
        <w:t>25</w:t>
      </w:r>
      <w:r>
        <w:rPr>
          <w:rFonts w:eastAsia="仿宋"/>
          <w:color w:val="000000"/>
          <w:kern w:val="0"/>
          <w:sz w:val="32"/>
          <w:szCs w:val="32"/>
        </w:rPr>
        <w:t>日</w:t>
      </w:r>
      <w:r>
        <w:rPr>
          <w:rFonts w:eastAsia="仿宋"/>
          <w:color w:val="000000"/>
          <w:kern w:val="0"/>
          <w:sz w:val="32"/>
          <w:szCs w:val="32"/>
        </w:rPr>
        <w:t>，</w:t>
      </w:r>
      <w:r>
        <w:rPr>
          <w:rFonts w:eastAsia="仿宋"/>
          <w:color w:val="000000"/>
          <w:kern w:val="0"/>
          <w:sz w:val="32"/>
          <w:szCs w:val="32"/>
        </w:rPr>
        <w:t>2024</w:t>
      </w:r>
      <w:r>
        <w:rPr>
          <w:rFonts w:eastAsia="仿宋"/>
          <w:color w:val="000000"/>
          <w:kern w:val="0"/>
          <w:sz w:val="32"/>
          <w:szCs w:val="32"/>
        </w:rPr>
        <w:t>年度</w:t>
      </w:r>
      <w:r>
        <w:rPr>
          <w:rFonts w:eastAsia="仿宋"/>
          <w:color w:val="000000"/>
          <w:kern w:val="0"/>
          <w:sz w:val="32"/>
          <w:szCs w:val="32"/>
        </w:rPr>
        <w:t>项目建设均按照时序</w:t>
      </w:r>
      <w:r>
        <w:rPr>
          <w:rFonts w:eastAsia="仿宋"/>
          <w:color w:val="000000"/>
          <w:kern w:val="0"/>
          <w:sz w:val="32"/>
          <w:szCs w:val="32"/>
        </w:rPr>
        <w:t>计划</w:t>
      </w:r>
      <w:r>
        <w:rPr>
          <w:rFonts w:eastAsia="仿宋"/>
          <w:color w:val="000000"/>
          <w:kern w:val="0"/>
          <w:sz w:val="32"/>
          <w:szCs w:val="32"/>
        </w:rPr>
        <w:t>进行</w:t>
      </w:r>
      <w:r>
        <w:rPr>
          <w:rFonts w:eastAsia="仿宋"/>
          <w:color w:val="000000"/>
          <w:kern w:val="0"/>
          <w:sz w:val="32"/>
          <w:szCs w:val="32"/>
        </w:rPr>
        <w:t>，</w:t>
      </w:r>
      <w:r>
        <w:rPr>
          <w:rFonts w:eastAsia="仿宋"/>
          <w:color w:val="000000"/>
          <w:kern w:val="0"/>
          <w:sz w:val="32"/>
          <w:szCs w:val="32"/>
        </w:rPr>
        <w:t>全部完工。</w:t>
      </w:r>
    </w:p>
    <w:p w:rsidR="002B3BD5" w:rsidRDefault="00271220">
      <w:pPr>
        <w:widowControl/>
        <w:spacing w:line="580" w:lineRule="exact"/>
        <w:ind w:firstLineChars="200" w:firstLine="640"/>
        <w:jc w:val="left"/>
        <w:rPr>
          <w:rFonts w:eastAsia="楷体"/>
          <w:color w:val="000000"/>
          <w:kern w:val="0"/>
          <w:sz w:val="32"/>
          <w:szCs w:val="32"/>
        </w:rPr>
      </w:pPr>
      <w:r>
        <w:rPr>
          <w:rFonts w:eastAsia="楷体"/>
          <w:color w:val="000000"/>
          <w:kern w:val="0"/>
          <w:sz w:val="32"/>
          <w:szCs w:val="32"/>
        </w:rPr>
        <w:t>（五）效益指标目标完成情况</w:t>
      </w:r>
    </w:p>
    <w:p w:rsidR="002B3BD5" w:rsidRDefault="00271220">
      <w:pPr>
        <w:widowControl/>
        <w:spacing w:line="580" w:lineRule="exact"/>
        <w:ind w:firstLineChars="200" w:firstLine="640"/>
        <w:jc w:val="left"/>
        <w:rPr>
          <w:rFonts w:eastAsia="仿宋"/>
          <w:color w:val="000000"/>
          <w:kern w:val="0"/>
          <w:sz w:val="32"/>
          <w:szCs w:val="32"/>
        </w:rPr>
      </w:pPr>
      <w:r>
        <w:rPr>
          <w:rFonts w:eastAsia="仿宋"/>
          <w:bCs/>
          <w:color w:val="000000"/>
          <w:kern w:val="0"/>
          <w:sz w:val="32"/>
          <w:szCs w:val="32"/>
        </w:rPr>
        <w:t>1</w:t>
      </w:r>
      <w:r>
        <w:rPr>
          <w:rFonts w:eastAsia="仿宋"/>
          <w:bCs/>
          <w:color w:val="000000"/>
          <w:kern w:val="0"/>
          <w:sz w:val="32"/>
          <w:szCs w:val="32"/>
        </w:rPr>
        <w:t>．经济效益指标完成情况。</w:t>
      </w:r>
      <w:r>
        <w:rPr>
          <w:rFonts w:eastAsia="仿宋"/>
          <w:color w:val="000000"/>
          <w:kern w:val="0"/>
          <w:sz w:val="32"/>
          <w:szCs w:val="32"/>
        </w:rPr>
        <w:t>项目实施后，项目区粮食综合生产能力</w:t>
      </w:r>
      <w:r>
        <w:rPr>
          <w:rFonts w:eastAsia="仿宋"/>
          <w:color w:val="000000"/>
          <w:kern w:val="0"/>
          <w:sz w:val="32"/>
          <w:szCs w:val="32"/>
        </w:rPr>
        <w:t>明显</w:t>
      </w:r>
      <w:r>
        <w:rPr>
          <w:rFonts w:eastAsia="仿宋"/>
          <w:color w:val="000000"/>
          <w:kern w:val="0"/>
          <w:sz w:val="32"/>
          <w:szCs w:val="32"/>
        </w:rPr>
        <w:t>提升。</w:t>
      </w:r>
    </w:p>
    <w:p w:rsidR="002B3BD5" w:rsidRDefault="00271220">
      <w:pPr>
        <w:widowControl/>
        <w:spacing w:line="580" w:lineRule="exact"/>
        <w:ind w:firstLineChars="200" w:firstLine="640"/>
        <w:jc w:val="left"/>
        <w:rPr>
          <w:rFonts w:eastAsia="仿宋"/>
          <w:color w:val="000000"/>
          <w:kern w:val="0"/>
          <w:sz w:val="32"/>
          <w:szCs w:val="32"/>
        </w:rPr>
      </w:pPr>
      <w:r>
        <w:rPr>
          <w:rFonts w:eastAsia="仿宋"/>
          <w:bCs/>
          <w:color w:val="000000"/>
          <w:kern w:val="0"/>
          <w:sz w:val="32"/>
          <w:szCs w:val="32"/>
        </w:rPr>
        <w:t xml:space="preserve">2. </w:t>
      </w:r>
      <w:r>
        <w:rPr>
          <w:rFonts w:eastAsia="仿宋"/>
          <w:bCs/>
          <w:color w:val="000000"/>
          <w:kern w:val="0"/>
          <w:sz w:val="32"/>
          <w:szCs w:val="32"/>
        </w:rPr>
        <w:t>社会效益指标完成情况。</w:t>
      </w:r>
      <w:r>
        <w:rPr>
          <w:rFonts w:eastAsia="仿宋"/>
          <w:color w:val="000000"/>
          <w:kern w:val="0"/>
          <w:sz w:val="32"/>
          <w:szCs w:val="32"/>
        </w:rPr>
        <w:t>项目资金使用</w:t>
      </w:r>
      <w:r>
        <w:rPr>
          <w:rFonts w:eastAsia="仿宋"/>
          <w:color w:val="000000"/>
          <w:kern w:val="0"/>
          <w:sz w:val="32"/>
          <w:szCs w:val="32"/>
        </w:rPr>
        <w:t>过程中无</w:t>
      </w:r>
      <w:r>
        <w:rPr>
          <w:rFonts w:eastAsia="仿宋"/>
          <w:color w:val="000000"/>
          <w:kern w:val="0"/>
          <w:sz w:val="32"/>
          <w:szCs w:val="32"/>
        </w:rPr>
        <w:t>重大违规违纪问题</w:t>
      </w:r>
      <w:r>
        <w:rPr>
          <w:rFonts w:eastAsia="仿宋"/>
          <w:color w:val="000000"/>
          <w:kern w:val="0"/>
          <w:sz w:val="32"/>
          <w:szCs w:val="32"/>
        </w:rPr>
        <w:t>。</w:t>
      </w:r>
    </w:p>
    <w:p w:rsidR="002B3BD5" w:rsidRDefault="00271220">
      <w:pPr>
        <w:widowControl/>
        <w:spacing w:line="580" w:lineRule="exact"/>
        <w:ind w:firstLineChars="200" w:firstLine="640"/>
        <w:jc w:val="left"/>
        <w:rPr>
          <w:rFonts w:eastAsia="仿宋"/>
          <w:bCs/>
          <w:color w:val="000000"/>
          <w:kern w:val="0"/>
          <w:sz w:val="32"/>
          <w:szCs w:val="32"/>
        </w:rPr>
      </w:pPr>
      <w:r>
        <w:rPr>
          <w:rFonts w:eastAsia="仿宋"/>
          <w:bCs/>
          <w:color w:val="000000"/>
          <w:kern w:val="0"/>
          <w:sz w:val="32"/>
          <w:szCs w:val="32"/>
        </w:rPr>
        <w:lastRenderedPageBreak/>
        <w:t xml:space="preserve">3. </w:t>
      </w:r>
      <w:r>
        <w:rPr>
          <w:rFonts w:eastAsia="仿宋"/>
          <w:bCs/>
          <w:color w:val="000000"/>
          <w:kern w:val="0"/>
          <w:sz w:val="32"/>
          <w:szCs w:val="32"/>
        </w:rPr>
        <w:t>生态效益指标完成情况。</w:t>
      </w:r>
      <w:r>
        <w:rPr>
          <w:rFonts w:eastAsia="仿宋"/>
          <w:bCs/>
          <w:color w:val="000000"/>
          <w:kern w:val="0"/>
          <w:sz w:val="32"/>
          <w:szCs w:val="32"/>
        </w:rPr>
        <w:t>通过项目建设，田间道路通达度</w:t>
      </w:r>
      <w:r>
        <w:rPr>
          <w:rFonts w:eastAsia="仿宋"/>
          <w:bCs/>
          <w:color w:val="000000"/>
          <w:kern w:val="0"/>
          <w:sz w:val="32"/>
          <w:szCs w:val="32"/>
        </w:rPr>
        <w:t>≥90%</w:t>
      </w:r>
      <w:r>
        <w:rPr>
          <w:rFonts w:eastAsia="仿宋"/>
          <w:bCs/>
          <w:color w:val="000000"/>
          <w:kern w:val="0"/>
          <w:sz w:val="32"/>
          <w:szCs w:val="32"/>
        </w:rPr>
        <w:t>，能够有效地服务于农业生产活动，确保大部分田块便于机械化耕作，提高农业生产效率。</w:t>
      </w:r>
    </w:p>
    <w:p w:rsidR="002B3BD5" w:rsidRDefault="00271220">
      <w:pPr>
        <w:widowControl/>
        <w:spacing w:line="580" w:lineRule="exact"/>
        <w:ind w:firstLineChars="200" w:firstLine="640"/>
        <w:jc w:val="left"/>
        <w:rPr>
          <w:rFonts w:eastAsia="仿宋"/>
          <w:color w:val="000000"/>
          <w:kern w:val="0"/>
          <w:sz w:val="32"/>
          <w:szCs w:val="32"/>
        </w:rPr>
      </w:pPr>
      <w:r>
        <w:rPr>
          <w:rFonts w:eastAsia="仿宋"/>
          <w:bCs/>
          <w:color w:val="000000"/>
          <w:kern w:val="0"/>
          <w:sz w:val="32"/>
          <w:szCs w:val="32"/>
        </w:rPr>
        <w:t xml:space="preserve">4. </w:t>
      </w:r>
      <w:r>
        <w:rPr>
          <w:rFonts w:eastAsia="仿宋"/>
          <w:bCs/>
          <w:color w:val="000000"/>
          <w:kern w:val="0"/>
          <w:sz w:val="32"/>
          <w:szCs w:val="32"/>
        </w:rPr>
        <w:t>可持续影响指标完成情况。</w:t>
      </w:r>
      <w:r>
        <w:rPr>
          <w:rFonts w:eastAsia="仿宋"/>
          <w:color w:val="000000"/>
          <w:kern w:val="0"/>
          <w:sz w:val="32"/>
          <w:szCs w:val="32"/>
        </w:rPr>
        <w:t>2024</w:t>
      </w:r>
      <w:r>
        <w:rPr>
          <w:rFonts w:eastAsia="仿宋"/>
          <w:color w:val="000000"/>
          <w:kern w:val="0"/>
          <w:sz w:val="32"/>
          <w:szCs w:val="32"/>
        </w:rPr>
        <w:t>年度国家高标准农田建设项目，高效节水灌溉建设</w:t>
      </w:r>
      <w:r>
        <w:rPr>
          <w:rFonts w:eastAsia="仿宋"/>
          <w:color w:val="000000"/>
          <w:kern w:val="0"/>
          <w:sz w:val="32"/>
          <w:szCs w:val="32"/>
        </w:rPr>
        <w:t>任务在</w:t>
      </w:r>
      <w:r>
        <w:rPr>
          <w:rFonts w:eastAsia="仿宋"/>
          <w:color w:val="000000"/>
          <w:kern w:val="0"/>
          <w:sz w:val="32"/>
          <w:szCs w:val="32"/>
        </w:rPr>
        <w:t>项目区内予以落实。通过高效节水灌溉</w:t>
      </w:r>
      <w:r>
        <w:rPr>
          <w:rFonts w:eastAsia="仿宋"/>
          <w:color w:val="000000"/>
          <w:kern w:val="0"/>
          <w:sz w:val="32"/>
          <w:szCs w:val="32"/>
        </w:rPr>
        <w:t>0.61</w:t>
      </w:r>
      <w:r>
        <w:rPr>
          <w:rFonts w:eastAsia="仿宋"/>
          <w:color w:val="000000"/>
          <w:kern w:val="0"/>
          <w:sz w:val="32"/>
          <w:szCs w:val="32"/>
        </w:rPr>
        <w:t>万亩</w:t>
      </w:r>
      <w:r>
        <w:rPr>
          <w:rFonts w:eastAsia="仿宋"/>
          <w:color w:val="000000"/>
          <w:kern w:val="0"/>
          <w:sz w:val="32"/>
          <w:szCs w:val="32"/>
        </w:rPr>
        <w:t>的</w:t>
      </w:r>
      <w:r>
        <w:rPr>
          <w:rFonts w:eastAsia="仿宋"/>
          <w:color w:val="000000"/>
          <w:kern w:val="0"/>
          <w:sz w:val="32"/>
          <w:szCs w:val="32"/>
        </w:rPr>
        <w:t>建设</w:t>
      </w:r>
      <w:r>
        <w:rPr>
          <w:rFonts w:eastAsia="仿宋"/>
          <w:color w:val="000000"/>
          <w:kern w:val="0"/>
          <w:sz w:val="32"/>
          <w:szCs w:val="32"/>
        </w:rPr>
        <w:t>，</w:t>
      </w:r>
      <w:r>
        <w:rPr>
          <w:rFonts w:eastAsia="仿宋"/>
          <w:color w:val="000000"/>
          <w:kern w:val="0"/>
          <w:sz w:val="32"/>
          <w:szCs w:val="32"/>
        </w:rPr>
        <w:t>项目区内</w:t>
      </w:r>
      <w:r>
        <w:rPr>
          <w:rFonts w:eastAsia="仿宋"/>
          <w:color w:val="000000"/>
          <w:kern w:val="0"/>
          <w:sz w:val="32"/>
          <w:szCs w:val="32"/>
        </w:rPr>
        <w:t>水资源利用率得到</w:t>
      </w:r>
      <w:r>
        <w:rPr>
          <w:rFonts w:eastAsia="仿宋"/>
          <w:color w:val="000000"/>
          <w:kern w:val="0"/>
          <w:sz w:val="32"/>
          <w:szCs w:val="32"/>
        </w:rPr>
        <w:t>进一步</w:t>
      </w:r>
      <w:r>
        <w:rPr>
          <w:rFonts w:eastAsia="仿宋"/>
          <w:color w:val="000000"/>
          <w:kern w:val="0"/>
          <w:sz w:val="32"/>
          <w:szCs w:val="32"/>
        </w:rPr>
        <w:t>提升。</w:t>
      </w:r>
    </w:p>
    <w:p w:rsidR="002B3BD5" w:rsidRDefault="00271220">
      <w:pPr>
        <w:widowControl/>
        <w:spacing w:line="580" w:lineRule="exact"/>
        <w:ind w:firstLineChars="200" w:firstLine="640"/>
        <w:jc w:val="left"/>
        <w:rPr>
          <w:rFonts w:eastAsia="楷体"/>
          <w:color w:val="000000"/>
          <w:kern w:val="0"/>
          <w:sz w:val="32"/>
          <w:szCs w:val="32"/>
        </w:rPr>
      </w:pPr>
      <w:r>
        <w:rPr>
          <w:rFonts w:eastAsia="楷体"/>
          <w:color w:val="000000"/>
          <w:kern w:val="0"/>
          <w:sz w:val="32"/>
          <w:szCs w:val="32"/>
        </w:rPr>
        <w:t>（六）满意度指标目标完成情况</w:t>
      </w:r>
    </w:p>
    <w:p w:rsidR="002B3BD5" w:rsidRDefault="00271220">
      <w:pPr>
        <w:widowControl/>
        <w:spacing w:line="580" w:lineRule="exact"/>
        <w:ind w:firstLineChars="200" w:firstLine="640"/>
        <w:jc w:val="left"/>
        <w:rPr>
          <w:rFonts w:eastAsia="仿宋"/>
          <w:color w:val="000000"/>
          <w:kern w:val="0"/>
          <w:sz w:val="32"/>
          <w:szCs w:val="32"/>
        </w:rPr>
      </w:pPr>
      <w:r>
        <w:rPr>
          <w:rFonts w:eastAsia="仿宋"/>
          <w:color w:val="000000"/>
          <w:kern w:val="0"/>
          <w:sz w:val="32"/>
          <w:szCs w:val="32"/>
        </w:rPr>
        <w:t>项目建</w:t>
      </w:r>
      <w:r>
        <w:rPr>
          <w:rFonts w:eastAsia="仿宋"/>
          <w:color w:val="000000"/>
          <w:kern w:val="0"/>
          <w:sz w:val="32"/>
          <w:szCs w:val="32"/>
        </w:rPr>
        <w:t>成</w:t>
      </w:r>
      <w:r>
        <w:rPr>
          <w:rFonts w:eastAsia="仿宋"/>
          <w:color w:val="000000"/>
          <w:kern w:val="0"/>
          <w:sz w:val="32"/>
          <w:szCs w:val="32"/>
        </w:rPr>
        <w:t>后，项目区街镇、村（社区）村民对项目效果满意度</w:t>
      </w:r>
      <w:r>
        <w:rPr>
          <w:rFonts w:eastAsia="仿宋"/>
          <w:color w:val="000000"/>
          <w:kern w:val="0"/>
          <w:sz w:val="32"/>
          <w:szCs w:val="32"/>
        </w:rPr>
        <w:t>超过</w:t>
      </w:r>
      <w:r>
        <w:rPr>
          <w:rFonts w:eastAsia="仿宋"/>
          <w:color w:val="000000"/>
          <w:kern w:val="0"/>
          <w:sz w:val="32"/>
          <w:szCs w:val="32"/>
        </w:rPr>
        <w:t>90%</w:t>
      </w:r>
      <w:r>
        <w:rPr>
          <w:rFonts w:eastAsia="仿宋"/>
          <w:color w:val="000000"/>
          <w:kern w:val="0"/>
          <w:sz w:val="32"/>
          <w:szCs w:val="32"/>
        </w:rPr>
        <w:t>。</w:t>
      </w:r>
    </w:p>
    <w:p w:rsidR="002B3BD5" w:rsidRDefault="00271220">
      <w:pPr>
        <w:widowControl/>
        <w:spacing w:line="580" w:lineRule="exact"/>
        <w:ind w:firstLineChars="200" w:firstLine="640"/>
        <w:jc w:val="left"/>
        <w:rPr>
          <w:rFonts w:eastAsia="黑体"/>
          <w:color w:val="000000"/>
          <w:kern w:val="0"/>
          <w:sz w:val="32"/>
          <w:szCs w:val="32"/>
        </w:rPr>
      </w:pPr>
      <w:r>
        <w:rPr>
          <w:rFonts w:eastAsia="黑体"/>
          <w:color w:val="000000"/>
          <w:kern w:val="0"/>
          <w:sz w:val="32"/>
          <w:szCs w:val="32"/>
        </w:rPr>
        <w:t>三、项目成效</w:t>
      </w:r>
    </w:p>
    <w:p w:rsidR="002B3BD5" w:rsidRDefault="00271220">
      <w:pPr>
        <w:widowControl/>
        <w:spacing w:line="580" w:lineRule="exact"/>
        <w:ind w:firstLineChars="200" w:firstLine="640"/>
        <w:jc w:val="left"/>
        <w:rPr>
          <w:rFonts w:eastAsia="仿宋"/>
          <w:color w:val="000000"/>
          <w:kern w:val="0"/>
          <w:sz w:val="32"/>
          <w:szCs w:val="32"/>
        </w:rPr>
      </w:pPr>
      <w:r>
        <w:rPr>
          <w:rFonts w:eastAsia="仿宋"/>
          <w:color w:val="000000"/>
          <w:kern w:val="0"/>
          <w:sz w:val="32"/>
          <w:szCs w:val="32"/>
        </w:rPr>
        <w:t>通过项目的实施，加强农田基本设施建设、改善农业生产条件、保障农业供给质量，农业综合生产能力明显提高、抗御自然灾害能力明显增强，提高土地产出率、资源利用率、劳动生产率。为促进我市现代农业发展，提升粮食安全保障能力，实现农业增效、农民增收、农村发展提供了坚实的基础保障。</w:t>
      </w:r>
    </w:p>
    <w:p w:rsidR="002B3BD5" w:rsidRDefault="00271220">
      <w:pPr>
        <w:widowControl/>
        <w:spacing w:line="580" w:lineRule="exact"/>
        <w:ind w:firstLineChars="200" w:firstLine="640"/>
        <w:jc w:val="left"/>
        <w:rPr>
          <w:rFonts w:eastAsia="黑体"/>
          <w:color w:val="000000"/>
          <w:kern w:val="0"/>
          <w:sz w:val="32"/>
          <w:szCs w:val="32"/>
        </w:rPr>
      </w:pPr>
      <w:r>
        <w:rPr>
          <w:rFonts w:eastAsia="黑体"/>
          <w:color w:val="000000"/>
          <w:kern w:val="0"/>
          <w:sz w:val="32"/>
          <w:szCs w:val="32"/>
        </w:rPr>
        <w:t>四、存在问题及下一步建议</w:t>
      </w:r>
    </w:p>
    <w:p w:rsidR="002B3BD5" w:rsidRDefault="00271220">
      <w:pPr>
        <w:spacing w:line="580" w:lineRule="exact"/>
        <w:ind w:firstLineChars="200" w:firstLine="640"/>
        <w:rPr>
          <w:rFonts w:eastAsia="仿宋"/>
          <w:color w:val="000000"/>
          <w:kern w:val="0"/>
          <w:sz w:val="32"/>
          <w:szCs w:val="32"/>
        </w:rPr>
      </w:pPr>
      <w:r>
        <w:rPr>
          <w:rFonts w:eastAsia="仿宋"/>
          <w:color w:val="000000"/>
          <w:kern w:val="0"/>
          <w:sz w:val="32"/>
          <w:szCs w:val="32"/>
        </w:rPr>
        <w:t>2024</w:t>
      </w:r>
      <w:r>
        <w:rPr>
          <w:rFonts w:eastAsia="仿宋"/>
          <w:color w:val="000000"/>
          <w:kern w:val="0"/>
          <w:sz w:val="32"/>
          <w:szCs w:val="32"/>
        </w:rPr>
        <w:t>年度国家高标准农田建设项目</w:t>
      </w:r>
      <w:r>
        <w:rPr>
          <w:rFonts w:eastAsia="仿宋"/>
          <w:color w:val="000000"/>
          <w:kern w:val="0"/>
          <w:sz w:val="32"/>
          <w:szCs w:val="32"/>
        </w:rPr>
        <w:t>除六合区和高淳区完成区级初验</w:t>
      </w:r>
      <w:r>
        <w:rPr>
          <w:rFonts w:eastAsia="仿宋"/>
          <w:color w:val="000000"/>
          <w:kern w:val="0"/>
          <w:sz w:val="32"/>
          <w:szCs w:val="32"/>
        </w:rPr>
        <w:t>，</w:t>
      </w:r>
      <w:r>
        <w:rPr>
          <w:rFonts w:eastAsia="仿宋"/>
          <w:color w:val="000000"/>
          <w:kern w:val="0"/>
          <w:sz w:val="32"/>
          <w:szCs w:val="32"/>
        </w:rPr>
        <w:t>其它</w:t>
      </w:r>
      <w:r>
        <w:rPr>
          <w:rFonts w:eastAsia="仿宋"/>
          <w:color w:val="000000"/>
          <w:kern w:val="0"/>
          <w:sz w:val="32"/>
          <w:szCs w:val="32"/>
        </w:rPr>
        <w:t>5</w:t>
      </w:r>
      <w:r>
        <w:rPr>
          <w:rFonts w:eastAsia="仿宋"/>
          <w:color w:val="000000"/>
          <w:kern w:val="0"/>
          <w:sz w:val="32"/>
          <w:szCs w:val="32"/>
        </w:rPr>
        <w:t>个区项目尚未完成区级验收。</w:t>
      </w:r>
      <w:r>
        <w:rPr>
          <w:rFonts w:eastAsia="仿宋"/>
          <w:color w:val="000000"/>
          <w:kern w:val="0"/>
          <w:sz w:val="32"/>
          <w:szCs w:val="32"/>
        </w:rPr>
        <w:t>因资金使用顺序是优先使用中央和省级资金，</w:t>
      </w:r>
      <w:r>
        <w:rPr>
          <w:rFonts w:eastAsia="仿宋"/>
          <w:color w:val="000000"/>
          <w:kern w:val="0"/>
          <w:sz w:val="32"/>
          <w:szCs w:val="32"/>
        </w:rPr>
        <w:t>造成</w:t>
      </w:r>
      <w:r>
        <w:rPr>
          <w:rFonts w:eastAsia="仿宋"/>
          <w:color w:val="000000"/>
          <w:kern w:val="0"/>
          <w:sz w:val="32"/>
          <w:szCs w:val="32"/>
        </w:rPr>
        <w:t>市级资金未</w:t>
      </w:r>
      <w:r>
        <w:rPr>
          <w:rFonts w:eastAsia="仿宋"/>
          <w:color w:val="000000"/>
          <w:kern w:val="0"/>
          <w:sz w:val="32"/>
          <w:szCs w:val="32"/>
        </w:rPr>
        <w:t>报账拨付</w:t>
      </w:r>
      <w:r>
        <w:rPr>
          <w:rFonts w:eastAsia="仿宋"/>
          <w:color w:val="000000"/>
          <w:kern w:val="0"/>
          <w:sz w:val="32"/>
          <w:szCs w:val="32"/>
        </w:rPr>
        <w:t>。</w:t>
      </w:r>
      <w:r>
        <w:rPr>
          <w:rFonts w:eastAsia="仿宋"/>
          <w:color w:val="000000"/>
          <w:kern w:val="0"/>
          <w:sz w:val="32"/>
          <w:szCs w:val="32"/>
        </w:rPr>
        <w:t>江北新区、栖霞区和</w:t>
      </w:r>
      <w:r>
        <w:rPr>
          <w:rFonts w:eastAsia="仿宋"/>
          <w:color w:val="000000"/>
          <w:kern w:val="0"/>
          <w:sz w:val="32"/>
          <w:szCs w:val="32"/>
        </w:rPr>
        <w:t>浦口区</w:t>
      </w:r>
      <w:r>
        <w:rPr>
          <w:rFonts w:eastAsia="仿宋"/>
          <w:color w:val="000000"/>
          <w:kern w:val="0"/>
          <w:sz w:val="32"/>
          <w:szCs w:val="32"/>
        </w:rPr>
        <w:t>高标准农田建设评价奖励资金还未实际支出</w:t>
      </w:r>
      <w:r>
        <w:rPr>
          <w:rFonts w:eastAsia="仿宋"/>
          <w:color w:val="000000"/>
          <w:kern w:val="0"/>
          <w:sz w:val="32"/>
          <w:szCs w:val="32"/>
        </w:rPr>
        <w:t>。</w:t>
      </w:r>
    </w:p>
    <w:p w:rsidR="002B3BD5" w:rsidRDefault="00271220">
      <w:pPr>
        <w:spacing w:line="580" w:lineRule="exact"/>
        <w:ind w:firstLineChars="200" w:firstLine="640"/>
        <w:rPr>
          <w:rFonts w:eastAsia="仿宋"/>
          <w:color w:val="000000"/>
          <w:kern w:val="0"/>
          <w:sz w:val="32"/>
          <w:szCs w:val="32"/>
        </w:rPr>
      </w:pPr>
      <w:r>
        <w:rPr>
          <w:rFonts w:eastAsia="仿宋"/>
          <w:color w:val="000000"/>
          <w:kern w:val="0"/>
          <w:sz w:val="32"/>
          <w:szCs w:val="32"/>
        </w:rPr>
        <w:t>下一步督促各街镇做好项目实施扫尾工作，抓紧配合完成</w:t>
      </w:r>
      <w:r>
        <w:rPr>
          <w:rFonts w:eastAsia="仿宋"/>
          <w:color w:val="000000"/>
          <w:kern w:val="0"/>
          <w:sz w:val="32"/>
          <w:szCs w:val="32"/>
        </w:rPr>
        <w:lastRenderedPageBreak/>
        <w:t>项目决算审计等各项工作。力争</w:t>
      </w:r>
      <w:r>
        <w:rPr>
          <w:rFonts w:eastAsia="仿宋"/>
          <w:color w:val="000000"/>
          <w:kern w:val="0"/>
          <w:sz w:val="32"/>
          <w:szCs w:val="32"/>
        </w:rPr>
        <w:t>7</w:t>
      </w:r>
      <w:r>
        <w:rPr>
          <w:rFonts w:eastAsia="仿宋"/>
          <w:color w:val="000000"/>
          <w:kern w:val="0"/>
          <w:sz w:val="32"/>
          <w:szCs w:val="32"/>
        </w:rPr>
        <w:t>月底完成</w:t>
      </w:r>
      <w:r>
        <w:rPr>
          <w:rFonts w:eastAsia="仿宋"/>
          <w:color w:val="000000"/>
          <w:kern w:val="0"/>
          <w:sz w:val="32"/>
          <w:szCs w:val="32"/>
        </w:rPr>
        <w:t>2</w:t>
      </w:r>
      <w:r>
        <w:rPr>
          <w:rFonts w:eastAsia="仿宋"/>
          <w:color w:val="000000"/>
          <w:kern w:val="0"/>
          <w:sz w:val="32"/>
          <w:szCs w:val="32"/>
        </w:rPr>
        <w:t>1</w:t>
      </w:r>
      <w:r>
        <w:rPr>
          <w:rFonts w:eastAsia="仿宋"/>
          <w:color w:val="000000"/>
          <w:kern w:val="0"/>
          <w:sz w:val="32"/>
          <w:szCs w:val="32"/>
        </w:rPr>
        <w:t>个</w:t>
      </w:r>
      <w:r>
        <w:rPr>
          <w:rFonts w:eastAsia="仿宋"/>
          <w:color w:val="000000"/>
          <w:kern w:val="0"/>
          <w:sz w:val="32"/>
          <w:szCs w:val="32"/>
        </w:rPr>
        <w:t>2024</w:t>
      </w:r>
      <w:r>
        <w:rPr>
          <w:rFonts w:eastAsia="仿宋"/>
          <w:color w:val="000000"/>
          <w:kern w:val="0"/>
          <w:sz w:val="32"/>
          <w:szCs w:val="32"/>
        </w:rPr>
        <w:t>年度项目区级初验，待省厅</w:t>
      </w:r>
      <w:r>
        <w:rPr>
          <w:rFonts w:eastAsia="仿宋"/>
          <w:color w:val="000000"/>
          <w:kern w:val="0"/>
          <w:sz w:val="32"/>
          <w:szCs w:val="32"/>
        </w:rPr>
        <w:t>2024</w:t>
      </w:r>
      <w:r>
        <w:rPr>
          <w:rFonts w:eastAsia="仿宋"/>
          <w:color w:val="000000"/>
          <w:kern w:val="0"/>
          <w:sz w:val="32"/>
          <w:szCs w:val="32"/>
        </w:rPr>
        <w:t>年度项目竣工验收方案下达后，及时开展市级竣工验收相关工作，确保按序时进度完成验收</w:t>
      </w:r>
      <w:r>
        <w:rPr>
          <w:rFonts w:eastAsia="仿宋"/>
          <w:color w:val="000000"/>
          <w:kern w:val="0"/>
          <w:sz w:val="32"/>
          <w:szCs w:val="32"/>
        </w:rPr>
        <w:t>。</w:t>
      </w:r>
      <w:r>
        <w:rPr>
          <w:rFonts w:eastAsia="仿宋"/>
          <w:color w:val="000000"/>
          <w:kern w:val="0"/>
          <w:sz w:val="32"/>
          <w:szCs w:val="32"/>
        </w:rPr>
        <w:t>督促</w:t>
      </w:r>
      <w:r>
        <w:rPr>
          <w:rFonts w:eastAsia="仿宋"/>
          <w:color w:val="000000"/>
          <w:kern w:val="0"/>
          <w:sz w:val="32"/>
          <w:szCs w:val="32"/>
        </w:rPr>
        <w:t>江北新区、栖霞区和浦口区</w:t>
      </w:r>
      <w:r>
        <w:rPr>
          <w:rFonts w:eastAsia="仿宋"/>
          <w:color w:val="000000"/>
          <w:kern w:val="0"/>
          <w:sz w:val="32"/>
          <w:szCs w:val="32"/>
        </w:rPr>
        <w:t>制定使用方案，尽早使用高标准农田建设评价奖励资金，避免财政资金沉淀闲置</w:t>
      </w:r>
      <w:r>
        <w:rPr>
          <w:rFonts w:eastAsia="仿宋"/>
          <w:color w:val="000000"/>
          <w:kern w:val="0"/>
          <w:sz w:val="32"/>
          <w:szCs w:val="32"/>
        </w:rPr>
        <w:t>。</w:t>
      </w:r>
    </w:p>
    <w:p w:rsidR="002B3BD5" w:rsidRDefault="00271220">
      <w:pPr>
        <w:spacing w:line="580" w:lineRule="exact"/>
        <w:ind w:firstLineChars="200" w:firstLine="640"/>
        <w:rPr>
          <w:rFonts w:eastAsia="仿宋"/>
          <w:color w:val="000000"/>
          <w:kern w:val="0"/>
          <w:sz w:val="32"/>
          <w:szCs w:val="32"/>
        </w:rPr>
      </w:pPr>
      <w:r>
        <w:rPr>
          <w:rFonts w:eastAsia="仿宋"/>
          <w:color w:val="000000"/>
          <w:kern w:val="0"/>
          <w:sz w:val="32"/>
          <w:szCs w:val="32"/>
        </w:rPr>
        <w:t>在后续高标准农田建设项目实施中要</w:t>
      </w:r>
      <w:r>
        <w:rPr>
          <w:rFonts w:eastAsia="仿宋"/>
          <w:color w:val="000000"/>
          <w:kern w:val="0"/>
          <w:sz w:val="32"/>
          <w:szCs w:val="32"/>
        </w:rPr>
        <w:t>进一步</w:t>
      </w:r>
      <w:r>
        <w:rPr>
          <w:rFonts w:eastAsia="仿宋"/>
          <w:color w:val="000000"/>
          <w:kern w:val="0"/>
          <w:sz w:val="32"/>
          <w:szCs w:val="32"/>
        </w:rPr>
        <w:t>督导各区</w:t>
      </w:r>
      <w:r>
        <w:rPr>
          <w:rFonts w:eastAsia="仿宋"/>
          <w:color w:val="000000"/>
          <w:kern w:val="0"/>
          <w:sz w:val="32"/>
          <w:szCs w:val="32"/>
        </w:rPr>
        <w:t>夯实参建单位职责，督促设计单位提高设计方案科学性；落实施工单位按图施工的主体责任；认真落实省厅高标准农田质量管理</w:t>
      </w:r>
      <w:r>
        <w:rPr>
          <w:rFonts w:eastAsia="仿宋"/>
          <w:color w:val="000000"/>
          <w:kern w:val="0"/>
          <w:sz w:val="32"/>
          <w:szCs w:val="32"/>
        </w:rPr>
        <w:t>“1</w:t>
      </w:r>
      <w:r>
        <w:rPr>
          <w:color w:val="000000"/>
          <w:kern w:val="0"/>
          <w:sz w:val="32"/>
          <w:szCs w:val="32"/>
        </w:rPr>
        <w:t>+</w:t>
      </w:r>
      <w:r>
        <w:rPr>
          <w:rFonts w:eastAsia="仿宋"/>
          <w:color w:val="000000"/>
          <w:kern w:val="0"/>
          <w:sz w:val="32"/>
          <w:szCs w:val="32"/>
        </w:rPr>
        <w:t>6”</w:t>
      </w:r>
      <w:r>
        <w:rPr>
          <w:rFonts w:eastAsia="仿宋"/>
          <w:color w:val="000000"/>
          <w:kern w:val="0"/>
          <w:sz w:val="32"/>
          <w:szCs w:val="32"/>
        </w:rPr>
        <w:t>制度办法，压实监理单位对项目工程质量安全监理职责，严格规范做好单项工程四方验收工作，强化区级监管责任，</w:t>
      </w:r>
      <w:r>
        <w:rPr>
          <w:rFonts w:eastAsia="仿宋"/>
          <w:color w:val="000000"/>
          <w:kern w:val="0"/>
          <w:sz w:val="32"/>
          <w:szCs w:val="32"/>
        </w:rPr>
        <w:t>严格执行</w:t>
      </w:r>
      <w:r>
        <w:rPr>
          <w:rFonts w:eastAsia="仿宋"/>
          <w:color w:val="000000"/>
          <w:kern w:val="0"/>
          <w:sz w:val="32"/>
          <w:szCs w:val="32"/>
        </w:rPr>
        <w:t>《耕地建设及利用资金管理办法》（财农〔</w:t>
      </w:r>
      <w:r>
        <w:rPr>
          <w:rFonts w:eastAsia="仿宋"/>
          <w:color w:val="000000"/>
          <w:kern w:val="0"/>
          <w:sz w:val="32"/>
          <w:szCs w:val="32"/>
        </w:rPr>
        <w:t>2023</w:t>
      </w:r>
      <w:r>
        <w:rPr>
          <w:rFonts w:eastAsia="仿宋"/>
          <w:color w:val="000000"/>
          <w:kern w:val="0"/>
          <w:sz w:val="32"/>
          <w:szCs w:val="32"/>
        </w:rPr>
        <w:t>〕</w:t>
      </w:r>
      <w:r>
        <w:rPr>
          <w:rFonts w:eastAsia="仿宋"/>
          <w:color w:val="000000"/>
          <w:kern w:val="0"/>
          <w:sz w:val="32"/>
          <w:szCs w:val="32"/>
        </w:rPr>
        <w:t>12</w:t>
      </w:r>
      <w:r>
        <w:rPr>
          <w:rFonts w:eastAsia="仿宋"/>
          <w:color w:val="000000"/>
          <w:kern w:val="0"/>
          <w:sz w:val="32"/>
          <w:szCs w:val="32"/>
        </w:rPr>
        <w:t>号）《江苏省农田建设补助资金管理办法》</w:t>
      </w:r>
      <w:r>
        <w:rPr>
          <w:rFonts w:eastAsia="仿宋"/>
          <w:color w:val="000000"/>
          <w:kern w:val="0"/>
          <w:sz w:val="32"/>
          <w:szCs w:val="32"/>
        </w:rPr>
        <w:t>(</w:t>
      </w:r>
      <w:r>
        <w:rPr>
          <w:rFonts w:eastAsia="仿宋"/>
          <w:color w:val="000000"/>
          <w:kern w:val="0"/>
          <w:sz w:val="32"/>
          <w:szCs w:val="32"/>
        </w:rPr>
        <w:t>苏财规〔</w:t>
      </w:r>
      <w:r>
        <w:rPr>
          <w:rFonts w:eastAsia="仿宋"/>
          <w:color w:val="000000"/>
          <w:kern w:val="0"/>
          <w:sz w:val="32"/>
          <w:szCs w:val="32"/>
        </w:rPr>
        <w:t>2022</w:t>
      </w:r>
      <w:r>
        <w:rPr>
          <w:rFonts w:eastAsia="仿宋"/>
          <w:color w:val="000000"/>
          <w:kern w:val="0"/>
          <w:sz w:val="32"/>
          <w:szCs w:val="32"/>
        </w:rPr>
        <w:t>〕</w:t>
      </w:r>
      <w:r>
        <w:rPr>
          <w:rFonts w:eastAsia="仿宋"/>
          <w:color w:val="000000"/>
          <w:kern w:val="0"/>
          <w:sz w:val="32"/>
          <w:szCs w:val="32"/>
        </w:rPr>
        <w:t>7</w:t>
      </w:r>
      <w:r>
        <w:rPr>
          <w:rFonts w:eastAsia="仿宋"/>
          <w:color w:val="000000"/>
          <w:kern w:val="0"/>
          <w:sz w:val="32"/>
          <w:szCs w:val="32"/>
        </w:rPr>
        <w:t>号</w:t>
      </w:r>
      <w:r>
        <w:rPr>
          <w:rFonts w:eastAsia="仿宋"/>
          <w:color w:val="000000"/>
          <w:kern w:val="0"/>
          <w:sz w:val="32"/>
          <w:szCs w:val="32"/>
        </w:rPr>
        <w:t>)</w:t>
      </w:r>
      <w:r>
        <w:rPr>
          <w:rFonts w:eastAsia="仿宋"/>
          <w:color w:val="000000"/>
          <w:kern w:val="0"/>
          <w:sz w:val="32"/>
          <w:szCs w:val="32"/>
        </w:rPr>
        <w:t>等文件规定，</w:t>
      </w:r>
      <w:r>
        <w:rPr>
          <w:rFonts w:eastAsia="仿宋"/>
          <w:color w:val="000000"/>
          <w:kern w:val="0"/>
          <w:sz w:val="32"/>
          <w:szCs w:val="32"/>
        </w:rPr>
        <w:t>加强资金调度</w:t>
      </w:r>
      <w:r>
        <w:rPr>
          <w:rFonts w:eastAsia="仿宋"/>
          <w:color w:val="000000"/>
          <w:kern w:val="0"/>
          <w:sz w:val="32"/>
          <w:szCs w:val="32"/>
        </w:rPr>
        <w:t>，</w:t>
      </w:r>
      <w:r>
        <w:rPr>
          <w:rFonts w:eastAsia="仿宋"/>
          <w:color w:val="000000"/>
          <w:kern w:val="0"/>
          <w:sz w:val="32"/>
          <w:szCs w:val="32"/>
        </w:rPr>
        <w:t>规范财政</w:t>
      </w:r>
      <w:r>
        <w:rPr>
          <w:rFonts w:eastAsia="仿宋"/>
          <w:color w:val="000000"/>
          <w:kern w:val="0"/>
          <w:sz w:val="32"/>
          <w:szCs w:val="32"/>
        </w:rPr>
        <w:t>资金</w:t>
      </w:r>
      <w:r>
        <w:rPr>
          <w:rFonts w:eastAsia="仿宋"/>
          <w:color w:val="000000"/>
          <w:kern w:val="0"/>
          <w:sz w:val="32"/>
          <w:szCs w:val="32"/>
        </w:rPr>
        <w:t>使用</w:t>
      </w:r>
      <w:r>
        <w:rPr>
          <w:rFonts w:eastAsia="仿宋"/>
          <w:color w:val="000000"/>
          <w:kern w:val="0"/>
          <w:sz w:val="32"/>
          <w:szCs w:val="32"/>
        </w:rPr>
        <w:t>管理，及时报账拨付项目资金，全面提高财政资金使用效益，</w:t>
      </w:r>
      <w:r>
        <w:rPr>
          <w:rFonts w:eastAsia="仿宋"/>
          <w:color w:val="000000"/>
          <w:kern w:val="0"/>
          <w:sz w:val="32"/>
          <w:szCs w:val="32"/>
        </w:rPr>
        <w:t>不断提升高标准农田建设</w:t>
      </w:r>
      <w:r>
        <w:rPr>
          <w:rFonts w:eastAsia="仿宋"/>
          <w:color w:val="000000"/>
          <w:kern w:val="0"/>
          <w:sz w:val="32"/>
          <w:szCs w:val="32"/>
        </w:rPr>
        <w:t>项目管理水平。</w:t>
      </w:r>
    </w:p>
    <w:p w:rsidR="002B3BD5" w:rsidRDefault="002B3BD5">
      <w:pPr>
        <w:spacing w:line="580" w:lineRule="exact"/>
        <w:ind w:leftChars="304" w:left="958" w:hangingChars="100" w:hanging="320"/>
        <w:rPr>
          <w:rFonts w:eastAsia="仿宋"/>
          <w:color w:val="000000"/>
          <w:kern w:val="0"/>
          <w:sz w:val="32"/>
          <w:szCs w:val="32"/>
        </w:rPr>
      </w:pPr>
    </w:p>
    <w:p w:rsidR="002B3BD5" w:rsidRDefault="00271220">
      <w:pPr>
        <w:spacing w:line="580" w:lineRule="exact"/>
        <w:ind w:leftChars="304" w:left="1598" w:hangingChars="300" w:hanging="960"/>
        <w:rPr>
          <w:rFonts w:eastAsia="仿宋"/>
          <w:color w:val="000000"/>
          <w:kern w:val="0"/>
          <w:sz w:val="32"/>
          <w:szCs w:val="32"/>
        </w:rPr>
      </w:pPr>
      <w:r>
        <w:rPr>
          <w:rFonts w:eastAsia="仿宋"/>
          <w:color w:val="000000"/>
          <w:kern w:val="0"/>
          <w:sz w:val="32"/>
          <w:szCs w:val="32"/>
        </w:rPr>
        <w:t>附件：南京市市级项目预算绩效自评表（农田基础设施建设项目）</w:t>
      </w:r>
    </w:p>
    <w:p w:rsidR="002B3BD5" w:rsidRDefault="002B3BD5">
      <w:pPr>
        <w:spacing w:line="600" w:lineRule="exact"/>
        <w:rPr>
          <w:rFonts w:eastAsia="仿宋"/>
          <w:color w:val="000000"/>
          <w:kern w:val="0"/>
          <w:sz w:val="32"/>
          <w:szCs w:val="32"/>
        </w:rPr>
      </w:pPr>
    </w:p>
    <w:sectPr w:rsidR="002B3BD5">
      <w:footerReference w:type="default" r:id="rId9"/>
      <w:pgSz w:w="11906" w:h="16839"/>
      <w:pgMar w:top="1700" w:right="1587" w:bottom="1474" w:left="158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1220" w:rsidRDefault="00271220">
      <w:r>
        <w:separator/>
      </w:r>
    </w:p>
  </w:endnote>
  <w:endnote w:type="continuationSeparator" w:id="0">
    <w:p w:rsidR="00271220" w:rsidRDefault="00271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_GBK">
    <w:panose1 w:val="03000509000000000000"/>
    <w:charset w:val="86"/>
    <w:family w:val="script"/>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D5" w:rsidRDefault="00271220">
    <w:pPr>
      <w:pStyle w:val="a6"/>
      <w:jc w:val="center"/>
      <w:rPr>
        <w:sz w:val="24"/>
        <w:szCs w:val="24"/>
      </w:rPr>
    </w:pPr>
    <w:r>
      <w:rPr>
        <w:sz w:val="24"/>
        <w:szCs w:val="24"/>
      </w:rPr>
      <w:fldChar w:fldCharType="begin"/>
    </w:r>
    <w:r>
      <w:rPr>
        <w:sz w:val="24"/>
        <w:szCs w:val="24"/>
      </w:rPr>
      <w:instrText>PAGE   \* MERGEFORMAT</w:instrText>
    </w:r>
    <w:r>
      <w:rPr>
        <w:sz w:val="24"/>
        <w:szCs w:val="24"/>
      </w:rPr>
      <w:fldChar w:fldCharType="separate"/>
    </w:r>
    <w:r w:rsidR="00417501" w:rsidRPr="00417501">
      <w:rPr>
        <w:noProof/>
        <w:sz w:val="24"/>
        <w:szCs w:val="24"/>
        <w:lang w:val="zh-CN"/>
      </w:rPr>
      <w:t>6</w:t>
    </w:r>
    <w:r>
      <w:rPr>
        <w:sz w:val="24"/>
        <w:szCs w:val="24"/>
      </w:rPr>
      <w:fldChar w:fldCharType="end"/>
    </w:r>
  </w:p>
  <w:p w:rsidR="002B3BD5" w:rsidRDefault="002B3BD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1220" w:rsidRDefault="00271220">
      <w:r>
        <w:separator/>
      </w:r>
    </w:p>
  </w:footnote>
  <w:footnote w:type="continuationSeparator" w:id="0">
    <w:p w:rsidR="00271220" w:rsidRDefault="002712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9AB308"/>
    <w:multiLevelType w:val="singleLevel"/>
    <w:tmpl w:val="429AB308"/>
    <w:lvl w:ilvl="0">
      <w:start w:val="2"/>
      <w:numFmt w:val="chineseCounting"/>
      <w:lvlRestart w:val="0"/>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4"/>
  </w:compat>
  <w:docVars>
    <w:docVar w:name="commondata" w:val="eyJoZGlkIjoiMTlhNThjNjc1OThmMjc4YWYyODJlMzZhZWZkOGFhMDMifQ=="/>
  </w:docVars>
  <w:rsids>
    <w:rsidRoot w:val="002B3BD5"/>
    <w:rsid w:val="00271220"/>
    <w:rsid w:val="002B3BD5"/>
    <w:rsid w:val="0041750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Arial"/>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Times New Roman"/>
      <w:kern w:val="2"/>
      <w:sz w:val="21"/>
    </w:rPr>
  </w:style>
  <w:style w:type="paragraph" w:styleId="1">
    <w:name w:val="heading 1"/>
    <w:basedOn w:val="a"/>
    <w:next w:val="a"/>
    <w:link w:val="1Char"/>
    <w:qFormat/>
    <w:pPr>
      <w:keepNext/>
      <w:keepLines/>
      <w:spacing w:before="340" w:after="330" w:line="578" w:lineRule="auto"/>
      <w:outlineLvl w:val="0"/>
    </w:pPr>
    <w:rPr>
      <w:b/>
      <w:bCs/>
      <w:kern w:val="44"/>
      <w:sz w:val="44"/>
    </w:rPr>
  </w:style>
  <w:style w:type="paragraph" w:styleId="2">
    <w:name w:val="heading 2"/>
    <w:basedOn w:val="a"/>
    <w:next w:val="a"/>
    <w:link w:val="2Char"/>
    <w:qFormat/>
    <w:pPr>
      <w:keepNext/>
      <w:keepLines/>
      <w:spacing w:before="260" w:after="260" w:line="415" w:lineRule="auto"/>
      <w:outlineLvl w:val="1"/>
    </w:pPr>
    <w:rPr>
      <w:rFonts w:eastAsia="黑体"/>
      <w:b/>
      <w:sz w:val="32"/>
    </w:rPr>
  </w:style>
  <w:style w:type="paragraph" w:styleId="3">
    <w:name w:val="heading 3"/>
    <w:basedOn w:val="a"/>
    <w:next w:val="a"/>
    <w:link w:val="3Char"/>
    <w:qFormat/>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Pr>
      <w:rFonts w:ascii="Times New Roman" w:eastAsia="宋体" w:hAnsi="Times New Roman" w:cs="Times New Roman"/>
      <w:b/>
      <w:bCs/>
      <w:kern w:val="44"/>
      <w:sz w:val="44"/>
      <w:szCs w:val="20"/>
      <w:lang w:val="en-US" w:eastAsia="zh-CN" w:bidi="ar-SA"/>
    </w:rPr>
  </w:style>
  <w:style w:type="character" w:customStyle="1" w:styleId="2Char">
    <w:name w:val="标题 2 Char"/>
    <w:basedOn w:val="a0"/>
    <w:link w:val="2"/>
    <w:rPr>
      <w:rFonts w:ascii="Times New Roman" w:eastAsia="黑体" w:hAnsi="Times New Roman" w:cs="Times New Roman"/>
      <w:b/>
      <w:kern w:val="2"/>
      <w:sz w:val="32"/>
      <w:szCs w:val="20"/>
      <w:lang w:val="en-US" w:eastAsia="zh-CN" w:bidi="ar-SA"/>
    </w:rPr>
  </w:style>
  <w:style w:type="character" w:customStyle="1" w:styleId="3Char">
    <w:name w:val="标题 3 Char"/>
    <w:basedOn w:val="a0"/>
    <w:link w:val="3"/>
    <w:rPr>
      <w:rFonts w:ascii="Times New Roman" w:eastAsia="宋体" w:hAnsi="Times New Roman" w:cs="Times New Roman"/>
      <w:b/>
      <w:kern w:val="2"/>
      <w:sz w:val="32"/>
      <w:szCs w:val="20"/>
      <w:lang w:val="en-US" w:eastAsia="zh-CN" w:bidi="ar-SA"/>
    </w:rPr>
  </w:style>
  <w:style w:type="paragraph" w:styleId="a3">
    <w:name w:val="annotation text"/>
    <w:basedOn w:val="a"/>
    <w:qFormat/>
    <w:pPr>
      <w:jc w:val="left"/>
    </w:pPr>
  </w:style>
  <w:style w:type="paragraph" w:styleId="a4">
    <w:name w:val="Date"/>
    <w:basedOn w:val="a"/>
    <w:next w:val="a"/>
    <w:qFormat/>
    <w:pPr>
      <w:ind w:leftChars="2500" w:left="2500"/>
    </w:pPr>
  </w:style>
  <w:style w:type="paragraph" w:styleId="a5">
    <w:name w:val="Balloon Text"/>
    <w:basedOn w:val="a"/>
    <w:qFormat/>
    <w:rPr>
      <w:rFonts w:ascii="Calibri" w:hAnsi="Calibri"/>
      <w:sz w:val="18"/>
      <w:szCs w:val="18"/>
    </w:rPr>
  </w:style>
  <w:style w:type="paragraph" w:styleId="a6">
    <w:name w:val="footer"/>
    <w:basedOn w:val="a"/>
    <w:qFormat/>
    <w:pPr>
      <w:tabs>
        <w:tab w:val="center" w:pos="4153"/>
        <w:tab w:val="right" w:pos="8306"/>
      </w:tabs>
      <w:snapToGrid w:val="0"/>
      <w:jc w:val="left"/>
    </w:pPr>
    <w:rPr>
      <w:sz w:val="18"/>
    </w:rPr>
  </w:style>
  <w:style w:type="paragraph" w:styleId="a7">
    <w:name w:val="header"/>
    <w:basedOn w:val="a"/>
    <w:qFormat/>
    <w:pPr>
      <w:tabs>
        <w:tab w:val="center" w:pos="4153"/>
        <w:tab w:val="right" w:pos="8306"/>
      </w:tabs>
      <w:snapToGrid w:val="0"/>
    </w:pPr>
    <w:rPr>
      <w:sz w:val="18"/>
    </w:rPr>
  </w:style>
  <w:style w:type="paragraph" w:styleId="a8">
    <w:name w:val="annotation subject"/>
    <w:basedOn w:val="a3"/>
    <w:next w:val="a3"/>
    <w:qFormat/>
    <w:rPr>
      <w:b/>
      <w:bCs/>
    </w:rPr>
  </w:style>
  <w:style w:type="character" w:styleId="a9">
    <w:name w:val="annotation reference"/>
    <w:qFormat/>
    <w:rPr>
      <w:sz w:val="21"/>
      <w:szCs w:val="21"/>
    </w:rPr>
  </w:style>
  <w:style w:type="character" w:customStyle="1" w:styleId="aa">
    <w:name w:val="页脚 字符"/>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Arial"/>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Times New Roman"/>
      <w:kern w:val="2"/>
      <w:sz w:val="21"/>
    </w:rPr>
  </w:style>
  <w:style w:type="paragraph" w:styleId="1">
    <w:name w:val="heading 1"/>
    <w:basedOn w:val="a"/>
    <w:next w:val="a"/>
    <w:link w:val="1Char"/>
    <w:qFormat/>
    <w:pPr>
      <w:keepNext/>
      <w:keepLines/>
      <w:spacing w:before="340" w:after="330" w:line="578" w:lineRule="auto"/>
      <w:outlineLvl w:val="0"/>
    </w:pPr>
    <w:rPr>
      <w:b/>
      <w:bCs/>
      <w:kern w:val="44"/>
      <w:sz w:val="44"/>
    </w:rPr>
  </w:style>
  <w:style w:type="paragraph" w:styleId="2">
    <w:name w:val="heading 2"/>
    <w:basedOn w:val="a"/>
    <w:next w:val="a"/>
    <w:link w:val="2Char"/>
    <w:qFormat/>
    <w:pPr>
      <w:keepNext/>
      <w:keepLines/>
      <w:spacing w:before="260" w:after="260" w:line="415" w:lineRule="auto"/>
      <w:outlineLvl w:val="1"/>
    </w:pPr>
    <w:rPr>
      <w:rFonts w:eastAsia="黑体"/>
      <w:b/>
      <w:sz w:val="32"/>
    </w:rPr>
  </w:style>
  <w:style w:type="paragraph" w:styleId="3">
    <w:name w:val="heading 3"/>
    <w:basedOn w:val="a"/>
    <w:next w:val="a"/>
    <w:link w:val="3Char"/>
    <w:qFormat/>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Pr>
      <w:rFonts w:ascii="Times New Roman" w:eastAsia="宋体" w:hAnsi="Times New Roman" w:cs="Times New Roman"/>
      <w:b/>
      <w:bCs/>
      <w:kern w:val="44"/>
      <w:sz w:val="44"/>
      <w:szCs w:val="20"/>
      <w:lang w:val="en-US" w:eastAsia="zh-CN" w:bidi="ar-SA"/>
    </w:rPr>
  </w:style>
  <w:style w:type="character" w:customStyle="1" w:styleId="2Char">
    <w:name w:val="标题 2 Char"/>
    <w:basedOn w:val="a0"/>
    <w:link w:val="2"/>
    <w:rPr>
      <w:rFonts w:ascii="Times New Roman" w:eastAsia="黑体" w:hAnsi="Times New Roman" w:cs="Times New Roman"/>
      <w:b/>
      <w:kern w:val="2"/>
      <w:sz w:val="32"/>
      <w:szCs w:val="20"/>
      <w:lang w:val="en-US" w:eastAsia="zh-CN" w:bidi="ar-SA"/>
    </w:rPr>
  </w:style>
  <w:style w:type="character" w:customStyle="1" w:styleId="3Char">
    <w:name w:val="标题 3 Char"/>
    <w:basedOn w:val="a0"/>
    <w:link w:val="3"/>
    <w:rPr>
      <w:rFonts w:ascii="Times New Roman" w:eastAsia="宋体" w:hAnsi="Times New Roman" w:cs="Times New Roman"/>
      <w:b/>
      <w:kern w:val="2"/>
      <w:sz w:val="32"/>
      <w:szCs w:val="20"/>
      <w:lang w:val="en-US" w:eastAsia="zh-CN" w:bidi="ar-SA"/>
    </w:rPr>
  </w:style>
  <w:style w:type="paragraph" w:styleId="a3">
    <w:name w:val="annotation text"/>
    <w:basedOn w:val="a"/>
    <w:qFormat/>
    <w:pPr>
      <w:jc w:val="left"/>
    </w:pPr>
  </w:style>
  <w:style w:type="paragraph" w:styleId="a4">
    <w:name w:val="Date"/>
    <w:basedOn w:val="a"/>
    <w:next w:val="a"/>
    <w:qFormat/>
    <w:pPr>
      <w:ind w:leftChars="2500" w:left="2500"/>
    </w:pPr>
  </w:style>
  <w:style w:type="paragraph" w:styleId="a5">
    <w:name w:val="Balloon Text"/>
    <w:basedOn w:val="a"/>
    <w:qFormat/>
    <w:rPr>
      <w:rFonts w:ascii="Calibri" w:hAnsi="Calibri"/>
      <w:sz w:val="18"/>
      <w:szCs w:val="18"/>
    </w:rPr>
  </w:style>
  <w:style w:type="paragraph" w:styleId="a6">
    <w:name w:val="footer"/>
    <w:basedOn w:val="a"/>
    <w:qFormat/>
    <w:pPr>
      <w:tabs>
        <w:tab w:val="center" w:pos="4153"/>
        <w:tab w:val="right" w:pos="8306"/>
      </w:tabs>
      <w:snapToGrid w:val="0"/>
      <w:jc w:val="left"/>
    </w:pPr>
    <w:rPr>
      <w:sz w:val="18"/>
    </w:rPr>
  </w:style>
  <w:style w:type="paragraph" w:styleId="a7">
    <w:name w:val="header"/>
    <w:basedOn w:val="a"/>
    <w:qFormat/>
    <w:pPr>
      <w:tabs>
        <w:tab w:val="center" w:pos="4153"/>
        <w:tab w:val="right" w:pos="8306"/>
      </w:tabs>
      <w:snapToGrid w:val="0"/>
    </w:pPr>
    <w:rPr>
      <w:sz w:val="18"/>
    </w:rPr>
  </w:style>
  <w:style w:type="paragraph" w:styleId="a8">
    <w:name w:val="annotation subject"/>
    <w:basedOn w:val="a3"/>
    <w:next w:val="a3"/>
    <w:qFormat/>
    <w:rPr>
      <w:b/>
      <w:bCs/>
    </w:rPr>
  </w:style>
  <w:style w:type="character" w:styleId="a9">
    <w:name w:val="annotation reference"/>
    <w:qFormat/>
    <w:rPr>
      <w:sz w:val="21"/>
      <w:szCs w:val="21"/>
    </w:rPr>
  </w:style>
  <w:style w:type="character" w:customStyle="1" w:styleId="aa">
    <w:name w:val="页脚 字符"/>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主题">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rotWithShape="1">
          <a:gsLst>
            <a:gs pos="0">
              <a:srgbClr val="000000">
                <a:alpha val="100000"/>
              </a:srgbClr>
            </a:gs>
            <a:gs pos="100000">
              <a:srgbClr val="FFFFFF">
                <a:alpha val="100000"/>
              </a:srgbClr>
            </a:gs>
          </a:gsLst>
          <a:lin ang="0" scaled="1"/>
        </a:gradFill>
        <a:gradFill rotWithShape="1">
          <a:gsLst>
            <a:gs pos="0">
              <a:srgbClr val="000000">
                <a:alpha val="100000"/>
              </a:srgbClr>
            </a:gs>
            <a:gs pos="100000">
              <a:srgbClr val="FFFFFF">
                <a:alpha val="100000"/>
              </a:srgbClr>
            </a:gs>
          </a:gsLst>
          <a:lin ang="0" scaled="1"/>
        </a:gradFill>
      </a:fillStyleLst>
      <a:lnStyleLst>
        <a:ln w="6350" cap="flat" cmpd="sng">
          <a:solidFill>
            <a:schemeClr val="phClr"/>
          </a:solidFill>
          <a:prstDash val="solid"/>
          <a:round/>
        </a:ln>
        <a:ln w="12700" cap="flat" cmpd="sng">
          <a:solidFill>
            <a:schemeClr val="phClr"/>
          </a:solidFill>
          <a:prstDash val="solid"/>
          <a:round/>
        </a:ln>
        <a:ln w="19050" cap="flat" cmpd="sng">
          <a:solidFill>
            <a:schemeClr val="phClr"/>
          </a:solidFill>
          <a:prstDash val="solid"/>
          <a:round/>
        </a:ln>
      </a:lnStyleLst>
      <a:effectStyleLst>
        <a:effectStyle>
          <a:effectLst/>
        </a:effectStyle>
        <a:effectStyle>
          <a:effectLst/>
        </a:effectStyle>
        <a:effectStyle>
          <a:effectLst/>
        </a:effectStyle>
      </a:effectStyleLst>
      <a:bgFillStyleLst>
        <a:solidFill>
          <a:schemeClr val="phClr"/>
        </a:solidFill>
        <a:gradFill rotWithShape="1">
          <a:gsLst>
            <a:gs pos="0">
              <a:srgbClr val="000000">
                <a:alpha val="100000"/>
              </a:srgbClr>
            </a:gs>
            <a:gs pos="100000">
              <a:srgbClr val="FFFFFF">
                <a:alpha val="100000"/>
              </a:srgbClr>
            </a:gs>
          </a:gsLst>
          <a:lin ang="0" scaled="1"/>
        </a:gradFill>
        <a:gradFill rotWithShape="1">
          <a:gsLst>
            <a:gs pos="0">
              <a:srgbClr val="000000">
                <a:alpha val="100000"/>
              </a:srgbClr>
            </a:gs>
            <a:gs pos="100000">
              <a:srgbClr val="FFFFFF">
                <a:alpha val="100000"/>
              </a:srgbClr>
            </a:gs>
          </a:gsLst>
          <a:lin ang="0" scaled="1"/>
        </a:gradFill>
      </a:bgFillStyleLst>
    </a:fmtScheme>
  </a:themeElements>
  <a:objectDefaults>
    <a:spDef>
      <a:spPr>
        <a:solidFill>
          <a:srgbClr val="FFFFFF"/>
        </a:solidFill>
        <a:ln w="15875" cap="flat" cmpd="sng">
          <a:solidFill>
            <a:srgbClr val="739CC3"/>
          </a:solidFill>
          <a:prstDash val="solid"/>
          <a:miter/>
        </a:ln>
      </a:spPr>
      <a:bodyPr vert="horz" wrap="square" lIns="91440" tIns="45720" rIns="91440" bIns="45720" anchor="ctr" anchorCtr="0">
        <a:prstTxWarp prst="textNoShape">
          <a:avLst/>
        </a:prstTxWarp>
      </a:bodyPr>
      <a:lstStyle/>
      <a:style>
        <a:lnRef idx="2">
          <a:schemeClr val="accent1">
            <a:shade val="50000"/>
          </a:schemeClr>
        </a:lnRef>
        <a:fillRef idx="1">
          <a:schemeClr val="accent1"/>
        </a:fillRef>
        <a:effectRef idx="0">
          <a:schemeClr val="accent1"/>
        </a:effectRef>
        <a:fontRef idx="minor">
          <a:schemeClr val="lt1"/>
        </a:fontRef>
      </a:style>
    </a:spDef>
    <a:lnDef>
      <a:spPr>
        <a:ln w="15875" cap="flat" cmpd="sng">
          <a:solidFill>
            <a:srgbClr val="739CC3"/>
          </a:solidFill>
          <a:prstDash val="solid"/>
          <a:miter/>
        </a:ln>
      </a:spPr>
      <a:bodyPr/>
      <a:lstStyle/>
      <a:style>
        <a:lnRef idx="1">
          <a:schemeClr val="accent4">
            <a:shade val="50000"/>
          </a:schemeClr>
        </a:lnRef>
        <a:fillRef idx="0">
          <a:schemeClr val="accent4"/>
        </a:fillRef>
        <a:effectRef idx="0">
          <a:schemeClr val="accent4"/>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678 0 1 1 1 1"/>
    <sectPr/>
  </customProps>
</customData>
</file>

<file path=customXml/itemProps1.xml><?xml version="1.0" encoding="utf-8"?>
<ds:datastoreItem xmlns:ds="http://schemas.openxmlformats.org/officeDocument/2006/customXml" ds:itemID="{C356C958-A16A-450C-9F1D-312C6D5CDCC3}">
  <ds:schemaRefs>
    <ds:schemaRef ds:uri="http://www.yozosoft.com.cn/officeDocument/2016/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6</Pages>
  <Words>467</Words>
  <Characters>2665</Characters>
  <Application>Microsoft Office Word</Application>
  <DocSecurity>0</DocSecurity>
  <Lines>22</Lines>
  <Paragraphs>6</Paragraphs>
  <ScaleCrop>false</ScaleCrop>
  <Company>微软中国</Company>
  <LinksUpToDate>false</LinksUpToDate>
  <CharactersWithSpaces>3126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附件7：绩效自评价报告参考格式</dc:title>
  <dc:creator>njacd</dc:creator>
  <cp:lastModifiedBy>lenovo1</cp:lastModifiedBy>
  <cp:revision>20</cp:revision>
  <cp:lastPrinted>2025-06-30T06:18:00Z</cp:lastPrinted>
  <dcterms:created xsi:type="dcterms:W3CDTF">2024-06-26T17:12:00Z</dcterms:created>
  <dcterms:modified xsi:type="dcterms:W3CDTF">2025-07-07T01:32:00Z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3E7475F2C1084A84BC683AEC64859816_13</vt:lpwstr>
  </property>
  <property fmtid="{D5CDD505-2E9C-101B-9397-08002B2CF9AE}" pid="4" name="KSOTemplateDocerSaveRecord">
    <vt:lpwstr>eyJoZGlkIjoiMzZkMGFmODY0MDdhMDQ2MmU4YmRhNDcwNjI0ZWFhN2YiLCJ1c2VySWQiOiI3MDQ0NDM4NzkifQ==</vt:lpwstr>
  </property>
</Properties>
</file>