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667" w:rsidRDefault="00B47667">
      <w:pPr>
        <w:spacing w:line="360" w:lineRule="auto"/>
        <w:ind w:firstLineChars="349" w:firstLine="977"/>
        <w:rPr>
          <w:rFonts w:ascii="仿宋" w:eastAsia="仿宋" w:hAnsi="仿宋" w:cs="仿宋"/>
          <w:sz w:val="28"/>
          <w:szCs w:val="28"/>
        </w:rPr>
      </w:pPr>
    </w:p>
    <w:p w:rsidR="00B47667" w:rsidRDefault="00B47667">
      <w:pPr>
        <w:spacing w:line="360" w:lineRule="auto"/>
        <w:ind w:firstLineChars="200" w:firstLine="560"/>
        <w:rPr>
          <w:rFonts w:ascii="仿宋" w:eastAsia="仿宋" w:hAnsi="仿宋" w:cs="仿宋"/>
          <w:sz w:val="28"/>
          <w:szCs w:val="28"/>
        </w:rPr>
      </w:pPr>
    </w:p>
    <w:p w:rsidR="00B47667" w:rsidRDefault="00B47667">
      <w:pPr>
        <w:spacing w:line="360" w:lineRule="auto"/>
        <w:ind w:firstLineChars="200" w:firstLine="560"/>
        <w:jc w:val="center"/>
        <w:rPr>
          <w:rFonts w:ascii="仿宋" w:eastAsia="仿宋" w:hAnsi="仿宋" w:cs="仿宋"/>
          <w:sz w:val="28"/>
          <w:szCs w:val="28"/>
        </w:rPr>
      </w:pPr>
    </w:p>
    <w:p w:rsidR="00B47667" w:rsidRDefault="00556094" w:rsidP="00556094">
      <w:pPr>
        <w:spacing w:line="360" w:lineRule="auto"/>
        <w:ind w:firstLineChars="200" w:firstLine="723"/>
        <w:jc w:val="center"/>
        <w:rPr>
          <w:rFonts w:ascii="黑体" w:eastAsia="黑体" w:hAnsi="黑体" w:cs="黑体"/>
          <w:b/>
          <w:sz w:val="36"/>
          <w:szCs w:val="36"/>
        </w:rPr>
      </w:pPr>
      <w:r w:rsidRPr="00556094">
        <w:rPr>
          <w:rFonts w:ascii="黑体" w:eastAsia="黑体" w:hAnsi="黑体" w:cs="黑体" w:hint="eastAsia"/>
          <w:b/>
          <w:sz w:val="36"/>
          <w:szCs w:val="36"/>
        </w:rPr>
        <w:t>2024年度南京市农业农村</w:t>
      </w:r>
      <w:proofErr w:type="gramStart"/>
      <w:r w:rsidRPr="00556094">
        <w:rPr>
          <w:rFonts w:ascii="黑体" w:eastAsia="黑体" w:hAnsi="黑体" w:cs="黑体" w:hint="eastAsia"/>
          <w:b/>
          <w:sz w:val="36"/>
          <w:szCs w:val="36"/>
        </w:rPr>
        <w:t>局现代</w:t>
      </w:r>
      <w:proofErr w:type="gramEnd"/>
      <w:r w:rsidRPr="00556094">
        <w:rPr>
          <w:rFonts w:ascii="黑体" w:eastAsia="黑体" w:hAnsi="黑体" w:cs="黑体" w:hint="eastAsia"/>
          <w:b/>
          <w:sz w:val="36"/>
          <w:szCs w:val="36"/>
        </w:rPr>
        <w:t>蔬菜园艺高质量发展绩效评价报告</w:t>
      </w:r>
    </w:p>
    <w:p w:rsidR="00B47667" w:rsidRDefault="00B47667">
      <w:pPr>
        <w:spacing w:line="360" w:lineRule="auto"/>
        <w:ind w:firstLineChars="200" w:firstLine="560"/>
        <w:rPr>
          <w:rFonts w:ascii="仿宋" w:eastAsia="仿宋" w:hAnsi="仿宋" w:cs="仿宋"/>
          <w:sz w:val="28"/>
          <w:szCs w:val="28"/>
        </w:rPr>
      </w:pPr>
    </w:p>
    <w:p w:rsidR="00B47667" w:rsidRDefault="00B47667">
      <w:pPr>
        <w:spacing w:line="360" w:lineRule="auto"/>
        <w:ind w:firstLineChars="200" w:firstLine="560"/>
        <w:rPr>
          <w:rFonts w:ascii="仿宋" w:eastAsia="仿宋" w:hAnsi="仿宋" w:cs="仿宋"/>
          <w:sz w:val="28"/>
          <w:szCs w:val="28"/>
        </w:rPr>
      </w:pPr>
    </w:p>
    <w:p w:rsidR="00B47667" w:rsidRDefault="00B47667">
      <w:pPr>
        <w:spacing w:line="360" w:lineRule="auto"/>
        <w:ind w:firstLineChars="200" w:firstLine="560"/>
        <w:rPr>
          <w:rFonts w:ascii="仿宋" w:eastAsia="仿宋" w:hAnsi="仿宋" w:cs="仿宋"/>
          <w:sz w:val="28"/>
          <w:szCs w:val="28"/>
        </w:rPr>
      </w:pPr>
    </w:p>
    <w:p w:rsidR="00B47667" w:rsidRDefault="00B47667">
      <w:pPr>
        <w:spacing w:line="360" w:lineRule="auto"/>
        <w:ind w:firstLineChars="200" w:firstLine="560"/>
        <w:rPr>
          <w:rFonts w:ascii="仿宋" w:eastAsia="仿宋" w:hAnsi="仿宋" w:cs="仿宋"/>
          <w:sz w:val="28"/>
          <w:szCs w:val="28"/>
        </w:rPr>
      </w:pPr>
    </w:p>
    <w:p w:rsidR="00B47667" w:rsidRDefault="00B47667">
      <w:pPr>
        <w:spacing w:line="360" w:lineRule="auto"/>
        <w:ind w:firstLineChars="200" w:firstLine="560"/>
        <w:rPr>
          <w:rFonts w:ascii="仿宋" w:eastAsia="仿宋" w:hAnsi="仿宋" w:cs="仿宋"/>
          <w:sz w:val="28"/>
          <w:szCs w:val="28"/>
        </w:rPr>
      </w:pPr>
    </w:p>
    <w:p w:rsidR="00B47667" w:rsidRDefault="00B47667">
      <w:pPr>
        <w:spacing w:line="360" w:lineRule="auto"/>
        <w:ind w:firstLineChars="200" w:firstLine="560"/>
        <w:rPr>
          <w:rFonts w:ascii="仿宋" w:eastAsia="仿宋" w:hAnsi="仿宋" w:cs="仿宋"/>
          <w:sz w:val="28"/>
          <w:szCs w:val="28"/>
        </w:rPr>
      </w:pPr>
    </w:p>
    <w:p w:rsidR="00B47667" w:rsidRDefault="00233C16">
      <w:pPr>
        <w:spacing w:line="360" w:lineRule="auto"/>
        <w:ind w:firstLineChars="300" w:firstLine="843"/>
        <w:rPr>
          <w:rFonts w:ascii="黑体" w:eastAsia="黑体" w:hAnsi="黑体" w:cs="黑体"/>
          <w:b/>
          <w:bCs/>
          <w:sz w:val="28"/>
          <w:szCs w:val="28"/>
          <w:lang w:bidi="en-US"/>
        </w:rPr>
      </w:pPr>
      <w:r>
        <w:rPr>
          <w:rFonts w:ascii="黑体" w:eastAsia="黑体" w:hAnsi="黑体" w:cs="黑体" w:hint="eastAsia"/>
          <w:b/>
          <w:bCs/>
          <w:sz w:val="28"/>
          <w:szCs w:val="28"/>
          <w:lang w:bidi="en-US"/>
        </w:rPr>
        <w:t>项目名称：2024年南京市蔬菜园艺高质量发展项目</w:t>
      </w:r>
    </w:p>
    <w:p w:rsidR="00B47667" w:rsidRDefault="00233C16">
      <w:pPr>
        <w:spacing w:line="360" w:lineRule="auto"/>
        <w:ind w:leftChars="63" w:left="132" w:firstLineChars="252" w:firstLine="708"/>
        <w:rPr>
          <w:rFonts w:ascii="黑体" w:eastAsia="黑体" w:hAnsi="黑体" w:cs="黑体"/>
          <w:b/>
          <w:bCs/>
          <w:sz w:val="28"/>
          <w:szCs w:val="28"/>
          <w:lang w:bidi="en-US"/>
        </w:rPr>
      </w:pPr>
      <w:r>
        <w:rPr>
          <w:rFonts w:ascii="黑体" w:eastAsia="黑体" w:hAnsi="黑体" w:cs="黑体" w:hint="eastAsia"/>
          <w:b/>
          <w:bCs/>
          <w:sz w:val="28"/>
          <w:szCs w:val="28"/>
          <w:lang w:bidi="en-US"/>
        </w:rPr>
        <w:t>主管部门：南京市农业农村局</w:t>
      </w:r>
    </w:p>
    <w:p w:rsidR="00B47667" w:rsidRDefault="00233C16">
      <w:pPr>
        <w:spacing w:line="360" w:lineRule="auto"/>
        <w:ind w:leftChars="63" w:left="132" w:firstLineChars="252" w:firstLine="708"/>
        <w:rPr>
          <w:rFonts w:ascii="黑体" w:eastAsia="黑体" w:hAnsi="黑体" w:cs="黑体"/>
          <w:b/>
          <w:bCs/>
          <w:sz w:val="28"/>
          <w:szCs w:val="28"/>
        </w:rPr>
      </w:pPr>
      <w:r>
        <w:rPr>
          <w:rFonts w:ascii="黑体" w:eastAsia="黑体" w:hAnsi="黑体" w:cs="黑体" w:hint="eastAsia"/>
          <w:b/>
          <w:bCs/>
          <w:sz w:val="28"/>
          <w:szCs w:val="28"/>
          <w:lang w:bidi="en-US"/>
        </w:rPr>
        <w:t>评价机构：</w:t>
      </w:r>
      <w:proofErr w:type="gramStart"/>
      <w:r>
        <w:rPr>
          <w:rFonts w:ascii="黑体" w:eastAsia="黑体" w:hAnsi="黑体" w:cs="黑体" w:hint="eastAsia"/>
          <w:b/>
          <w:bCs/>
          <w:sz w:val="28"/>
          <w:szCs w:val="28"/>
          <w:lang w:bidi="en-US"/>
        </w:rPr>
        <w:t>江苏益诚会计师</w:t>
      </w:r>
      <w:proofErr w:type="gramEnd"/>
      <w:r>
        <w:rPr>
          <w:rFonts w:ascii="黑体" w:eastAsia="黑体" w:hAnsi="黑体" w:cs="黑体" w:hint="eastAsia"/>
          <w:b/>
          <w:bCs/>
          <w:sz w:val="28"/>
          <w:szCs w:val="28"/>
          <w:lang w:bidi="en-US"/>
        </w:rPr>
        <w:t>事务所（普通合伙）</w:t>
      </w:r>
    </w:p>
    <w:p w:rsidR="00B47667" w:rsidRDefault="00233C16">
      <w:pPr>
        <w:overflowPunct w:val="0"/>
        <w:autoSpaceDE w:val="0"/>
        <w:autoSpaceDN w:val="0"/>
        <w:adjustRightInd w:val="0"/>
        <w:spacing w:line="360" w:lineRule="auto"/>
        <w:ind w:firstLineChars="200" w:firstLine="562"/>
        <w:jc w:val="center"/>
        <w:textAlignment w:val="baseline"/>
        <w:rPr>
          <w:rFonts w:ascii="黑体" w:eastAsia="黑体" w:hAnsi="黑体" w:cs="黑体"/>
          <w:b/>
          <w:bCs/>
          <w:sz w:val="28"/>
          <w:szCs w:val="28"/>
        </w:rPr>
      </w:pPr>
      <w:r>
        <w:rPr>
          <w:rFonts w:ascii="黑体" w:eastAsia="黑体" w:hAnsi="黑体" w:cs="黑体" w:hint="eastAsia"/>
          <w:b/>
          <w:bCs/>
          <w:sz w:val="28"/>
          <w:szCs w:val="28"/>
        </w:rPr>
        <w:t>2025年6月</w:t>
      </w:r>
    </w:p>
    <w:p w:rsidR="00B47667" w:rsidRDefault="00B47667">
      <w:pPr>
        <w:adjustRightInd w:val="0"/>
        <w:snapToGrid w:val="0"/>
        <w:spacing w:line="360" w:lineRule="auto"/>
        <w:ind w:firstLineChars="200" w:firstLine="560"/>
        <w:rPr>
          <w:rFonts w:ascii="仿宋" w:eastAsia="仿宋" w:hAnsi="仿宋" w:cs="仿宋"/>
          <w:sz w:val="28"/>
          <w:szCs w:val="28"/>
        </w:rPr>
      </w:pPr>
    </w:p>
    <w:p w:rsidR="00B47667" w:rsidRDefault="00B47667">
      <w:pPr>
        <w:adjustRightInd w:val="0"/>
        <w:snapToGrid w:val="0"/>
        <w:spacing w:line="360" w:lineRule="auto"/>
        <w:ind w:firstLineChars="200" w:firstLine="560"/>
        <w:rPr>
          <w:rFonts w:ascii="仿宋" w:eastAsia="仿宋" w:hAnsi="仿宋" w:cs="仿宋"/>
          <w:sz w:val="28"/>
          <w:szCs w:val="28"/>
        </w:rPr>
        <w:sectPr w:rsidR="00B47667">
          <w:pgSz w:w="11906" w:h="16838"/>
          <w:pgMar w:top="1440" w:right="1800" w:bottom="1440" w:left="1800" w:header="851" w:footer="992" w:gutter="0"/>
          <w:pgNumType w:start="1"/>
          <w:cols w:space="425"/>
          <w:docGrid w:type="lines" w:linePitch="312"/>
        </w:sectPr>
      </w:pPr>
    </w:p>
    <w:sdt>
      <w:sdtPr>
        <w:rPr>
          <w:rFonts w:ascii="仿宋" w:eastAsia="仿宋" w:hAnsi="仿宋" w:cs="仿宋" w:hint="eastAsia"/>
          <w:sz w:val="28"/>
          <w:szCs w:val="28"/>
        </w:rPr>
        <w:id w:val="147473190"/>
        <w:docPartObj>
          <w:docPartGallery w:val="Table of Contents"/>
          <w:docPartUnique/>
        </w:docPartObj>
      </w:sdtPr>
      <w:sdtEndPr>
        <w:rPr>
          <w:sz w:val="24"/>
          <w:szCs w:val="24"/>
        </w:rPr>
      </w:sdtEndPr>
      <w:sdtContent>
        <w:p w:rsidR="00B47667" w:rsidRDefault="00233C16">
          <w:pPr>
            <w:spacing w:line="580" w:lineRule="exact"/>
            <w:jc w:val="center"/>
            <w:rPr>
              <w:rFonts w:ascii="仿宋" w:eastAsia="仿宋" w:hAnsi="仿宋" w:cs="仿宋"/>
              <w:sz w:val="28"/>
              <w:szCs w:val="28"/>
            </w:rPr>
          </w:pPr>
          <w:r>
            <w:rPr>
              <w:rFonts w:ascii="仿宋" w:eastAsia="仿宋" w:hAnsi="仿宋" w:cs="仿宋" w:hint="eastAsia"/>
              <w:sz w:val="28"/>
              <w:szCs w:val="28"/>
            </w:rPr>
            <w:t>目录</w:t>
          </w:r>
        </w:p>
        <w:p w:rsidR="00B47667" w:rsidRDefault="00233C16">
          <w:pPr>
            <w:pStyle w:val="10"/>
            <w:tabs>
              <w:tab w:val="right" w:leader="dot" w:pos="8296"/>
            </w:tabs>
            <w:spacing w:line="520" w:lineRule="exact"/>
            <w:rPr>
              <w:rFonts w:ascii="仿宋" w:eastAsia="仿宋" w:hAnsi="仿宋" w:cstheme="minorBidi"/>
              <w:sz w:val="28"/>
              <w:szCs w:val="28"/>
            </w:rPr>
          </w:pPr>
          <w:r>
            <w:rPr>
              <w:rFonts w:ascii="仿宋" w:eastAsia="仿宋" w:hAnsi="仿宋" w:cs="仿宋" w:hint="eastAsia"/>
              <w:sz w:val="28"/>
              <w:szCs w:val="28"/>
              <w:highlight w:val="yellow"/>
            </w:rPr>
            <w:fldChar w:fldCharType="begin"/>
          </w:r>
          <w:r>
            <w:rPr>
              <w:rFonts w:ascii="仿宋" w:eastAsia="仿宋" w:hAnsi="仿宋" w:cs="仿宋" w:hint="eastAsia"/>
              <w:sz w:val="28"/>
              <w:szCs w:val="28"/>
              <w:highlight w:val="yellow"/>
            </w:rPr>
            <w:instrText xml:space="preserve">TOC \o "1-2" \h \u </w:instrText>
          </w:r>
          <w:r>
            <w:rPr>
              <w:rFonts w:ascii="仿宋" w:eastAsia="仿宋" w:hAnsi="仿宋" w:cs="仿宋" w:hint="eastAsia"/>
              <w:sz w:val="28"/>
              <w:szCs w:val="28"/>
              <w:highlight w:val="yellow"/>
            </w:rPr>
            <w:fldChar w:fldCharType="separate"/>
          </w:r>
          <w:hyperlink w:anchor="_Toc201654632" w:history="1">
            <w:r>
              <w:rPr>
                <w:rStyle w:val="a7"/>
                <w:rFonts w:ascii="仿宋" w:eastAsia="仿宋" w:hAnsi="仿宋" w:cs="黑体" w:hint="eastAsia"/>
                <w:sz w:val="28"/>
                <w:szCs w:val="28"/>
              </w:rPr>
              <w:t>一、项目概况</w:t>
            </w:r>
            <w:r>
              <w:rPr>
                <w:rFonts w:ascii="仿宋" w:eastAsia="仿宋" w:hAnsi="仿宋"/>
                <w:sz w:val="28"/>
                <w:szCs w:val="28"/>
              </w:rPr>
              <w:tab/>
            </w:r>
            <w:r>
              <w:rPr>
                <w:rFonts w:ascii="仿宋" w:eastAsia="仿宋" w:hAnsi="仿宋"/>
                <w:sz w:val="28"/>
                <w:szCs w:val="28"/>
              </w:rPr>
              <w:fldChar w:fldCharType="begin"/>
            </w:r>
            <w:r>
              <w:rPr>
                <w:rFonts w:ascii="仿宋" w:eastAsia="仿宋" w:hAnsi="仿宋"/>
                <w:sz w:val="28"/>
                <w:szCs w:val="28"/>
              </w:rPr>
              <w:instrText xml:space="preserve"> PAGEREF _Toc201654632 \h </w:instrText>
            </w:r>
            <w:r>
              <w:rPr>
                <w:rFonts w:ascii="仿宋" w:eastAsia="仿宋" w:hAnsi="仿宋"/>
                <w:sz w:val="28"/>
                <w:szCs w:val="28"/>
              </w:rPr>
            </w:r>
            <w:r>
              <w:rPr>
                <w:rFonts w:ascii="仿宋" w:eastAsia="仿宋" w:hAnsi="仿宋"/>
                <w:sz w:val="28"/>
                <w:szCs w:val="28"/>
              </w:rPr>
              <w:fldChar w:fldCharType="separate"/>
            </w:r>
            <w:r>
              <w:rPr>
                <w:rFonts w:ascii="仿宋" w:eastAsia="仿宋" w:hAnsi="仿宋"/>
                <w:sz w:val="28"/>
                <w:szCs w:val="28"/>
              </w:rPr>
              <w:t>2</w:t>
            </w:r>
            <w:r>
              <w:rPr>
                <w:rFonts w:ascii="仿宋" w:eastAsia="仿宋" w:hAnsi="仿宋"/>
                <w:sz w:val="28"/>
                <w:szCs w:val="28"/>
              </w:rPr>
              <w:fldChar w:fldCharType="end"/>
            </w:r>
          </w:hyperlink>
        </w:p>
        <w:p w:rsidR="00B47667" w:rsidRDefault="00632BA5">
          <w:pPr>
            <w:pStyle w:val="20"/>
            <w:tabs>
              <w:tab w:val="right" w:leader="dot" w:pos="8296"/>
            </w:tabs>
            <w:spacing w:line="520" w:lineRule="exact"/>
            <w:rPr>
              <w:rFonts w:ascii="仿宋" w:eastAsia="仿宋" w:hAnsi="仿宋" w:cstheme="minorBidi"/>
              <w:sz w:val="28"/>
              <w:szCs w:val="28"/>
            </w:rPr>
          </w:pPr>
          <w:hyperlink w:anchor="_Toc201654633" w:history="1">
            <w:r w:rsidR="00233C16">
              <w:rPr>
                <w:rStyle w:val="a7"/>
                <w:rFonts w:ascii="仿宋" w:eastAsia="仿宋" w:hAnsi="仿宋" w:cs="黑体" w:hint="eastAsia"/>
                <w:bCs/>
                <w:sz w:val="28"/>
                <w:szCs w:val="28"/>
              </w:rPr>
              <w:t>（一）项目背景</w:t>
            </w:r>
            <w:r w:rsidR="00233C16">
              <w:rPr>
                <w:rFonts w:ascii="仿宋" w:eastAsia="仿宋" w:hAnsi="仿宋"/>
                <w:sz w:val="28"/>
                <w:szCs w:val="28"/>
              </w:rPr>
              <w:tab/>
            </w:r>
            <w:r w:rsidR="00233C16">
              <w:rPr>
                <w:rFonts w:ascii="仿宋" w:eastAsia="仿宋" w:hAnsi="仿宋"/>
                <w:sz w:val="28"/>
                <w:szCs w:val="28"/>
              </w:rPr>
              <w:fldChar w:fldCharType="begin"/>
            </w:r>
            <w:r w:rsidR="00233C16">
              <w:rPr>
                <w:rFonts w:ascii="仿宋" w:eastAsia="仿宋" w:hAnsi="仿宋"/>
                <w:sz w:val="28"/>
                <w:szCs w:val="28"/>
              </w:rPr>
              <w:instrText xml:space="preserve"> PAGEREF _Toc201654633 \h </w:instrText>
            </w:r>
            <w:r w:rsidR="00233C16">
              <w:rPr>
                <w:rFonts w:ascii="仿宋" w:eastAsia="仿宋" w:hAnsi="仿宋"/>
                <w:sz w:val="28"/>
                <w:szCs w:val="28"/>
              </w:rPr>
            </w:r>
            <w:r w:rsidR="00233C16">
              <w:rPr>
                <w:rFonts w:ascii="仿宋" w:eastAsia="仿宋" w:hAnsi="仿宋"/>
                <w:sz w:val="28"/>
                <w:szCs w:val="28"/>
              </w:rPr>
              <w:fldChar w:fldCharType="separate"/>
            </w:r>
            <w:r w:rsidR="00233C16">
              <w:rPr>
                <w:rFonts w:ascii="仿宋" w:eastAsia="仿宋" w:hAnsi="仿宋"/>
                <w:sz w:val="28"/>
                <w:szCs w:val="28"/>
              </w:rPr>
              <w:t>2</w:t>
            </w:r>
            <w:r w:rsidR="00233C16">
              <w:rPr>
                <w:rFonts w:ascii="仿宋" w:eastAsia="仿宋" w:hAnsi="仿宋"/>
                <w:sz w:val="28"/>
                <w:szCs w:val="28"/>
              </w:rPr>
              <w:fldChar w:fldCharType="end"/>
            </w:r>
          </w:hyperlink>
        </w:p>
        <w:p w:rsidR="00B47667" w:rsidRDefault="00632BA5">
          <w:pPr>
            <w:pStyle w:val="20"/>
            <w:tabs>
              <w:tab w:val="right" w:leader="dot" w:pos="8296"/>
            </w:tabs>
            <w:spacing w:line="520" w:lineRule="exact"/>
            <w:rPr>
              <w:rFonts w:ascii="仿宋" w:eastAsia="仿宋" w:hAnsi="仿宋" w:cstheme="minorBidi"/>
              <w:sz w:val="28"/>
              <w:szCs w:val="28"/>
            </w:rPr>
          </w:pPr>
          <w:hyperlink w:anchor="_Toc201654634" w:history="1">
            <w:r w:rsidR="00233C16">
              <w:rPr>
                <w:rStyle w:val="a7"/>
                <w:rFonts w:ascii="仿宋" w:eastAsia="仿宋" w:hAnsi="仿宋" w:cs="黑体" w:hint="eastAsia"/>
                <w:sz w:val="28"/>
                <w:szCs w:val="28"/>
              </w:rPr>
              <w:t>（二）项目立项依据</w:t>
            </w:r>
            <w:r w:rsidR="00233C16">
              <w:rPr>
                <w:rFonts w:ascii="仿宋" w:eastAsia="仿宋" w:hAnsi="仿宋"/>
                <w:sz w:val="28"/>
                <w:szCs w:val="28"/>
              </w:rPr>
              <w:tab/>
            </w:r>
            <w:r w:rsidR="00233C16">
              <w:rPr>
                <w:rFonts w:ascii="仿宋" w:eastAsia="仿宋" w:hAnsi="仿宋"/>
                <w:sz w:val="28"/>
                <w:szCs w:val="28"/>
              </w:rPr>
              <w:fldChar w:fldCharType="begin"/>
            </w:r>
            <w:r w:rsidR="00233C16">
              <w:rPr>
                <w:rFonts w:ascii="仿宋" w:eastAsia="仿宋" w:hAnsi="仿宋"/>
                <w:sz w:val="28"/>
                <w:szCs w:val="28"/>
              </w:rPr>
              <w:instrText xml:space="preserve"> PAGEREF _Toc201654634 \h </w:instrText>
            </w:r>
            <w:r w:rsidR="00233C16">
              <w:rPr>
                <w:rFonts w:ascii="仿宋" w:eastAsia="仿宋" w:hAnsi="仿宋"/>
                <w:sz w:val="28"/>
                <w:szCs w:val="28"/>
              </w:rPr>
            </w:r>
            <w:r w:rsidR="00233C16">
              <w:rPr>
                <w:rFonts w:ascii="仿宋" w:eastAsia="仿宋" w:hAnsi="仿宋"/>
                <w:sz w:val="28"/>
                <w:szCs w:val="28"/>
              </w:rPr>
              <w:fldChar w:fldCharType="separate"/>
            </w:r>
            <w:r w:rsidR="00233C16">
              <w:rPr>
                <w:rFonts w:ascii="仿宋" w:eastAsia="仿宋" w:hAnsi="仿宋"/>
                <w:sz w:val="28"/>
                <w:szCs w:val="28"/>
              </w:rPr>
              <w:t>3</w:t>
            </w:r>
            <w:r w:rsidR="00233C16">
              <w:rPr>
                <w:rFonts w:ascii="仿宋" w:eastAsia="仿宋" w:hAnsi="仿宋"/>
                <w:sz w:val="28"/>
                <w:szCs w:val="28"/>
              </w:rPr>
              <w:fldChar w:fldCharType="end"/>
            </w:r>
          </w:hyperlink>
        </w:p>
        <w:p w:rsidR="00B47667" w:rsidRDefault="00632BA5">
          <w:pPr>
            <w:pStyle w:val="20"/>
            <w:tabs>
              <w:tab w:val="right" w:leader="dot" w:pos="8296"/>
            </w:tabs>
            <w:spacing w:line="520" w:lineRule="exact"/>
            <w:rPr>
              <w:rFonts w:ascii="仿宋" w:eastAsia="仿宋" w:hAnsi="仿宋" w:cstheme="minorBidi"/>
              <w:sz w:val="28"/>
              <w:szCs w:val="28"/>
            </w:rPr>
          </w:pPr>
          <w:hyperlink w:anchor="_Toc201654635" w:history="1">
            <w:r w:rsidR="00233C16">
              <w:rPr>
                <w:rStyle w:val="a7"/>
                <w:rFonts w:ascii="仿宋" w:eastAsia="仿宋" w:hAnsi="仿宋" w:cs="黑体" w:hint="eastAsia"/>
                <w:sz w:val="28"/>
                <w:szCs w:val="28"/>
              </w:rPr>
              <w:t>（三）项目资金情况</w:t>
            </w:r>
            <w:r w:rsidR="00233C16">
              <w:rPr>
                <w:rFonts w:ascii="仿宋" w:eastAsia="仿宋" w:hAnsi="仿宋"/>
                <w:sz w:val="28"/>
                <w:szCs w:val="28"/>
              </w:rPr>
              <w:tab/>
            </w:r>
            <w:r w:rsidR="00233C16">
              <w:rPr>
                <w:rFonts w:ascii="仿宋" w:eastAsia="仿宋" w:hAnsi="仿宋"/>
                <w:sz w:val="28"/>
                <w:szCs w:val="28"/>
              </w:rPr>
              <w:fldChar w:fldCharType="begin"/>
            </w:r>
            <w:r w:rsidR="00233C16">
              <w:rPr>
                <w:rFonts w:ascii="仿宋" w:eastAsia="仿宋" w:hAnsi="仿宋"/>
                <w:sz w:val="28"/>
                <w:szCs w:val="28"/>
              </w:rPr>
              <w:instrText xml:space="preserve"> PAGEREF _Toc201654635 \h </w:instrText>
            </w:r>
            <w:r w:rsidR="00233C16">
              <w:rPr>
                <w:rFonts w:ascii="仿宋" w:eastAsia="仿宋" w:hAnsi="仿宋"/>
                <w:sz w:val="28"/>
                <w:szCs w:val="28"/>
              </w:rPr>
            </w:r>
            <w:r w:rsidR="00233C16">
              <w:rPr>
                <w:rFonts w:ascii="仿宋" w:eastAsia="仿宋" w:hAnsi="仿宋"/>
                <w:sz w:val="28"/>
                <w:szCs w:val="28"/>
              </w:rPr>
              <w:fldChar w:fldCharType="separate"/>
            </w:r>
            <w:r w:rsidR="00233C16">
              <w:rPr>
                <w:rFonts w:ascii="仿宋" w:eastAsia="仿宋" w:hAnsi="仿宋"/>
                <w:sz w:val="28"/>
                <w:szCs w:val="28"/>
              </w:rPr>
              <w:t>3</w:t>
            </w:r>
            <w:r w:rsidR="00233C16">
              <w:rPr>
                <w:rFonts w:ascii="仿宋" w:eastAsia="仿宋" w:hAnsi="仿宋"/>
                <w:sz w:val="28"/>
                <w:szCs w:val="28"/>
              </w:rPr>
              <w:fldChar w:fldCharType="end"/>
            </w:r>
          </w:hyperlink>
        </w:p>
        <w:p w:rsidR="00B47667" w:rsidRDefault="00632BA5">
          <w:pPr>
            <w:pStyle w:val="20"/>
            <w:tabs>
              <w:tab w:val="right" w:leader="dot" w:pos="8296"/>
            </w:tabs>
            <w:spacing w:line="520" w:lineRule="exact"/>
            <w:rPr>
              <w:rFonts w:ascii="仿宋" w:eastAsia="仿宋" w:hAnsi="仿宋" w:cstheme="minorBidi"/>
              <w:sz w:val="28"/>
              <w:szCs w:val="28"/>
            </w:rPr>
          </w:pPr>
          <w:hyperlink w:anchor="_Toc201654636" w:history="1">
            <w:r w:rsidR="00233C16">
              <w:rPr>
                <w:rStyle w:val="a7"/>
                <w:rFonts w:ascii="仿宋" w:eastAsia="仿宋" w:hAnsi="仿宋" w:cs="黑体" w:hint="eastAsia"/>
                <w:bCs/>
                <w:sz w:val="28"/>
                <w:szCs w:val="28"/>
              </w:rPr>
              <w:t>（四）项目实施情况</w:t>
            </w:r>
            <w:r w:rsidR="00233C16">
              <w:rPr>
                <w:rFonts w:ascii="仿宋" w:eastAsia="仿宋" w:hAnsi="仿宋"/>
                <w:sz w:val="28"/>
                <w:szCs w:val="28"/>
              </w:rPr>
              <w:tab/>
            </w:r>
            <w:r w:rsidR="00233C16">
              <w:rPr>
                <w:rFonts w:ascii="仿宋" w:eastAsia="仿宋" w:hAnsi="仿宋"/>
                <w:sz w:val="28"/>
                <w:szCs w:val="28"/>
              </w:rPr>
              <w:fldChar w:fldCharType="begin"/>
            </w:r>
            <w:r w:rsidR="00233C16">
              <w:rPr>
                <w:rFonts w:ascii="仿宋" w:eastAsia="仿宋" w:hAnsi="仿宋"/>
                <w:sz w:val="28"/>
                <w:szCs w:val="28"/>
              </w:rPr>
              <w:instrText xml:space="preserve"> PAGEREF _Toc201654636 \h </w:instrText>
            </w:r>
            <w:r w:rsidR="00233C16">
              <w:rPr>
                <w:rFonts w:ascii="仿宋" w:eastAsia="仿宋" w:hAnsi="仿宋"/>
                <w:sz w:val="28"/>
                <w:szCs w:val="28"/>
              </w:rPr>
            </w:r>
            <w:r w:rsidR="00233C16">
              <w:rPr>
                <w:rFonts w:ascii="仿宋" w:eastAsia="仿宋" w:hAnsi="仿宋"/>
                <w:sz w:val="28"/>
                <w:szCs w:val="28"/>
              </w:rPr>
              <w:fldChar w:fldCharType="separate"/>
            </w:r>
            <w:r w:rsidR="00233C16">
              <w:rPr>
                <w:rFonts w:ascii="仿宋" w:eastAsia="仿宋" w:hAnsi="仿宋"/>
                <w:sz w:val="28"/>
                <w:szCs w:val="28"/>
              </w:rPr>
              <w:t>6</w:t>
            </w:r>
            <w:r w:rsidR="00233C16">
              <w:rPr>
                <w:rFonts w:ascii="仿宋" w:eastAsia="仿宋" w:hAnsi="仿宋"/>
                <w:sz w:val="28"/>
                <w:szCs w:val="28"/>
              </w:rPr>
              <w:fldChar w:fldCharType="end"/>
            </w:r>
          </w:hyperlink>
        </w:p>
        <w:p w:rsidR="00B47667" w:rsidRDefault="00632BA5">
          <w:pPr>
            <w:pStyle w:val="20"/>
            <w:tabs>
              <w:tab w:val="right" w:leader="dot" w:pos="8296"/>
            </w:tabs>
            <w:spacing w:line="520" w:lineRule="exact"/>
            <w:rPr>
              <w:rFonts w:ascii="仿宋" w:eastAsia="仿宋" w:hAnsi="仿宋" w:cstheme="minorBidi"/>
              <w:sz w:val="28"/>
              <w:szCs w:val="28"/>
            </w:rPr>
          </w:pPr>
          <w:hyperlink w:anchor="_Toc201654637" w:history="1">
            <w:r w:rsidR="00233C16">
              <w:rPr>
                <w:rStyle w:val="a7"/>
                <w:rFonts w:ascii="仿宋" w:eastAsia="仿宋" w:hAnsi="仿宋" w:cs="黑体" w:hint="eastAsia"/>
                <w:sz w:val="28"/>
                <w:szCs w:val="28"/>
              </w:rPr>
              <w:t>（五）项目绩效目标</w:t>
            </w:r>
            <w:r w:rsidR="00233C16">
              <w:rPr>
                <w:rFonts w:ascii="仿宋" w:eastAsia="仿宋" w:hAnsi="仿宋"/>
                <w:sz w:val="28"/>
                <w:szCs w:val="28"/>
              </w:rPr>
              <w:tab/>
            </w:r>
            <w:r w:rsidR="00233C16">
              <w:rPr>
                <w:rFonts w:ascii="仿宋" w:eastAsia="仿宋" w:hAnsi="仿宋"/>
                <w:sz w:val="28"/>
                <w:szCs w:val="28"/>
              </w:rPr>
              <w:fldChar w:fldCharType="begin"/>
            </w:r>
            <w:r w:rsidR="00233C16">
              <w:rPr>
                <w:rFonts w:ascii="仿宋" w:eastAsia="仿宋" w:hAnsi="仿宋"/>
                <w:sz w:val="28"/>
                <w:szCs w:val="28"/>
              </w:rPr>
              <w:instrText xml:space="preserve"> PAGEREF _Toc201654637 \h </w:instrText>
            </w:r>
            <w:r w:rsidR="00233C16">
              <w:rPr>
                <w:rFonts w:ascii="仿宋" w:eastAsia="仿宋" w:hAnsi="仿宋"/>
                <w:sz w:val="28"/>
                <w:szCs w:val="28"/>
              </w:rPr>
            </w:r>
            <w:r w:rsidR="00233C16">
              <w:rPr>
                <w:rFonts w:ascii="仿宋" w:eastAsia="仿宋" w:hAnsi="仿宋"/>
                <w:sz w:val="28"/>
                <w:szCs w:val="28"/>
              </w:rPr>
              <w:fldChar w:fldCharType="separate"/>
            </w:r>
            <w:r w:rsidR="00233C16">
              <w:rPr>
                <w:rFonts w:ascii="仿宋" w:eastAsia="仿宋" w:hAnsi="仿宋"/>
                <w:sz w:val="28"/>
                <w:szCs w:val="28"/>
              </w:rPr>
              <w:t>7</w:t>
            </w:r>
            <w:r w:rsidR="00233C16">
              <w:rPr>
                <w:rFonts w:ascii="仿宋" w:eastAsia="仿宋" w:hAnsi="仿宋"/>
                <w:sz w:val="28"/>
                <w:szCs w:val="28"/>
              </w:rPr>
              <w:fldChar w:fldCharType="end"/>
            </w:r>
          </w:hyperlink>
        </w:p>
        <w:p w:rsidR="00B47667" w:rsidRDefault="00632BA5">
          <w:pPr>
            <w:pStyle w:val="10"/>
            <w:tabs>
              <w:tab w:val="right" w:leader="dot" w:pos="8296"/>
            </w:tabs>
            <w:spacing w:line="520" w:lineRule="exact"/>
            <w:rPr>
              <w:rFonts w:ascii="仿宋" w:eastAsia="仿宋" w:hAnsi="仿宋" w:cstheme="minorBidi"/>
              <w:sz w:val="28"/>
              <w:szCs w:val="28"/>
            </w:rPr>
          </w:pPr>
          <w:hyperlink w:anchor="_Toc201654638" w:history="1">
            <w:r w:rsidR="00233C16">
              <w:rPr>
                <w:rStyle w:val="a7"/>
                <w:rFonts w:ascii="仿宋" w:eastAsia="仿宋" w:hAnsi="仿宋" w:cs="黑体" w:hint="eastAsia"/>
                <w:sz w:val="28"/>
                <w:szCs w:val="28"/>
              </w:rPr>
              <w:t>二、绩效评价结论</w:t>
            </w:r>
            <w:r w:rsidR="00233C16">
              <w:rPr>
                <w:rFonts w:ascii="仿宋" w:eastAsia="仿宋" w:hAnsi="仿宋"/>
                <w:sz w:val="28"/>
                <w:szCs w:val="28"/>
              </w:rPr>
              <w:tab/>
            </w:r>
            <w:r w:rsidR="00233C16">
              <w:rPr>
                <w:rFonts w:ascii="仿宋" w:eastAsia="仿宋" w:hAnsi="仿宋"/>
                <w:sz w:val="28"/>
                <w:szCs w:val="28"/>
              </w:rPr>
              <w:fldChar w:fldCharType="begin"/>
            </w:r>
            <w:r w:rsidR="00233C16">
              <w:rPr>
                <w:rFonts w:ascii="仿宋" w:eastAsia="仿宋" w:hAnsi="仿宋"/>
                <w:sz w:val="28"/>
                <w:szCs w:val="28"/>
              </w:rPr>
              <w:instrText xml:space="preserve"> PAGEREF _Toc201654638 \h </w:instrText>
            </w:r>
            <w:r w:rsidR="00233C16">
              <w:rPr>
                <w:rFonts w:ascii="仿宋" w:eastAsia="仿宋" w:hAnsi="仿宋"/>
                <w:sz w:val="28"/>
                <w:szCs w:val="28"/>
              </w:rPr>
            </w:r>
            <w:r w:rsidR="00233C16">
              <w:rPr>
                <w:rFonts w:ascii="仿宋" w:eastAsia="仿宋" w:hAnsi="仿宋"/>
                <w:sz w:val="28"/>
                <w:szCs w:val="28"/>
              </w:rPr>
              <w:fldChar w:fldCharType="separate"/>
            </w:r>
            <w:r w:rsidR="00233C16">
              <w:rPr>
                <w:rFonts w:ascii="仿宋" w:eastAsia="仿宋" w:hAnsi="仿宋"/>
                <w:sz w:val="28"/>
                <w:szCs w:val="28"/>
              </w:rPr>
              <w:t>8</w:t>
            </w:r>
            <w:r w:rsidR="00233C16">
              <w:rPr>
                <w:rFonts w:ascii="仿宋" w:eastAsia="仿宋" w:hAnsi="仿宋"/>
                <w:sz w:val="28"/>
                <w:szCs w:val="28"/>
              </w:rPr>
              <w:fldChar w:fldCharType="end"/>
            </w:r>
          </w:hyperlink>
        </w:p>
        <w:p w:rsidR="00B47667" w:rsidRDefault="00632BA5">
          <w:pPr>
            <w:pStyle w:val="20"/>
            <w:tabs>
              <w:tab w:val="right" w:leader="dot" w:pos="8296"/>
            </w:tabs>
            <w:spacing w:line="520" w:lineRule="exact"/>
            <w:rPr>
              <w:rFonts w:ascii="仿宋" w:eastAsia="仿宋" w:hAnsi="仿宋" w:cstheme="minorBidi"/>
              <w:sz w:val="28"/>
              <w:szCs w:val="28"/>
            </w:rPr>
          </w:pPr>
          <w:hyperlink w:anchor="_Toc201654639" w:history="1">
            <w:r w:rsidR="00233C16">
              <w:rPr>
                <w:rStyle w:val="a7"/>
                <w:rFonts w:ascii="仿宋" w:eastAsia="仿宋" w:hAnsi="仿宋" w:cs="黑体" w:hint="eastAsia"/>
                <w:sz w:val="28"/>
                <w:szCs w:val="28"/>
              </w:rPr>
              <w:t>（一）评价对象</w:t>
            </w:r>
            <w:r w:rsidR="00233C16">
              <w:rPr>
                <w:rFonts w:ascii="仿宋" w:eastAsia="仿宋" w:hAnsi="仿宋"/>
                <w:sz w:val="28"/>
                <w:szCs w:val="28"/>
              </w:rPr>
              <w:tab/>
            </w:r>
            <w:r w:rsidR="00233C16">
              <w:rPr>
                <w:rFonts w:ascii="仿宋" w:eastAsia="仿宋" w:hAnsi="仿宋"/>
                <w:sz w:val="28"/>
                <w:szCs w:val="28"/>
              </w:rPr>
              <w:fldChar w:fldCharType="begin"/>
            </w:r>
            <w:r w:rsidR="00233C16">
              <w:rPr>
                <w:rFonts w:ascii="仿宋" w:eastAsia="仿宋" w:hAnsi="仿宋"/>
                <w:sz w:val="28"/>
                <w:szCs w:val="28"/>
              </w:rPr>
              <w:instrText xml:space="preserve"> PAGEREF _Toc201654639 \h </w:instrText>
            </w:r>
            <w:r w:rsidR="00233C16">
              <w:rPr>
                <w:rFonts w:ascii="仿宋" w:eastAsia="仿宋" w:hAnsi="仿宋"/>
                <w:sz w:val="28"/>
                <w:szCs w:val="28"/>
              </w:rPr>
            </w:r>
            <w:r w:rsidR="00233C16">
              <w:rPr>
                <w:rFonts w:ascii="仿宋" w:eastAsia="仿宋" w:hAnsi="仿宋"/>
                <w:sz w:val="28"/>
                <w:szCs w:val="28"/>
              </w:rPr>
              <w:fldChar w:fldCharType="separate"/>
            </w:r>
            <w:r w:rsidR="00233C16">
              <w:rPr>
                <w:rFonts w:ascii="仿宋" w:eastAsia="仿宋" w:hAnsi="仿宋"/>
                <w:sz w:val="28"/>
                <w:szCs w:val="28"/>
              </w:rPr>
              <w:t>8</w:t>
            </w:r>
            <w:r w:rsidR="00233C16">
              <w:rPr>
                <w:rFonts w:ascii="仿宋" w:eastAsia="仿宋" w:hAnsi="仿宋"/>
                <w:sz w:val="28"/>
                <w:szCs w:val="28"/>
              </w:rPr>
              <w:fldChar w:fldCharType="end"/>
            </w:r>
          </w:hyperlink>
        </w:p>
        <w:p w:rsidR="00B47667" w:rsidRDefault="00632BA5">
          <w:pPr>
            <w:pStyle w:val="20"/>
            <w:tabs>
              <w:tab w:val="right" w:leader="dot" w:pos="8296"/>
            </w:tabs>
            <w:spacing w:line="520" w:lineRule="exact"/>
            <w:rPr>
              <w:rFonts w:ascii="仿宋" w:eastAsia="仿宋" w:hAnsi="仿宋" w:cstheme="minorBidi"/>
              <w:sz w:val="28"/>
              <w:szCs w:val="28"/>
            </w:rPr>
          </w:pPr>
          <w:hyperlink w:anchor="_Toc201654640" w:history="1">
            <w:r w:rsidR="00233C16">
              <w:rPr>
                <w:rStyle w:val="a7"/>
                <w:rFonts w:ascii="仿宋" w:eastAsia="仿宋" w:hAnsi="仿宋" w:cs="黑体" w:hint="eastAsia"/>
                <w:sz w:val="28"/>
                <w:szCs w:val="28"/>
              </w:rPr>
              <w:t>（二）评价结果</w:t>
            </w:r>
            <w:r w:rsidR="00233C16">
              <w:rPr>
                <w:rFonts w:ascii="仿宋" w:eastAsia="仿宋" w:hAnsi="仿宋"/>
                <w:sz w:val="28"/>
                <w:szCs w:val="28"/>
              </w:rPr>
              <w:tab/>
            </w:r>
            <w:r w:rsidR="00233C16">
              <w:rPr>
                <w:rFonts w:ascii="仿宋" w:eastAsia="仿宋" w:hAnsi="仿宋"/>
                <w:sz w:val="28"/>
                <w:szCs w:val="28"/>
              </w:rPr>
              <w:fldChar w:fldCharType="begin"/>
            </w:r>
            <w:r w:rsidR="00233C16">
              <w:rPr>
                <w:rFonts w:ascii="仿宋" w:eastAsia="仿宋" w:hAnsi="仿宋"/>
                <w:sz w:val="28"/>
                <w:szCs w:val="28"/>
              </w:rPr>
              <w:instrText xml:space="preserve"> PAGEREF _Toc201654640 \h </w:instrText>
            </w:r>
            <w:r w:rsidR="00233C16">
              <w:rPr>
                <w:rFonts w:ascii="仿宋" w:eastAsia="仿宋" w:hAnsi="仿宋"/>
                <w:sz w:val="28"/>
                <w:szCs w:val="28"/>
              </w:rPr>
            </w:r>
            <w:r w:rsidR="00233C16">
              <w:rPr>
                <w:rFonts w:ascii="仿宋" w:eastAsia="仿宋" w:hAnsi="仿宋"/>
                <w:sz w:val="28"/>
                <w:szCs w:val="28"/>
              </w:rPr>
              <w:fldChar w:fldCharType="separate"/>
            </w:r>
            <w:r w:rsidR="00233C16">
              <w:rPr>
                <w:rFonts w:ascii="仿宋" w:eastAsia="仿宋" w:hAnsi="仿宋"/>
                <w:sz w:val="28"/>
                <w:szCs w:val="28"/>
              </w:rPr>
              <w:t>8</w:t>
            </w:r>
            <w:r w:rsidR="00233C16">
              <w:rPr>
                <w:rFonts w:ascii="仿宋" w:eastAsia="仿宋" w:hAnsi="仿宋"/>
                <w:sz w:val="28"/>
                <w:szCs w:val="28"/>
              </w:rPr>
              <w:fldChar w:fldCharType="end"/>
            </w:r>
          </w:hyperlink>
        </w:p>
        <w:p w:rsidR="00B47667" w:rsidRDefault="00632BA5">
          <w:pPr>
            <w:pStyle w:val="20"/>
            <w:tabs>
              <w:tab w:val="right" w:leader="dot" w:pos="8296"/>
            </w:tabs>
            <w:spacing w:line="520" w:lineRule="exact"/>
            <w:rPr>
              <w:rFonts w:ascii="仿宋" w:eastAsia="仿宋" w:hAnsi="仿宋" w:cstheme="minorBidi"/>
              <w:sz w:val="28"/>
              <w:szCs w:val="28"/>
            </w:rPr>
          </w:pPr>
          <w:hyperlink w:anchor="_Toc201654641" w:history="1">
            <w:r w:rsidR="00233C16">
              <w:rPr>
                <w:rStyle w:val="a7"/>
                <w:rFonts w:ascii="仿宋" w:eastAsia="仿宋" w:hAnsi="仿宋" w:cs="黑体" w:hint="eastAsia"/>
                <w:sz w:val="28"/>
                <w:szCs w:val="28"/>
              </w:rPr>
              <w:t>（三）绩效分析</w:t>
            </w:r>
            <w:r w:rsidR="00233C16">
              <w:rPr>
                <w:rFonts w:ascii="仿宋" w:eastAsia="仿宋" w:hAnsi="仿宋"/>
                <w:sz w:val="28"/>
                <w:szCs w:val="28"/>
              </w:rPr>
              <w:tab/>
            </w:r>
            <w:r w:rsidR="00233C16">
              <w:rPr>
                <w:rFonts w:ascii="仿宋" w:eastAsia="仿宋" w:hAnsi="仿宋"/>
                <w:sz w:val="28"/>
                <w:szCs w:val="28"/>
              </w:rPr>
              <w:fldChar w:fldCharType="begin"/>
            </w:r>
            <w:r w:rsidR="00233C16">
              <w:rPr>
                <w:rFonts w:ascii="仿宋" w:eastAsia="仿宋" w:hAnsi="仿宋"/>
                <w:sz w:val="28"/>
                <w:szCs w:val="28"/>
              </w:rPr>
              <w:instrText xml:space="preserve"> PAGEREF _Toc201654641 \h </w:instrText>
            </w:r>
            <w:r w:rsidR="00233C16">
              <w:rPr>
                <w:rFonts w:ascii="仿宋" w:eastAsia="仿宋" w:hAnsi="仿宋"/>
                <w:sz w:val="28"/>
                <w:szCs w:val="28"/>
              </w:rPr>
            </w:r>
            <w:r w:rsidR="00233C16">
              <w:rPr>
                <w:rFonts w:ascii="仿宋" w:eastAsia="仿宋" w:hAnsi="仿宋"/>
                <w:sz w:val="28"/>
                <w:szCs w:val="28"/>
              </w:rPr>
              <w:fldChar w:fldCharType="separate"/>
            </w:r>
            <w:r w:rsidR="00233C16">
              <w:rPr>
                <w:rFonts w:ascii="仿宋" w:eastAsia="仿宋" w:hAnsi="仿宋"/>
                <w:sz w:val="28"/>
                <w:szCs w:val="28"/>
              </w:rPr>
              <w:t>9</w:t>
            </w:r>
            <w:r w:rsidR="00233C16">
              <w:rPr>
                <w:rFonts w:ascii="仿宋" w:eastAsia="仿宋" w:hAnsi="仿宋"/>
                <w:sz w:val="28"/>
                <w:szCs w:val="28"/>
              </w:rPr>
              <w:fldChar w:fldCharType="end"/>
            </w:r>
          </w:hyperlink>
        </w:p>
        <w:p w:rsidR="00B47667" w:rsidRDefault="00632BA5">
          <w:pPr>
            <w:pStyle w:val="10"/>
            <w:tabs>
              <w:tab w:val="right" w:leader="dot" w:pos="8296"/>
            </w:tabs>
            <w:spacing w:line="520" w:lineRule="exact"/>
            <w:rPr>
              <w:rFonts w:ascii="仿宋" w:eastAsia="仿宋" w:hAnsi="仿宋" w:cstheme="minorBidi"/>
              <w:sz w:val="28"/>
              <w:szCs w:val="28"/>
            </w:rPr>
          </w:pPr>
          <w:hyperlink w:anchor="_Toc201654642" w:history="1">
            <w:r w:rsidR="00233C16">
              <w:rPr>
                <w:rStyle w:val="a7"/>
                <w:rFonts w:ascii="仿宋" w:eastAsia="仿宋" w:hAnsi="仿宋" w:cs="黑体" w:hint="eastAsia"/>
                <w:sz w:val="28"/>
                <w:szCs w:val="28"/>
              </w:rPr>
              <w:t>三、项目主要成效</w:t>
            </w:r>
            <w:r w:rsidR="00233C16">
              <w:rPr>
                <w:rFonts w:ascii="仿宋" w:eastAsia="仿宋" w:hAnsi="仿宋"/>
                <w:sz w:val="28"/>
                <w:szCs w:val="28"/>
              </w:rPr>
              <w:tab/>
            </w:r>
            <w:r w:rsidR="00233C16">
              <w:rPr>
                <w:rFonts w:ascii="仿宋" w:eastAsia="仿宋" w:hAnsi="仿宋"/>
                <w:sz w:val="28"/>
                <w:szCs w:val="28"/>
              </w:rPr>
              <w:fldChar w:fldCharType="begin"/>
            </w:r>
            <w:r w:rsidR="00233C16">
              <w:rPr>
                <w:rFonts w:ascii="仿宋" w:eastAsia="仿宋" w:hAnsi="仿宋"/>
                <w:sz w:val="28"/>
                <w:szCs w:val="28"/>
              </w:rPr>
              <w:instrText xml:space="preserve"> PAGEREF _Toc201654642 \h </w:instrText>
            </w:r>
            <w:r w:rsidR="00233C16">
              <w:rPr>
                <w:rFonts w:ascii="仿宋" w:eastAsia="仿宋" w:hAnsi="仿宋"/>
                <w:sz w:val="28"/>
                <w:szCs w:val="28"/>
              </w:rPr>
            </w:r>
            <w:r w:rsidR="00233C16">
              <w:rPr>
                <w:rFonts w:ascii="仿宋" w:eastAsia="仿宋" w:hAnsi="仿宋"/>
                <w:sz w:val="28"/>
                <w:szCs w:val="28"/>
              </w:rPr>
              <w:fldChar w:fldCharType="separate"/>
            </w:r>
            <w:r w:rsidR="00233C16">
              <w:rPr>
                <w:rFonts w:ascii="仿宋" w:eastAsia="仿宋" w:hAnsi="仿宋"/>
                <w:sz w:val="28"/>
                <w:szCs w:val="28"/>
              </w:rPr>
              <w:t>12</w:t>
            </w:r>
            <w:r w:rsidR="00233C16">
              <w:rPr>
                <w:rFonts w:ascii="仿宋" w:eastAsia="仿宋" w:hAnsi="仿宋"/>
                <w:sz w:val="28"/>
                <w:szCs w:val="28"/>
              </w:rPr>
              <w:fldChar w:fldCharType="end"/>
            </w:r>
          </w:hyperlink>
        </w:p>
        <w:p w:rsidR="00B47667" w:rsidRDefault="00632BA5">
          <w:pPr>
            <w:pStyle w:val="20"/>
            <w:tabs>
              <w:tab w:val="right" w:leader="dot" w:pos="8296"/>
            </w:tabs>
            <w:spacing w:line="520" w:lineRule="exact"/>
            <w:rPr>
              <w:rFonts w:ascii="仿宋" w:eastAsia="仿宋" w:hAnsi="仿宋" w:cstheme="minorBidi"/>
              <w:sz w:val="28"/>
              <w:szCs w:val="28"/>
            </w:rPr>
          </w:pPr>
          <w:hyperlink w:anchor="_Toc201654643" w:history="1">
            <w:r w:rsidR="00233C16">
              <w:rPr>
                <w:rStyle w:val="a7"/>
                <w:rFonts w:ascii="仿宋" w:eastAsia="仿宋" w:hAnsi="仿宋" w:cs="黑体" w:hint="eastAsia"/>
                <w:sz w:val="28"/>
                <w:szCs w:val="28"/>
              </w:rPr>
              <w:t>（一）稳蔬菜供应、保民生之基，多元化发展走农文旅融合新路</w:t>
            </w:r>
            <w:r w:rsidR="00233C16">
              <w:rPr>
                <w:rFonts w:ascii="仿宋" w:eastAsia="仿宋" w:hAnsi="仿宋"/>
                <w:sz w:val="28"/>
                <w:szCs w:val="28"/>
              </w:rPr>
              <w:tab/>
            </w:r>
            <w:r w:rsidR="00233C16">
              <w:rPr>
                <w:rFonts w:ascii="仿宋" w:eastAsia="仿宋" w:hAnsi="仿宋"/>
                <w:sz w:val="28"/>
                <w:szCs w:val="28"/>
              </w:rPr>
              <w:fldChar w:fldCharType="begin"/>
            </w:r>
            <w:r w:rsidR="00233C16">
              <w:rPr>
                <w:rFonts w:ascii="仿宋" w:eastAsia="仿宋" w:hAnsi="仿宋"/>
                <w:sz w:val="28"/>
                <w:szCs w:val="28"/>
              </w:rPr>
              <w:instrText xml:space="preserve"> PAGEREF _Toc201654643 \h </w:instrText>
            </w:r>
            <w:r w:rsidR="00233C16">
              <w:rPr>
                <w:rFonts w:ascii="仿宋" w:eastAsia="仿宋" w:hAnsi="仿宋"/>
                <w:sz w:val="28"/>
                <w:szCs w:val="28"/>
              </w:rPr>
            </w:r>
            <w:r w:rsidR="00233C16">
              <w:rPr>
                <w:rFonts w:ascii="仿宋" w:eastAsia="仿宋" w:hAnsi="仿宋"/>
                <w:sz w:val="28"/>
                <w:szCs w:val="28"/>
              </w:rPr>
              <w:fldChar w:fldCharType="separate"/>
            </w:r>
            <w:r w:rsidR="00233C16">
              <w:rPr>
                <w:rFonts w:ascii="仿宋" w:eastAsia="仿宋" w:hAnsi="仿宋"/>
                <w:sz w:val="28"/>
                <w:szCs w:val="28"/>
              </w:rPr>
              <w:t>12</w:t>
            </w:r>
            <w:r w:rsidR="00233C16">
              <w:rPr>
                <w:rFonts w:ascii="仿宋" w:eastAsia="仿宋" w:hAnsi="仿宋"/>
                <w:sz w:val="28"/>
                <w:szCs w:val="28"/>
              </w:rPr>
              <w:fldChar w:fldCharType="end"/>
            </w:r>
          </w:hyperlink>
        </w:p>
        <w:p w:rsidR="00B47667" w:rsidRDefault="00632BA5">
          <w:pPr>
            <w:pStyle w:val="20"/>
            <w:tabs>
              <w:tab w:val="right" w:leader="dot" w:pos="8296"/>
            </w:tabs>
            <w:spacing w:line="520" w:lineRule="exact"/>
            <w:rPr>
              <w:rFonts w:ascii="仿宋" w:eastAsia="仿宋" w:hAnsi="仿宋" w:cstheme="minorBidi"/>
              <w:sz w:val="28"/>
              <w:szCs w:val="28"/>
            </w:rPr>
          </w:pPr>
          <w:hyperlink w:anchor="_Toc201654644" w:history="1">
            <w:r w:rsidR="00233C16">
              <w:rPr>
                <w:rStyle w:val="a7"/>
                <w:rFonts w:ascii="仿宋" w:eastAsia="仿宋" w:hAnsi="仿宋" w:cs="黑体" w:hint="eastAsia"/>
                <w:sz w:val="28"/>
                <w:szCs w:val="28"/>
              </w:rPr>
              <w:t>（二）科技赋能农业，引领现代种植新路径</w:t>
            </w:r>
            <w:r w:rsidR="00233C16">
              <w:rPr>
                <w:rFonts w:ascii="仿宋" w:eastAsia="仿宋" w:hAnsi="仿宋"/>
                <w:sz w:val="28"/>
                <w:szCs w:val="28"/>
              </w:rPr>
              <w:tab/>
            </w:r>
            <w:r w:rsidR="00233C16">
              <w:rPr>
                <w:rFonts w:ascii="仿宋" w:eastAsia="仿宋" w:hAnsi="仿宋"/>
                <w:sz w:val="28"/>
                <w:szCs w:val="28"/>
              </w:rPr>
              <w:fldChar w:fldCharType="begin"/>
            </w:r>
            <w:r w:rsidR="00233C16">
              <w:rPr>
                <w:rFonts w:ascii="仿宋" w:eastAsia="仿宋" w:hAnsi="仿宋"/>
                <w:sz w:val="28"/>
                <w:szCs w:val="28"/>
              </w:rPr>
              <w:instrText xml:space="preserve"> PAGEREF _Toc201654644 \h </w:instrText>
            </w:r>
            <w:r w:rsidR="00233C16">
              <w:rPr>
                <w:rFonts w:ascii="仿宋" w:eastAsia="仿宋" w:hAnsi="仿宋"/>
                <w:sz w:val="28"/>
                <w:szCs w:val="28"/>
              </w:rPr>
            </w:r>
            <w:r w:rsidR="00233C16">
              <w:rPr>
                <w:rFonts w:ascii="仿宋" w:eastAsia="仿宋" w:hAnsi="仿宋"/>
                <w:sz w:val="28"/>
                <w:szCs w:val="28"/>
              </w:rPr>
              <w:fldChar w:fldCharType="separate"/>
            </w:r>
            <w:r w:rsidR="00233C16">
              <w:rPr>
                <w:rFonts w:ascii="仿宋" w:eastAsia="仿宋" w:hAnsi="仿宋"/>
                <w:sz w:val="28"/>
                <w:szCs w:val="28"/>
              </w:rPr>
              <w:t>12</w:t>
            </w:r>
            <w:r w:rsidR="00233C16">
              <w:rPr>
                <w:rFonts w:ascii="仿宋" w:eastAsia="仿宋" w:hAnsi="仿宋"/>
                <w:sz w:val="28"/>
                <w:szCs w:val="28"/>
              </w:rPr>
              <w:fldChar w:fldCharType="end"/>
            </w:r>
          </w:hyperlink>
        </w:p>
        <w:p w:rsidR="00B47667" w:rsidRDefault="00632BA5">
          <w:pPr>
            <w:pStyle w:val="20"/>
            <w:tabs>
              <w:tab w:val="right" w:leader="dot" w:pos="8296"/>
            </w:tabs>
            <w:spacing w:line="520" w:lineRule="exact"/>
            <w:rPr>
              <w:rFonts w:ascii="仿宋" w:eastAsia="仿宋" w:hAnsi="仿宋" w:cstheme="minorBidi"/>
              <w:sz w:val="28"/>
              <w:szCs w:val="28"/>
            </w:rPr>
          </w:pPr>
          <w:hyperlink w:anchor="_Toc201654645" w:history="1">
            <w:r w:rsidR="00233C16">
              <w:rPr>
                <w:rStyle w:val="a7"/>
                <w:rFonts w:ascii="仿宋" w:eastAsia="仿宋" w:hAnsi="仿宋" w:cs="黑体" w:hint="eastAsia"/>
                <w:sz w:val="28"/>
                <w:szCs w:val="28"/>
              </w:rPr>
              <w:t>（三）提高人民群众的生活获得感与社会满意度</w:t>
            </w:r>
            <w:r w:rsidR="00233C16">
              <w:rPr>
                <w:rFonts w:ascii="仿宋" w:eastAsia="仿宋" w:hAnsi="仿宋"/>
                <w:sz w:val="28"/>
                <w:szCs w:val="28"/>
              </w:rPr>
              <w:tab/>
            </w:r>
            <w:r w:rsidR="00233C16">
              <w:rPr>
                <w:rFonts w:ascii="仿宋" w:eastAsia="仿宋" w:hAnsi="仿宋"/>
                <w:sz w:val="28"/>
                <w:szCs w:val="28"/>
              </w:rPr>
              <w:fldChar w:fldCharType="begin"/>
            </w:r>
            <w:r w:rsidR="00233C16">
              <w:rPr>
                <w:rFonts w:ascii="仿宋" w:eastAsia="仿宋" w:hAnsi="仿宋"/>
                <w:sz w:val="28"/>
                <w:szCs w:val="28"/>
              </w:rPr>
              <w:instrText xml:space="preserve"> PAGEREF _Toc201654645 \h </w:instrText>
            </w:r>
            <w:r w:rsidR="00233C16">
              <w:rPr>
                <w:rFonts w:ascii="仿宋" w:eastAsia="仿宋" w:hAnsi="仿宋"/>
                <w:sz w:val="28"/>
                <w:szCs w:val="28"/>
              </w:rPr>
            </w:r>
            <w:r w:rsidR="00233C16">
              <w:rPr>
                <w:rFonts w:ascii="仿宋" w:eastAsia="仿宋" w:hAnsi="仿宋"/>
                <w:sz w:val="28"/>
                <w:szCs w:val="28"/>
              </w:rPr>
              <w:fldChar w:fldCharType="separate"/>
            </w:r>
            <w:r w:rsidR="00233C16">
              <w:rPr>
                <w:rFonts w:ascii="仿宋" w:eastAsia="仿宋" w:hAnsi="仿宋"/>
                <w:sz w:val="28"/>
                <w:szCs w:val="28"/>
              </w:rPr>
              <w:t>13</w:t>
            </w:r>
            <w:r w:rsidR="00233C16">
              <w:rPr>
                <w:rFonts w:ascii="仿宋" w:eastAsia="仿宋" w:hAnsi="仿宋"/>
                <w:sz w:val="28"/>
                <w:szCs w:val="28"/>
              </w:rPr>
              <w:fldChar w:fldCharType="end"/>
            </w:r>
          </w:hyperlink>
        </w:p>
        <w:p w:rsidR="00B47667" w:rsidRDefault="00632BA5">
          <w:pPr>
            <w:pStyle w:val="10"/>
            <w:tabs>
              <w:tab w:val="right" w:leader="dot" w:pos="8296"/>
            </w:tabs>
            <w:spacing w:line="520" w:lineRule="exact"/>
            <w:rPr>
              <w:rFonts w:ascii="仿宋" w:eastAsia="仿宋" w:hAnsi="仿宋" w:cstheme="minorBidi"/>
              <w:sz w:val="28"/>
              <w:szCs w:val="28"/>
            </w:rPr>
          </w:pPr>
          <w:hyperlink w:anchor="_Toc201654646" w:history="1">
            <w:r w:rsidR="00233C16">
              <w:rPr>
                <w:rStyle w:val="a7"/>
                <w:rFonts w:ascii="仿宋" w:eastAsia="仿宋" w:hAnsi="仿宋" w:cs="黑体" w:hint="eastAsia"/>
                <w:sz w:val="28"/>
                <w:szCs w:val="28"/>
              </w:rPr>
              <w:t>四、存在问题</w:t>
            </w:r>
            <w:r w:rsidR="00233C16">
              <w:rPr>
                <w:rFonts w:ascii="仿宋" w:eastAsia="仿宋" w:hAnsi="仿宋"/>
                <w:sz w:val="28"/>
                <w:szCs w:val="28"/>
              </w:rPr>
              <w:tab/>
            </w:r>
            <w:r w:rsidR="00233C16">
              <w:rPr>
                <w:rFonts w:ascii="仿宋" w:eastAsia="仿宋" w:hAnsi="仿宋"/>
                <w:sz w:val="28"/>
                <w:szCs w:val="28"/>
              </w:rPr>
              <w:fldChar w:fldCharType="begin"/>
            </w:r>
            <w:r w:rsidR="00233C16">
              <w:rPr>
                <w:rFonts w:ascii="仿宋" w:eastAsia="仿宋" w:hAnsi="仿宋"/>
                <w:sz w:val="28"/>
                <w:szCs w:val="28"/>
              </w:rPr>
              <w:instrText xml:space="preserve"> PAGEREF _Toc201654646 \h </w:instrText>
            </w:r>
            <w:r w:rsidR="00233C16">
              <w:rPr>
                <w:rFonts w:ascii="仿宋" w:eastAsia="仿宋" w:hAnsi="仿宋"/>
                <w:sz w:val="28"/>
                <w:szCs w:val="28"/>
              </w:rPr>
            </w:r>
            <w:r w:rsidR="00233C16">
              <w:rPr>
                <w:rFonts w:ascii="仿宋" w:eastAsia="仿宋" w:hAnsi="仿宋"/>
                <w:sz w:val="28"/>
                <w:szCs w:val="28"/>
              </w:rPr>
              <w:fldChar w:fldCharType="separate"/>
            </w:r>
            <w:r w:rsidR="00233C16">
              <w:rPr>
                <w:rFonts w:ascii="仿宋" w:eastAsia="仿宋" w:hAnsi="仿宋"/>
                <w:sz w:val="28"/>
                <w:szCs w:val="28"/>
              </w:rPr>
              <w:t>13</w:t>
            </w:r>
            <w:r w:rsidR="00233C16">
              <w:rPr>
                <w:rFonts w:ascii="仿宋" w:eastAsia="仿宋" w:hAnsi="仿宋"/>
                <w:sz w:val="28"/>
                <w:szCs w:val="28"/>
              </w:rPr>
              <w:fldChar w:fldCharType="end"/>
            </w:r>
          </w:hyperlink>
        </w:p>
        <w:p w:rsidR="00B47667" w:rsidRDefault="00632BA5">
          <w:pPr>
            <w:pStyle w:val="20"/>
            <w:tabs>
              <w:tab w:val="right" w:leader="dot" w:pos="8296"/>
            </w:tabs>
            <w:spacing w:line="520" w:lineRule="exact"/>
            <w:rPr>
              <w:rFonts w:ascii="仿宋" w:eastAsia="仿宋" w:hAnsi="仿宋" w:cstheme="minorBidi"/>
              <w:sz w:val="28"/>
              <w:szCs w:val="28"/>
            </w:rPr>
          </w:pPr>
          <w:hyperlink w:anchor="_Toc201654647" w:history="1">
            <w:r w:rsidR="00233C16">
              <w:rPr>
                <w:rStyle w:val="a7"/>
                <w:rFonts w:ascii="仿宋" w:eastAsia="仿宋" w:hAnsi="仿宋" w:cs="黑体" w:hint="eastAsia"/>
                <w:sz w:val="28"/>
                <w:szCs w:val="28"/>
              </w:rPr>
              <w:t>（一）项目验收不及时、资金执行率偏低</w:t>
            </w:r>
            <w:r w:rsidR="00233C16">
              <w:rPr>
                <w:rFonts w:ascii="仿宋" w:eastAsia="仿宋" w:hAnsi="仿宋"/>
                <w:sz w:val="28"/>
                <w:szCs w:val="28"/>
              </w:rPr>
              <w:tab/>
            </w:r>
            <w:r w:rsidR="00233C16">
              <w:rPr>
                <w:rFonts w:ascii="仿宋" w:eastAsia="仿宋" w:hAnsi="仿宋"/>
                <w:sz w:val="28"/>
                <w:szCs w:val="28"/>
              </w:rPr>
              <w:fldChar w:fldCharType="begin"/>
            </w:r>
            <w:r w:rsidR="00233C16">
              <w:rPr>
                <w:rFonts w:ascii="仿宋" w:eastAsia="仿宋" w:hAnsi="仿宋"/>
                <w:sz w:val="28"/>
                <w:szCs w:val="28"/>
              </w:rPr>
              <w:instrText xml:space="preserve"> PAGEREF _Toc201654647 \h </w:instrText>
            </w:r>
            <w:r w:rsidR="00233C16">
              <w:rPr>
                <w:rFonts w:ascii="仿宋" w:eastAsia="仿宋" w:hAnsi="仿宋"/>
                <w:sz w:val="28"/>
                <w:szCs w:val="28"/>
              </w:rPr>
            </w:r>
            <w:r w:rsidR="00233C16">
              <w:rPr>
                <w:rFonts w:ascii="仿宋" w:eastAsia="仿宋" w:hAnsi="仿宋"/>
                <w:sz w:val="28"/>
                <w:szCs w:val="28"/>
              </w:rPr>
              <w:fldChar w:fldCharType="separate"/>
            </w:r>
            <w:r w:rsidR="00233C16">
              <w:rPr>
                <w:rFonts w:ascii="仿宋" w:eastAsia="仿宋" w:hAnsi="仿宋"/>
                <w:sz w:val="28"/>
                <w:szCs w:val="28"/>
              </w:rPr>
              <w:t>13</w:t>
            </w:r>
            <w:r w:rsidR="00233C16">
              <w:rPr>
                <w:rFonts w:ascii="仿宋" w:eastAsia="仿宋" w:hAnsi="仿宋"/>
                <w:sz w:val="28"/>
                <w:szCs w:val="28"/>
              </w:rPr>
              <w:fldChar w:fldCharType="end"/>
            </w:r>
          </w:hyperlink>
        </w:p>
        <w:p w:rsidR="00B47667" w:rsidRDefault="00632BA5">
          <w:pPr>
            <w:pStyle w:val="20"/>
            <w:tabs>
              <w:tab w:val="right" w:leader="dot" w:pos="8296"/>
            </w:tabs>
            <w:spacing w:line="520" w:lineRule="exact"/>
            <w:rPr>
              <w:rFonts w:ascii="仿宋" w:eastAsia="仿宋" w:hAnsi="仿宋" w:cstheme="minorBidi"/>
              <w:sz w:val="28"/>
              <w:szCs w:val="28"/>
            </w:rPr>
          </w:pPr>
          <w:hyperlink w:anchor="_Toc201654648" w:history="1">
            <w:r w:rsidR="00233C16">
              <w:rPr>
                <w:rStyle w:val="a7"/>
                <w:rFonts w:ascii="仿宋" w:eastAsia="仿宋" w:hAnsi="仿宋" w:cs="黑体" w:hint="eastAsia"/>
                <w:sz w:val="28"/>
                <w:szCs w:val="28"/>
              </w:rPr>
              <w:t>（二）部分项目取消终止</w:t>
            </w:r>
            <w:r w:rsidR="00233C16">
              <w:rPr>
                <w:rFonts w:ascii="仿宋" w:eastAsia="仿宋" w:hAnsi="仿宋"/>
                <w:sz w:val="28"/>
                <w:szCs w:val="28"/>
              </w:rPr>
              <w:tab/>
            </w:r>
            <w:r w:rsidR="00233C16">
              <w:rPr>
                <w:rFonts w:ascii="仿宋" w:eastAsia="仿宋" w:hAnsi="仿宋"/>
                <w:sz w:val="28"/>
                <w:szCs w:val="28"/>
              </w:rPr>
              <w:fldChar w:fldCharType="begin"/>
            </w:r>
            <w:r w:rsidR="00233C16">
              <w:rPr>
                <w:rFonts w:ascii="仿宋" w:eastAsia="仿宋" w:hAnsi="仿宋"/>
                <w:sz w:val="28"/>
                <w:szCs w:val="28"/>
              </w:rPr>
              <w:instrText xml:space="preserve"> PAGEREF _Toc201654648 \h </w:instrText>
            </w:r>
            <w:r w:rsidR="00233C16">
              <w:rPr>
                <w:rFonts w:ascii="仿宋" w:eastAsia="仿宋" w:hAnsi="仿宋"/>
                <w:sz w:val="28"/>
                <w:szCs w:val="28"/>
              </w:rPr>
            </w:r>
            <w:r w:rsidR="00233C16">
              <w:rPr>
                <w:rFonts w:ascii="仿宋" w:eastAsia="仿宋" w:hAnsi="仿宋"/>
                <w:sz w:val="28"/>
                <w:szCs w:val="28"/>
              </w:rPr>
              <w:fldChar w:fldCharType="separate"/>
            </w:r>
            <w:r w:rsidR="00233C16">
              <w:rPr>
                <w:rFonts w:ascii="仿宋" w:eastAsia="仿宋" w:hAnsi="仿宋"/>
                <w:sz w:val="28"/>
                <w:szCs w:val="28"/>
              </w:rPr>
              <w:t>14</w:t>
            </w:r>
            <w:r w:rsidR="00233C16">
              <w:rPr>
                <w:rFonts w:ascii="仿宋" w:eastAsia="仿宋" w:hAnsi="仿宋"/>
                <w:sz w:val="28"/>
                <w:szCs w:val="28"/>
              </w:rPr>
              <w:fldChar w:fldCharType="end"/>
            </w:r>
          </w:hyperlink>
        </w:p>
        <w:p w:rsidR="00B47667" w:rsidRDefault="00632BA5">
          <w:pPr>
            <w:pStyle w:val="20"/>
            <w:tabs>
              <w:tab w:val="right" w:leader="dot" w:pos="8296"/>
            </w:tabs>
            <w:spacing w:line="520" w:lineRule="exact"/>
            <w:rPr>
              <w:rFonts w:ascii="仿宋" w:eastAsia="仿宋" w:hAnsi="仿宋" w:cstheme="minorBidi"/>
              <w:sz w:val="28"/>
              <w:szCs w:val="28"/>
            </w:rPr>
          </w:pPr>
          <w:hyperlink w:anchor="_Toc201654649" w:history="1">
            <w:r w:rsidR="00233C16">
              <w:rPr>
                <w:rStyle w:val="a7"/>
                <w:rFonts w:ascii="仿宋" w:eastAsia="仿宋" w:hAnsi="仿宋" w:cs="黑体" w:hint="eastAsia"/>
                <w:sz w:val="28"/>
                <w:szCs w:val="28"/>
              </w:rPr>
              <w:t>（三）部分项目建设内容未按照批复内容与数量实施、部分绿色防控物资剩余较多、未使用或尚未到货</w:t>
            </w:r>
            <w:r w:rsidR="00233C16">
              <w:rPr>
                <w:rFonts w:ascii="仿宋" w:eastAsia="仿宋" w:hAnsi="仿宋"/>
                <w:sz w:val="28"/>
                <w:szCs w:val="28"/>
              </w:rPr>
              <w:tab/>
            </w:r>
            <w:r w:rsidR="00233C16">
              <w:rPr>
                <w:rFonts w:ascii="仿宋" w:eastAsia="仿宋" w:hAnsi="仿宋"/>
                <w:sz w:val="28"/>
                <w:szCs w:val="28"/>
              </w:rPr>
              <w:fldChar w:fldCharType="begin"/>
            </w:r>
            <w:r w:rsidR="00233C16">
              <w:rPr>
                <w:rFonts w:ascii="仿宋" w:eastAsia="仿宋" w:hAnsi="仿宋"/>
                <w:sz w:val="28"/>
                <w:szCs w:val="28"/>
              </w:rPr>
              <w:instrText xml:space="preserve"> PAGEREF _Toc201654649 \h </w:instrText>
            </w:r>
            <w:r w:rsidR="00233C16">
              <w:rPr>
                <w:rFonts w:ascii="仿宋" w:eastAsia="仿宋" w:hAnsi="仿宋"/>
                <w:sz w:val="28"/>
                <w:szCs w:val="28"/>
              </w:rPr>
            </w:r>
            <w:r w:rsidR="00233C16">
              <w:rPr>
                <w:rFonts w:ascii="仿宋" w:eastAsia="仿宋" w:hAnsi="仿宋"/>
                <w:sz w:val="28"/>
                <w:szCs w:val="28"/>
              </w:rPr>
              <w:fldChar w:fldCharType="separate"/>
            </w:r>
            <w:r w:rsidR="00233C16">
              <w:rPr>
                <w:rFonts w:ascii="仿宋" w:eastAsia="仿宋" w:hAnsi="仿宋"/>
                <w:sz w:val="28"/>
                <w:szCs w:val="28"/>
              </w:rPr>
              <w:t>15</w:t>
            </w:r>
            <w:r w:rsidR="00233C16">
              <w:rPr>
                <w:rFonts w:ascii="仿宋" w:eastAsia="仿宋" w:hAnsi="仿宋"/>
                <w:sz w:val="28"/>
                <w:szCs w:val="28"/>
              </w:rPr>
              <w:fldChar w:fldCharType="end"/>
            </w:r>
          </w:hyperlink>
        </w:p>
        <w:p w:rsidR="00B47667" w:rsidRDefault="00632BA5">
          <w:pPr>
            <w:pStyle w:val="10"/>
            <w:tabs>
              <w:tab w:val="right" w:leader="dot" w:pos="8296"/>
            </w:tabs>
            <w:spacing w:line="520" w:lineRule="exact"/>
            <w:rPr>
              <w:rFonts w:ascii="仿宋" w:eastAsia="仿宋" w:hAnsi="仿宋" w:cstheme="minorBidi"/>
              <w:sz w:val="28"/>
              <w:szCs w:val="28"/>
            </w:rPr>
          </w:pPr>
          <w:hyperlink w:anchor="_Toc201654650" w:history="1">
            <w:r w:rsidR="00233C16">
              <w:rPr>
                <w:rStyle w:val="a7"/>
                <w:rFonts w:ascii="仿宋" w:eastAsia="仿宋" w:hAnsi="仿宋" w:cs="黑体" w:hint="eastAsia"/>
                <w:sz w:val="28"/>
                <w:szCs w:val="28"/>
              </w:rPr>
              <w:t>五、评价建议</w:t>
            </w:r>
            <w:r w:rsidR="00233C16">
              <w:rPr>
                <w:rFonts w:ascii="仿宋" w:eastAsia="仿宋" w:hAnsi="仿宋"/>
                <w:sz w:val="28"/>
                <w:szCs w:val="28"/>
              </w:rPr>
              <w:tab/>
            </w:r>
            <w:r w:rsidR="00233C16">
              <w:rPr>
                <w:rFonts w:ascii="仿宋" w:eastAsia="仿宋" w:hAnsi="仿宋"/>
                <w:sz w:val="28"/>
                <w:szCs w:val="28"/>
              </w:rPr>
              <w:fldChar w:fldCharType="begin"/>
            </w:r>
            <w:r w:rsidR="00233C16">
              <w:rPr>
                <w:rFonts w:ascii="仿宋" w:eastAsia="仿宋" w:hAnsi="仿宋"/>
                <w:sz w:val="28"/>
                <w:szCs w:val="28"/>
              </w:rPr>
              <w:instrText xml:space="preserve"> PAGEREF _Toc201654650 \h </w:instrText>
            </w:r>
            <w:r w:rsidR="00233C16">
              <w:rPr>
                <w:rFonts w:ascii="仿宋" w:eastAsia="仿宋" w:hAnsi="仿宋"/>
                <w:sz w:val="28"/>
                <w:szCs w:val="28"/>
              </w:rPr>
            </w:r>
            <w:r w:rsidR="00233C16">
              <w:rPr>
                <w:rFonts w:ascii="仿宋" w:eastAsia="仿宋" w:hAnsi="仿宋"/>
                <w:sz w:val="28"/>
                <w:szCs w:val="28"/>
              </w:rPr>
              <w:fldChar w:fldCharType="separate"/>
            </w:r>
            <w:r w:rsidR="00233C16">
              <w:rPr>
                <w:rFonts w:ascii="仿宋" w:eastAsia="仿宋" w:hAnsi="仿宋"/>
                <w:sz w:val="28"/>
                <w:szCs w:val="28"/>
              </w:rPr>
              <w:t>16</w:t>
            </w:r>
            <w:r w:rsidR="00233C16">
              <w:rPr>
                <w:rFonts w:ascii="仿宋" w:eastAsia="仿宋" w:hAnsi="仿宋"/>
                <w:sz w:val="28"/>
                <w:szCs w:val="28"/>
              </w:rPr>
              <w:fldChar w:fldCharType="end"/>
            </w:r>
          </w:hyperlink>
        </w:p>
        <w:p w:rsidR="00B47667" w:rsidRDefault="00632BA5">
          <w:pPr>
            <w:pStyle w:val="20"/>
            <w:tabs>
              <w:tab w:val="right" w:leader="dot" w:pos="8296"/>
            </w:tabs>
            <w:spacing w:line="520" w:lineRule="exact"/>
            <w:rPr>
              <w:rFonts w:ascii="仿宋" w:eastAsia="仿宋" w:hAnsi="仿宋" w:cstheme="minorBidi"/>
              <w:sz w:val="28"/>
              <w:szCs w:val="28"/>
            </w:rPr>
          </w:pPr>
          <w:hyperlink w:anchor="_Toc201654651" w:history="1">
            <w:r w:rsidR="00233C16">
              <w:rPr>
                <w:rStyle w:val="a7"/>
                <w:rFonts w:ascii="仿宋" w:eastAsia="仿宋" w:hAnsi="仿宋" w:cs="黑体" w:hint="eastAsia"/>
                <w:sz w:val="28"/>
                <w:szCs w:val="28"/>
              </w:rPr>
              <w:t>（一）加强项目全流程管理，加快项目实施进度</w:t>
            </w:r>
            <w:r w:rsidR="00233C16">
              <w:rPr>
                <w:rFonts w:ascii="仿宋" w:eastAsia="仿宋" w:hAnsi="仿宋"/>
                <w:sz w:val="28"/>
                <w:szCs w:val="28"/>
              </w:rPr>
              <w:tab/>
            </w:r>
            <w:r w:rsidR="00233C16">
              <w:rPr>
                <w:rFonts w:ascii="仿宋" w:eastAsia="仿宋" w:hAnsi="仿宋"/>
                <w:sz w:val="28"/>
                <w:szCs w:val="28"/>
              </w:rPr>
              <w:fldChar w:fldCharType="begin"/>
            </w:r>
            <w:r w:rsidR="00233C16">
              <w:rPr>
                <w:rFonts w:ascii="仿宋" w:eastAsia="仿宋" w:hAnsi="仿宋"/>
                <w:sz w:val="28"/>
                <w:szCs w:val="28"/>
              </w:rPr>
              <w:instrText xml:space="preserve"> PAGEREF _Toc201654651 \h </w:instrText>
            </w:r>
            <w:r w:rsidR="00233C16">
              <w:rPr>
                <w:rFonts w:ascii="仿宋" w:eastAsia="仿宋" w:hAnsi="仿宋"/>
                <w:sz w:val="28"/>
                <w:szCs w:val="28"/>
              </w:rPr>
            </w:r>
            <w:r w:rsidR="00233C16">
              <w:rPr>
                <w:rFonts w:ascii="仿宋" w:eastAsia="仿宋" w:hAnsi="仿宋"/>
                <w:sz w:val="28"/>
                <w:szCs w:val="28"/>
              </w:rPr>
              <w:fldChar w:fldCharType="separate"/>
            </w:r>
            <w:r w:rsidR="00233C16">
              <w:rPr>
                <w:rFonts w:ascii="仿宋" w:eastAsia="仿宋" w:hAnsi="仿宋"/>
                <w:sz w:val="28"/>
                <w:szCs w:val="28"/>
              </w:rPr>
              <w:t>16</w:t>
            </w:r>
            <w:r w:rsidR="00233C16">
              <w:rPr>
                <w:rFonts w:ascii="仿宋" w:eastAsia="仿宋" w:hAnsi="仿宋"/>
                <w:sz w:val="28"/>
                <w:szCs w:val="28"/>
              </w:rPr>
              <w:fldChar w:fldCharType="end"/>
            </w:r>
          </w:hyperlink>
        </w:p>
        <w:p w:rsidR="00B47667" w:rsidRDefault="00632BA5">
          <w:pPr>
            <w:pStyle w:val="20"/>
            <w:tabs>
              <w:tab w:val="right" w:leader="dot" w:pos="8296"/>
            </w:tabs>
            <w:spacing w:line="520" w:lineRule="exact"/>
            <w:rPr>
              <w:rFonts w:ascii="仿宋" w:eastAsia="仿宋" w:hAnsi="仿宋" w:cstheme="minorBidi"/>
              <w:sz w:val="28"/>
              <w:szCs w:val="28"/>
            </w:rPr>
          </w:pPr>
          <w:hyperlink w:anchor="_Toc201654652" w:history="1">
            <w:r w:rsidR="00233C16">
              <w:rPr>
                <w:rStyle w:val="a7"/>
                <w:rFonts w:ascii="仿宋" w:eastAsia="仿宋" w:hAnsi="仿宋" w:cs="黑体" w:hint="eastAsia"/>
                <w:sz w:val="28"/>
                <w:szCs w:val="28"/>
              </w:rPr>
              <w:t>（二）合理分配项目资金，全面了解实施主体经营状况</w:t>
            </w:r>
            <w:r w:rsidR="00233C16">
              <w:rPr>
                <w:rFonts w:ascii="仿宋" w:eastAsia="仿宋" w:hAnsi="仿宋"/>
                <w:sz w:val="28"/>
                <w:szCs w:val="28"/>
              </w:rPr>
              <w:tab/>
            </w:r>
            <w:r w:rsidR="00233C16">
              <w:rPr>
                <w:rFonts w:ascii="仿宋" w:eastAsia="仿宋" w:hAnsi="仿宋"/>
                <w:sz w:val="28"/>
                <w:szCs w:val="28"/>
              </w:rPr>
              <w:fldChar w:fldCharType="begin"/>
            </w:r>
            <w:r w:rsidR="00233C16">
              <w:rPr>
                <w:rFonts w:ascii="仿宋" w:eastAsia="仿宋" w:hAnsi="仿宋"/>
                <w:sz w:val="28"/>
                <w:szCs w:val="28"/>
              </w:rPr>
              <w:instrText xml:space="preserve"> PAGEREF _Toc201654652 \h </w:instrText>
            </w:r>
            <w:r w:rsidR="00233C16">
              <w:rPr>
                <w:rFonts w:ascii="仿宋" w:eastAsia="仿宋" w:hAnsi="仿宋"/>
                <w:sz w:val="28"/>
                <w:szCs w:val="28"/>
              </w:rPr>
            </w:r>
            <w:r w:rsidR="00233C16">
              <w:rPr>
                <w:rFonts w:ascii="仿宋" w:eastAsia="仿宋" w:hAnsi="仿宋"/>
                <w:sz w:val="28"/>
                <w:szCs w:val="28"/>
              </w:rPr>
              <w:fldChar w:fldCharType="separate"/>
            </w:r>
            <w:r w:rsidR="00233C16">
              <w:rPr>
                <w:rFonts w:ascii="仿宋" w:eastAsia="仿宋" w:hAnsi="仿宋"/>
                <w:sz w:val="28"/>
                <w:szCs w:val="28"/>
              </w:rPr>
              <w:t>16</w:t>
            </w:r>
            <w:r w:rsidR="00233C16">
              <w:rPr>
                <w:rFonts w:ascii="仿宋" w:eastAsia="仿宋" w:hAnsi="仿宋"/>
                <w:sz w:val="28"/>
                <w:szCs w:val="28"/>
              </w:rPr>
              <w:fldChar w:fldCharType="end"/>
            </w:r>
          </w:hyperlink>
        </w:p>
        <w:p w:rsidR="00B47667" w:rsidRDefault="00632BA5">
          <w:pPr>
            <w:pStyle w:val="20"/>
            <w:tabs>
              <w:tab w:val="right" w:leader="dot" w:pos="8296"/>
            </w:tabs>
            <w:spacing w:line="520" w:lineRule="exact"/>
            <w:rPr>
              <w:rFonts w:asciiTheme="minorHAnsi" w:eastAsiaTheme="minorEastAsia" w:hAnsiTheme="minorHAnsi" w:cstheme="minorBidi"/>
            </w:rPr>
          </w:pPr>
          <w:hyperlink w:anchor="_Toc201654653" w:history="1">
            <w:r w:rsidR="00233C16">
              <w:rPr>
                <w:rStyle w:val="a7"/>
                <w:rFonts w:ascii="仿宋" w:eastAsia="仿宋" w:hAnsi="仿宋" w:cs="黑体" w:hint="eastAsia"/>
                <w:sz w:val="28"/>
                <w:szCs w:val="28"/>
              </w:rPr>
              <w:t>（三）加强项目监督，保障项目内容按质完成</w:t>
            </w:r>
            <w:r w:rsidR="00233C16">
              <w:rPr>
                <w:rFonts w:ascii="仿宋" w:eastAsia="仿宋" w:hAnsi="仿宋"/>
                <w:sz w:val="28"/>
                <w:szCs w:val="28"/>
              </w:rPr>
              <w:tab/>
            </w:r>
            <w:r w:rsidR="00233C16">
              <w:rPr>
                <w:rFonts w:ascii="仿宋" w:eastAsia="仿宋" w:hAnsi="仿宋"/>
                <w:sz w:val="28"/>
                <w:szCs w:val="28"/>
              </w:rPr>
              <w:fldChar w:fldCharType="begin"/>
            </w:r>
            <w:r w:rsidR="00233C16">
              <w:rPr>
                <w:rFonts w:ascii="仿宋" w:eastAsia="仿宋" w:hAnsi="仿宋"/>
                <w:sz w:val="28"/>
                <w:szCs w:val="28"/>
              </w:rPr>
              <w:instrText xml:space="preserve"> PAGEREF _Toc201654653 \h </w:instrText>
            </w:r>
            <w:r w:rsidR="00233C16">
              <w:rPr>
                <w:rFonts w:ascii="仿宋" w:eastAsia="仿宋" w:hAnsi="仿宋"/>
                <w:sz w:val="28"/>
                <w:szCs w:val="28"/>
              </w:rPr>
            </w:r>
            <w:r w:rsidR="00233C16">
              <w:rPr>
                <w:rFonts w:ascii="仿宋" w:eastAsia="仿宋" w:hAnsi="仿宋"/>
                <w:sz w:val="28"/>
                <w:szCs w:val="28"/>
              </w:rPr>
              <w:fldChar w:fldCharType="separate"/>
            </w:r>
            <w:r w:rsidR="00233C16">
              <w:rPr>
                <w:rFonts w:ascii="仿宋" w:eastAsia="仿宋" w:hAnsi="仿宋"/>
                <w:sz w:val="28"/>
                <w:szCs w:val="28"/>
              </w:rPr>
              <w:t>16</w:t>
            </w:r>
            <w:r w:rsidR="00233C16">
              <w:rPr>
                <w:rFonts w:ascii="仿宋" w:eastAsia="仿宋" w:hAnsi="仿宋"/>
                <w:sz w:val="28"/>
                <w:szCs w:val="28"/>
              </w:rPr>
              <w:fldChar w:fldCharType="end"/>
            </w:r>
          </w:hyperlink>
        </w:p>
        <w:p w:rsidR="00B47667" w:rsidRDefault="00233C16">
          <w:pPr>
            <w:pStyle w:val="20"/>
            <w:tabs>
              <w:tab w:val="right" w:leader="dot" w:pos="8296"/>
            </w:tabs>
            <w:spacing w:line="540" w:lineRule="exact"/>
          </w:pPr>
          <w:r>
            <w:rPr>
              <w:rFonts w:ascii="仿宋" w:eastAsia="仿宋" w:hAnsi="仿宋" w:cs="仿宋" w:hint="eastAsia"/>
              <w:szCs w:val="28"/>
              <w:highlight w:val="yellow"/>
            </w:rPr>
            <w:fldChar w:fldCharType="end"/>
          </w:r>
        </w:p>
      </w:sdtContent>
    </w:sdt>
    <w:p w:rsidR="00B47667" w:rsidRDefault="00B47667">
      <w:pPr>
        <w:spacing w:line="560" w:lineRule="exact"/>
        <w:ind w:firstLineChars="200" w:firstLine="560"/>
        <w:rPr>
          <w:rFonts w:ascii="仿宋" w:eastAsia="仿宋" w:hAnsi="仿宋" w:cs="仿宋"/>
          <w:bCs/>
          <w:kern w:val="0"/>
          <w:sz w:val="28"/>
          <w:szCs w:val="28"/>
        </w:rPr>
        <w:sectPr w:rsidR="00B47667">
          <w:footerReference w:type="default" r:id="rId8"/>
          <w:pgSz w:w="11906" w:h="16838"/>
          <w:pgMar w:top="1440" w:right="1800" w:bottom="1440" w:left="1800" w:header="851" w:footer="992" w:gutter="0"/>
          <w:pgNumType w:start="1"/>
          <w:cols w:space="425"/>
          <w:docGrid w:type="lines" w:linePitch="312"/>
        </w:sectPr>
      </w:pPr>
    </w:p>
    <w:p w:rsidR="00B47667" w:rsidRDefault="00233C16">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lastRenderedPageBreak/>
        <w:t>为进一步推进财政预算科学化、精细化管理，提高财政资金支出合理性、规范性，加强专项资金使用管理，提高财政资金使用效益，根据财政部《财政支出绩效评价管理暂行办法》（财预〔2011〕285 号）、《南京市委、市政府办公厅印发关于进一步完善南京市市级财政专项资金管理工作的意见的通知》（宁委办发〔2014〕2号）、《关于印发2025年南京市市级预算部门（单位）预算绩效管理责任清单的通知》（</w:t>
      </w:r>
      <w:proofErr w:type="gramStart"/>
      <w:r>
        <w:rPr>
          <w:rFonts w:ascii="仿宋" w:eastAsia="仿宋" w:hAnsi="仿宋" w:cs="仿宋" w:hint="eastAsia"/>
          <w:bCs/>
          <w:kern w:val="0"/>
          <w:sz w:val="28"/>
          <w:szCs w:val="28"/>
        </w:rPr>
        <w:t>宁财绩</w:t>
      </w:r>
      <w:proofErr w:type="gramEnd"/>
      <w:r>
        <w:rPr>
          <w:rFonts w:ascii="仿宋" w:eastAsia="仿宋" w:hAnsi="仿宋" w:cs="仿宋" w:hint="eastAsia"/>
          <w:bCs/>
          <w:kern w:val="0"/>
          <w:sz w:val="28"/>
          <w:szCs w:val="28"/>
        </w:rPr>
        <w:t>〔2025〕106号）等文件精神的相关要求，我局对2024年度市级现代蔬菜园艺高质量发展项目专项资金实施情况进行了绩效自评价。在</w:t>
      </w:r>
      <w:proofErr w:type="gramStart"/>
      <w:r>
        <w:rPr>
          <w:rFonts w:ascii="仿宋" w:eastAsia="仿宋" w:hAnsi="仿宋" w:cs="仿宋" w:hint="eastAsia"/>
          <w:bCs/>
          <w:kern w:val="0"/>
          <w:sz w:val="28"/>
          <w:szCs w:val="28"/>
        </w:rPr>
        <w:t>自评价</w:t>
      </w:r>
      <w:proofErr w:type="gramEnd"/>
      <w:r>
        <w:rPr>
          <w:rFonts w:ascii="仿宋" w:eastAsia="仿宋" w:hAnsi="仿宋" w:cs="仿宋" w:hint="eastAsia"/>
          <w:bCs/>
          <w:kern w:val="0"/>
          <w:sz w:val="28"/>
          <w:szCs w:val="28"/>
        </w:rPr>
        <w:t>过程中，结合项目实际情况，委托第三方机构协助实施了数据和资料收集、现场核查、发放调查问卷等必要的评价程序，现将评价情况及结果报告如下：</w:t>
      </w:r>
    </w:p>
    <w:p w:rsidR="00B47667" w:rsidRDefault="00233C16">
      <w:pPr>
        <w:pStyle w:val="1"/>
        <w:spacing w:before="0" w:after="0" w:line="560" w:lineRule="exact"/>
        <w:ind w:firstLineChars="200" w:firstLine="562"/>
        <w:rPr>
          <w:rFonts w:ascii="黑体" w:eastAsia="黑体" w:hAnsi="黑体" w:cs="黑体"/>
          <w:sz w:val="28"/>
          <w:szCs w:val="28"/>
        </w:rPr>
      </w:pPr>
      <w:bookmarkStart w:id="0" w:name="_Toc201654632"/>
      <w:bookmarkStart w:id="1" w:name="_Toc20664"/>
      <w:r>
        <w:rPr>
          <w:rFonts w:ascii="黑体" w:eastAsia="黑体" w:hAnsi="黑体" w:cs="黑体" w:hint="eastAsia"/>
          <w:sz w:val="28"/>
          <w:szCs w:val="28"/>
        </w:rPr>
        <w:t>一、项目概况</w:t>
      </w:r>
      <w:bookmarkEnd w:id="0"/>
      <w:bookmarkEnd w:id="1"/>
    </w:p>
    <w:p w:rsidR="00B47667" w:rsidRDefault="00233C16">
      <w:pPr>
        <w:pStyle w:val="2"/>
        <w:spacing w:before="0" w:after="0" w:line="560" w:lineRule="exact"/>
        <w:ind w:firstLineChars="200" w:firstLine="562"/>
        <w:rPr>
          <w:rFonts w:ascii="黑体" w:hAnsi="黑体" w:cs="黑体"/>
          <w:bCs/>
          <w:sz w:val="28"/>
          <w:szCs w:val="28"/>
        </w:rPr>
      </w:pPr>
      <w:bookmarkStart w:id="2" w:name="_Toc17234"/>
      <w:bookmarkStart w:id="3" w:name="_Toc201654633"/>
      <w:r>
        <w:rPr>
          <w:rFonts w:ascii="黑体" w:hAnsi="黑体" w:cs="黑体" w:hint="eastAsia"/>
          <w:bCs/>
          <w:sz w:val="28"/>
          <w:szCs w:val="28"/>
        </w:rPr>
        <w:t>（一）项目背景</w:t>
      </w:r>
      <w:bookmarkEnd w:id="2"/>
      <w:bookmarkEnd w:id="3"/>
    </w:p>
    <w:p w:rsidR="00B47667" w:rsidRDefault="00233C16">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蔬菜是城乡居民生活必不可少的农产品，也是重要的民生产业，蔬菜稳定生产和设施建设水平等指标是“菜篮子”市长负责制考核的重要部分，目前南京蔬菜园艺实施主体以中小农户为主，存在生产效率低，标准化不足，</w:t>
      </w:r>
      <w:proofErr w:type="gramStart"/>
      <w:r>
        <w:rPr>
          <w:rFonts w:ascii="仿宋" w:eastAsia="仿宋" w:hAnsi="仿宋" w:cs="仿宋" w:hint="eastAsia"/>
          <w:bCs/>
          <w:kern w:val="0"/>
          <w:sz w:val="28"/>
          <w:szCs w:val="28"/>
        </w:rPr>
        <w:t>品牌化弱等</w:t>
      </w:r>
      <w:proofErr w:type="gramEnd"/>
      <w:r>
        <w:rPr>
          <w:rFonts w:ascii="仿宋" w:eastAsia="仿宋" w:hAnsi="仿宋" w:cs="仿宋" w:hint="eastAsia"/>
          <w:bCs/>
          <w:kern w:val="0"/>
          <w:sz w:val="28"/>
          <w:szCs w:val="28"/>
        </w:rPr>
        <w:t>问题，但是消费者对高品质、安全、特色蔬菜的需求日益增长，为满足广大人民群众个性化、多样化、高品质消费需求，近年来，各级政府高度重视“菜篮子”产品高质量供给，围绕稳定蔬菜生产、提高生产水平、提升蔬菜园艺产品绿色防控水平等方面出台多项政策措施。</w:t>
      </w:r>
    </w:p>
    <w:p w:rsidR="00B47667" w:rsidRDefault="00233C16">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2023年7月，中共南京市委办公厅南京市人民政府办公厅联合印发《高水平建设都市现代农业强市行动方案》，明确蔬菜生产目标，要求提升设施农业规模化、标准化、产业化水平。2024年南京市委</w:t>
      </w:r>
      <w:r>
        <w:rPr>
          <w:rFonts w:ascii="仿宋" w:eastAsia="仿宋" w:hAnsi="仿宋" w:cs="仿宋" w:hint="eastAsia"/>
          <w:bCs/>
          <w:kern w:val="0"/>
          <w:sz w:val="28"/>
          <w:szCs w:val="28"/>
        </w:rPr>
        <w:lastRenderedPageBreak/>
        <w:t>印发《关于学习运用“千万工程”经验 扎实有效做好2024年乡村振兴重点工作的实施意见》中，要求做好“菜篮子”供给保障，改造提升设施蔬菜园艺。</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2024年南京市蔬菜园艺高质量发展项目围绕蔬菜园艺生产能力提升、绿色发展水平提升，支持全市设施蔬菜园艺建设和老旧低效设施改造；支持市级标准化菜地项目建设，改善“沟渠路桥涵闸”等基础设施；支持高效特色园艺基地建设和蔬菜园艺病虫绿色防控试验示范与推广，进一步增强蔬菜园艺产品的有效供给，推进产业高质量发展。</w:t>
      </w:r>
    </w:p>
    <w:p w:rsidR="00B47667" w:rsidRDefault="00233C16">
      <w:pPr>
        <w:pStyle w:val="2"/>
        <w:spacing w:before="0" w:after="0" w:line="560" w:lineRule="exact"/>
        <w:ind w:firstLineChars="200" w:firstLine="560"/>
        <w:rPr>
          <w:rFonts w:ascii="黑体" w:hAnsi="黑体" w:cs="黑体"/>
          <w:b w:val="0"/>
          <w:sz w:val="28"/>
          <w:szCs w:val="28"/>
        </w:rPr>
      </w:pPr>
      <w:bookmarkStart w:id="4" w:name="_Toc201654634"/>
      <w:r>
        <w:rPr>
          <w:rFonts w:ascii="黑体" w:hAnsi="黑体" w:cs="黑体" w:hint="eastAsia"/>
          <w:b w:val="0"/>
          <w:sz w:val="28"/>
          <w:szCs w:val="28"/>
        </w:rPr>
        <w:t>（二）项目立项依据</w:t>
      </w:r>
      <w:bookmarkEnd w:id="4"/>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（1）江苏省《关于印发＜到2020年江苏省农药使用量零增长行动方案＞的通知》；</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（2）省农业农村厅《关于开展全省农作物病虫害绿色防控基地和稻麦田草害综合治理示范区建设的通知》（</w:t>
      </w:r>
      <w:proofErr w:type="gramStart"/>
      <w:r>
        <w:rPr>
          <w:rFonts w:ascii="仿宋" w:eastAsia="仿宋" w:hAnsi="仿宋" w:cs="仿宋" w:hint="eastAsia"/>
          <w:sz w:val="28"/>
          <w:szCs w:val="28"/>
        </w:rPr>
        <w:t>苏农保</w:t>
      </w:r>
      <w:proofErr w:type="gramEnd"/>
      <w:r>
        <w:rPr>
          <w:rFonts w:ascii="仿宋" w:eastAsia="仿宋" w:hAnsi="仿宋" w:cs="仿宋" w:hint="eastAsia"/>
          <w:sz w:val="28"/>
          <w:szCs w:val="28"/>
        </w:rPr>
        <w:t>〔2023〕10 号）；</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（3）《南京市“十四五”现代农业发展规划》；</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sz w:val="28"/>
          <w:szCs w:val="28"/>
        </w:rPr>
        <w:t>《关于做好“菜篮子”工程绿色蔬菜保供基地规划与建设工作的通知》（苏农办农〔2022〕17号）</w:t>
      </w:r>
      <w:r>
        <w:rPr>
          <w:rFonts w:ascii="仿宋" w:eastAsia="仿宋" w:hAnsi="仿宋" w:cs="仿宋" w:hint="eastAsia"/>
          <w:sz w:val="28"/>
          <w:szCs w:val="28"/>
        </w:rPr>
        <w:t>；</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（5）《南京市国民经济和社会发展第十四五年规划和二Ο三五年远景目标纲要》。</w:t>
      </w:r>
    </w:p>
    <w:p w:rsidR="00B47667" w:rsidRDefault="00233C16">
      <w:pPr>
        <w:pStyle w:val="2"/>
        <w:spacing w:before="0" w:after="0" w:line="560" w:lineRule="exact"/>
        <w:ind w:firstLineChars="200" w:firstLine="560"/>
        <w:rPr>
          <w:rFonts w:ascii="黑体" w:hAnsi="黑体" w:cs="黑体"/>
          <w:b w:val="0"/>
          <w:sz w:val="28"/>
          <w:szCs w:val="28"/>
        </w:rPr>
      </w:pPr>
      <w:bookmarkStart w:id="5" w:name="_Toc201654635"/>
      <w:r>
        <w:rPr>
          <w:rFonts w:ascii="黑体" w:hAnsi="黑体" w:cs="黑体" w:hint="eastAsia"/>
          <w:b w:val="0"/>
          <w:sz w:val="28"/>
          <w:szCs w:val="28"/>
        </w:rPr>
        <w:t>（三）项目资金情况</w:t>
      </w:r>
      <w:bookmarkEnd w:id="5"/>
    </w:p>
    <w:p w:rsidR="00B47667" w:rsidRDefault="00233C16">
      <w:pPr>
        <w:pStyle w:val="3"/>
        <w:spacing w:before="0" w:after="0" w:line="560" w:lineRule="exact"/>
        <w:ind w:firstLineChars="200" w:firstLine="562"/>
        <w:rPr>
          <w:rFonts w:ascii="黑体" w:eastAsia="黑体" w:hAnsi="黑体" w:cs="黑体"/>
          <w:b w:val="0"/>
          <w:sz w:val="28"/>
          <w:szCs w:val="28"/>
        </w:rPr>
      </w:pPr>
      <w:r>
        <w:rPr>
          <w:rFonts w:ascii="黑体" w:eastAsia="黑体" w:hAnsi="黑体" w:cs="黑体" w:hint="eastAsia"/>
          <w:sz w:val="28"/>
          <w:szCs w:val="28"/>
        </w:rPr>
        <w:t>1.项目立项情况</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2024年市级现代蔬菜园艺高质量发展项目从如下四个方面立项开展实施：标准化菜地建设、设施蔬菜园艺建设、绿色防控试验示范与推广、高效特色园艺基地建设。</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根据南京市农业农村局、南京市财政局签发的《关于下达2024年第一批市级单位农业专项资金补助计划的通知》（宁农计[2024]8号）以及《关于下达2024年第一批市级农业专项资金计划的通知》（宁农计[2024]9号）文件，由市本级及区级立项并报市级备案的2024年市级现代蔬菜园艺高质量发展项目，共计97个（市本级2个），其中：标准化菜地3个、设施蔬菜园艺58个（溧水区终止2个，2025年4月重新立项2个项目；栖霞区终止1个）、绿色防控试验示范与推广26个、高效特色园艺基地10个，</w:t>
      </w:r>
      <w:r>
        <w:rPr>
          <w:rFonts w:ascii="仿宋" w:eastAsia="仿宋" w:hAnsi="仿宋" w:cs="仿宋" w:hint="eastAsia"/>
          <w:bCs/>
          <w:kern w:val="0"/>
          <w:sz w:val="28"/>
          <w:szCs w:val="28"/>
        </w:rPr>
        <w:t>总建设面积为11,813.54亩，涉及市级财政资金9,465.74万元（约束性任务资金8,496.79万元、指导性任务资金968.95万元），</w:t>
      </w:r>
      <w:r>
        <w:rPr>
          <w:rFonts w:ascii="仿宋" w:eastAsia="仿宋" w:hAnsi="仿宋" w:cs="仿宋" w:hint="eastAsia"/>
          <w:sz w:val="28"/>
          <w:szCs w:val="28"/>
        </w:rPr>
        <w:t>详情见下表：</w:t>
      </w:r>
    </w:p>
    <w:p w:rsidR="00B47667" w:rsidRDefault="00233C16">
      <w:pPr>
        <w:spacing w:line="56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金额单位：万元</w:t>
      </w:r>
    </w:p>
    <w:tbl>
      <w:tblPr>
        <w:tblW w:w="8670" w:type="dxa"/>
        <w:jc w:val="center"/>
        <w:tblLook w:val="04A0" w:firstRow="1" w:lastRow="0" w:firstColumn="1" w:lastColumn="0" w:noHBand="0" w:noVBand="1"/>
      </w:tblPr>
      <w:tblGrid>
        <w:gridCol w:w="1540"/>
        <w:gridCol w:w="1300"/>
        <w:gridCol w:w="1140"/>
        <w:gridCol w:w="1300"/>
        <w:gridCol w:w="1290"/>
        <w:gridCol w:w="1096"/>
        <w:gridCol w:w="1096"/>
      </w:tblGrid>
      <w:tr w:rsidR="00B47667">
        <w:trPr>
          <w:trHeight w:val="280"/>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项目</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区属</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项目个数</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面积（亩）</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总投资</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市级补助</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自筹资金</w:t>
            </w:r>
          </w:p>
        </w:tc>
      </w:tr>
      <w:tr w:rsidR="00B47667">
        <w:trPr>
          <w:trHeight w:val="28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标准化菜地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江宁区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2</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1,630.00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939.12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896.30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42.82 </w:t>
            </w:r>
          </w:p>
        </w:tc>
      </w:tr>
      <w:tr w:rsidR="00B47667">
        <w:trPr>
          <w:trHeight w:val="2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proofErr w:type="gramStart"/>
            <w:r>
              <w:rPr>
                <w:rFonts w:ascii="仿宋" w:eastAsia="仿宋" w:hAnsi="仿宋" w:cs="仿宋" w:hint="eastAsia"/>
                <w:color w:val="000000"/>
                <w:kern w:val="0"/>
                <w:sz w:val="22"/>
                <w:lang w:bidi="ar"/>
              </w:rPr>
              <w:t>六合区</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1</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124.00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120.00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120.00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0.00 </w:t>
            </w:r>
          </w:p>
        </w:tc>
      </w:tr>
      <w:tr w:rsidR="00B47667">
        <w:trPr>
          <w:trHeight w:val="28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小计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3</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1,630.00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1,059.12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1,016.30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42.82 </w:t>
            </w:r>
          </w:p>
        </w:tc>
      </w:tr>
      <w:tr w:rsidR="00B47667">
        <w:trPr>
          <w:trHeight w:val="28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设施蔬菜园艺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高淳区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16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939.82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2,253.83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1,328.19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925.64 </w:t>
            </w:r>
          </w:p>
        </w:tc>
      </w:tr>
      <w:tr w:rsidR="00B47667">
        <w:trPr>
          <w:trHeight w:val="2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rPr>
                <w:rFonts w:ascii="仿宋" w:eastAsia="仿宋" w:hAnsi="仿宋" w:cs="仿宋"/>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江北新区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2</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170.00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98.00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49.00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49.00 </w:t>
            </w:r>
          </w:p>
        </w:tc>
      </w:tr>
      <w:tr w:rsidR="00B47667">
        <w:trPr>
          <w:trHeight w:val="2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rPr>
                <w:rFonts w:ascii="仿宋" w:eastAsia="仿宋" w:hAnsi="仿宋" w:cs="仿宋"/>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江宁区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1</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50.00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100.40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50.00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50.40 </w:t>
            </w:r>
          </w:p>
        </w:tc>
      </w:tr>
      <w:tr w:rsidR="00B47667">
        <w:trPr>
          <w:trHeight w:val="2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rPr>
                <w:rFonts w:ascii="仿宋" w:eastAsia="仿宋" w:hAnsi="仿宋" w:cs="仿宋"/>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溧水区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25</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2,382.00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2,782.20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1,400.00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1,382.20 </w:t>
            </w:r>
          </w:p>
        </w:tc>
      </w:tr>
      <w:tr w:rsidR="00B47667">
        <w:trPr>
          <w:trHeight w:val="2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rPr>
                <w:rFonts w:ascii="仿宋" w:eastAsia="仿宋" w:hAnsi="仿宋" w:cs="仿宋"/>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proofErr w:type="gramStart"/>
            <w:r>
              <w:rPr>
                <w:rFonts w:ascii="仿宋" w:eastAsia="仿宋" w:hAnsi="仿宋" w:cs="仿宋" w:hint="eastAsia"/>
                <w:color w:val="000000"/>
                <w:kern w:val="0"/>
                <w:sz w:val="22"/>
                <w:lang w:bidi="ar"/>
              </w:rPr>
              <w:t>六合区</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3</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230.22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2,713.03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2,175.93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537.10 </w:t>
            </w:r>
          </w:p>
        </w:tc>
      </w:tr>
      <w:tr w:rsidR="00B47667">
        <w:trPr>
          <w:trHeight w:val="2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rPr>
                <w:rFonts w:ascii="仿宋" w:eastAsia="仿宋" w:hAnsi="仿宋" w:cs="仿宋"/>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浦口区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1</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31.15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2,445.00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1,200.00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1,245.00 </w:t>
            </w:r>
          </w:p>
        </w:tc>
      </w:tr>
      <w:tr w:rsidR="00B47667">
        <w:trPr>
          <w:trHeight w:val="2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rPr>
                <w:rFonts w:ascii="仿宋" w:eastAsia="仿宋" w:hAnsi="仿宋" w:cs="仿宋"/>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栖霞区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10</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485.35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2,224.72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1,277.37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947.35 </w:t>
            </w:r>
          </w:p>
        </w:tc>
      </w:tr>
      <w:tr w:rsidR="00B47667">
        <w:trPr>
          <w:trHeight w:val="28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小计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58</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4,288.54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12,617.18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7,480.49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5,136.69 </w:t>
            </w:r>
          </w:p>
        </w:tc>
      </w:tr>
      <w:tr w:rsidR="00B47667">
        <w:trPr>
          <w:trHeight w:val="280"/>
          <w:jc w:val="center"/>
        </w:trPr>
        <w:tc>
          <w:tcPr>
            <w:tcW w:w="1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绿色防控试验示范与推广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市本级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1</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600.00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50.00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50.00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0.00 </w:t>
            </w:r>
          </w:p>
        </w:tc>
      </w:tr>
      <w:tr w:rsidR="00B47667">
        <w:trPr>
          <w:trHeight w:val="280"/>
          <w:jc w:val="center"/>
        </w:trPr>
        <w:tc>
          <w:tcPr>
            <w:tcW w:w="1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B47667">
            <w:pPr>
              <w:rPr>
                <w:rFonts w:ascii="仿宋" w:eastAsia="仿宋" w:hAnsi="仿宋" w:cs="仿宋"/>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高淳区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12</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2,166.00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251.05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251.05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0.00 </w:t>
            </w:r>
          </w:p>
        </w:tc>
      </w:tr>
      <w:tr w:rsidR="00B47667">
        <w:trPr>
          <w:trHeight w:val="280"/>
          <w:jc w:val="center"/>
        </w:trPr>
        <w:tc>
          <w:tcPr>
            <w:tcW w:w="1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B47667">
            <w:pPr>
              <w:rPr>
                <w:rFonts w:ascii="仿宋" w:eastAsia="仿宋" w:hAnsi="仿宋" w:cs="仿宋"/>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江北新区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1</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54.00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8.00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8.00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0.00 </w:t>
            </w:r>
          </w:p>
        </w:tc>
      </w:tr>
      <w:tr w:rsidR="00B47667">
        <w:trPr>
          <w:trHeight w:val="280"/>
          <w:jc w:val="center"/>
        </w:trPr>
        <w:tc>
          <w:tcPr>
            <w:tcW w:w="1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B47667">
            <w:pPr>
              <w:rPr>
                <w:rFonts w:ascii="仿宋" w:eastAsia="仿宋" w:hAnsi="仿宋" w:cs="仿宋"/>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溧水区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1,300.00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160.00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160.00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0.00 </w:t>
            </w:r>
          </w:p>
        </w:tc>
      </w:tr>
      <w:tr w:rsidR="00B47667">
        <w:trPr>
          <w:trHeight w:val="280"/>
          <w:jc w:val="center"/>
        </w:trPr>
        <w:tc>
          <w:tcPr>
            <w:tcW w:w="1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B47667">
            <w:pPr>
              <w:rPr>
                <w:rFonts w:ascii="仿宋" w:eastAsia="仿宋" w:hAnsi="仿宋" w:cs="仿宋"/>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proofErr w:type="gramStart"/>
            <w:r>
              <w:rPr>
                <w:rFonts w:ascii="仿宋" w:eastAsia="仿宋" w:hAnsi="仿宋" w:cs="仿宋" w:hint="eastAsia"/>
                <w:color w:val="000000"/>
                <w:kern w:val="0"/>
                <w:sz w:val="22"/>
                <w:lang w:bidi="ar"/>
              </w:rPr>
              <w:t>六合区</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3</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650.00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61.00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61.00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0.00 </w:t>
            </w:r>
          </w:p>
        </w:tc>
      </w:tr>
      <w:tr w:rsidR="00B47667">
        <w:trPr>
          <w:trHeight w:val="280"/>
          <w:jc w:val="center"/>
        </w:trPr>
        <w:tc>
          <w:tcPr>
            <w:tcW w:w="1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B47667">
            <w:pPr>
              <w:rPr>
                <w:rFonts w:ascii="仿宋" w:eastAsia="仿宋" w:hAnsi="仿宋" w:cs="仿宋"/>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浦口区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3</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500.00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65.00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65.00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0.00 </w:t>
            </w:r>
          </w:p>
        </w:tc>
      </w:tr>
      <w:tr w:rsidR="00B47667">
        <w:trPr>
          <w:trHeight w:val="28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小计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26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5,270.00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595.05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595.05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0.00 </w:t>
            </w:r>
          </w:p>
        </w:tc>
      </w:tr>
      <w:tr w:rsidR="00B47667">
        <w:trPr>
          <w:trHeight w:val="280"/>
          <w:jc w:val="center"/>
        </w:trPr>
        <w:tc>
          <w:tcPr>
            <w:tcW w:w="1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高效特色园艺基地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市本级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1</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2"/>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60.00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60.00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0.00 </w:t>
            </w:r>
          </w:p>
        </w:tc>
      </w:tr>
      <w:tr w:rsidR="00B47667">
        <w:trPr>
          <w:trHeight w:val="280"/>
          <w:jc w:val="center"/>
        </w:trPr>
        <w:tc>
          <w:tcPr>
            <w:tcW w:w="1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B47667">
            <w:pPr>
              <w:rPr>
                <w:rFonts w:ascii="仿宋" w:eastAsia="仿宋" w:hAnsi="仿宋" w:cs="仿宋"/>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高淳区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4</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235.00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247.40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143.45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103.95 </w:t>
            </w:r>
          </w:p>
        </w:tc>
      </w:tr>
      <w:tr w:rsidR="00B47667">
        <w:trPr>
          <w:trHeight w:val="280"/>
          <w:jc w:val="center"/>
        </w:trPr>
        <w:tc>
          <w:tcPr>
            <w:tcW w:w="1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B47667">
            <w:pPr>
              <w:rPr>
                <w:rFonts w:ascii="仿宋" w:eastAsia="仿宋" w:hAnsi="仿宋" w:cs="仿宋"/>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浦口区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5</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390.00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343.74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170.45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173.29 </w:t>
            </w:r>
          </w:p>
        </w:tc>
      </w:tr>
      <w:tr w:rsidR="00B47667">
        <w:trPr>
          <w:trHeight w:val="28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小计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10</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625.00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651.14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373.90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277.24 </w:t>
            </w:r>
          </w:p>
        </w:tc>
      </w:tr>
      <w:tr w:rsidR="00B47667">
        <w:trPr>
          <w:trHeight w:val="28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97</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11,813.54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14,922.49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9,465.74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5,456.75 </w:t>
            </w:r>
          </w:p>
        </w:tc>
      </w:tr>
    </w:tbl>
    <w:p w:rsidR="00B47667" w:rsidRDefault="00233C16">
      <w:pPr>
        <w:pStyle w:val="3"/>
        <w:spacing w:before="0" w:after="0" w:line="560" w:lineRule="exact"/>
        <w:ind w:firstLineChars="200" w:firstLine="562"/>
        <w:rPr>
          <w:rFonts w:ascii="黑体" w:eastAsia="黑体" w:hAnsi="黑体" w:cs="黑体"/>
          <w:sz w:val="28"/>
          <w:szCs w:val="28"/>
        </w:rPr>
      </w:pPr>
      <w:r>
        <w:rPr>
          <w:rFonts w:ascii="黑体" w:eastAsia="黑体" w:hAnsi="黑体" w:cs="黑体" w:hint="eastAsia"/>
          <w:sz w:val="28"/>
          <w:szCs w:val="28"/>
        </w:rPr>
        <w:lastRenderedPageBreak/>
        <w:t>2.项目实施主体</w:t>
      </w:r>
    </w:p>
    <w:p w:rsidR="00B47667" w:rsidRDefault="00233C16">
      <w:pPr>
        <w:rPr>
          <w:rFonts w:ascii="仿宋" w:eastAsia="仿宋" w:hAnsi="仿宋" w:cs="仿宋"/>
          <w:sz w:val="28"/>
          <w:szCs w:val="28"/>
        </w:rPr>
      </w:pPr>
      <w:r>
        <w:rPr>
          <w:rFonts w:hint="eastAsia"/>
        </w:rPr>
        <w:t xml:space="preserve">   </w:t>
      </w:r>
      <w:r>
        <w:rPr>
          <w:rFonts w:ascii="仿宋" w:eastAsia="仿宋" w:hAnsi="仿宋" w:cs="仿宋" w:hint="eastAsia"/>
          <w:sz w:val="28"/>
          <w:szCs w:val="28"/>
        </w:rPr>
        <w:t xml:space="preserve">  项目实施主体：南京市蔬菜科学研究所、江苏丘陵地区南京农业科学研究所2个市级单位，高淳区、溧水区、江宁区、栖霞区、江北新区、浦口区、</w:t>
      </w:r>
      <w:proofErr w:type="gramStart"/>
      <w:r>
        <w:rPr>
          <w:rFonts w:ascii="仿宋" w:eastAsia="仿宋" w:hAnsi="仿宋" w:cs="仿宋" w:hint="eastAsia"/>
          <w:sz w:val="28"/>
          <w:szCs w:val="28"/>
        </w:rPr>
        <w:t>六合区</w:t>
      </w:r>
      <w:proofErr w:type="gramEnd"/>
      <w:r>
        <w:rPr>
          <w:rFonts w:ascii="仿宋" w:eastAsia="仿宋" w:hAnsi="仿宋" w:cs="仿宋" w:hint="eastAsia"/>
          <w:sz w:val="28"/>
          <w:szCs w:val="28"/>
        </w:rPr>
        <w:t>7个主要涉农区。</w:t>
      </w:r>
    </w:p>
    <w:p w:rsidR="00B47667" w:rsidRDefault="00233C16">
      <w:pPr>
        <w:pStyle w:val="3"/>
        <w:spacing w:before="0" w:after="0" w:line="560" w:lineRule="exact"/>
        <w:ind w:firstLineChars="200" w:firstLine="562"/>
        <w:rPr>
          <w:rFonts w:ascii="黑体" w:eastAsia="黑体" w:hAnsi="黑体" w:cs="黑体"/>
          <w:b w:val="0"/>
          <w:bCs/>
          <w:sz w:val="28"/>
          <w:szCs w:val="28"/>
        </w:rPr>
      </w:pPr>
      <w:r>
        <w:rPr>
          <w:rFonts w:ascii="黑体" w:eastAsia="黑体" w:hAnsi="黑体" w:cs="黑体" w:hint="eastAsia"/>
          <w:sz w:val="28"/>
          <w:szCs w:val="28"/>
        </w:rPr>
        <w:t>3.项目实施流程</w:t>
      </w:r>
    </w:p>
    <w:p w:rsidR="00B47667" w:rsidRDefault="00233C16">
      <w:pPr>
        <w:ind w:firstLineChars="200" w:firstLine="560"/>
        <w:rPr>
          <w:rFonts w:ascii="黑体" w:eastAsia="黑体" w:hAnsi="黑体" w:cs="黑体"/>
          <w:b/>
          <w:bCs/>
          <w:sz w:val="28"/>
          <w:szCs w:val="28"/>
        </w:rPr>
      </w:pPr>
      <w:r>
        <w:rPr>
          <w:rFonts w:ascii="仿宋" w:eastAsia="仿宋" w:hAnsi="仿宋" w:cs="仿宋" w:hint="eastAsia"/>
          <w:sz w:val="28"/>
          <w:szCs w:val="28"/>
        </w:rPr>
        <w:t>南京市农业农村局负责下达项目计划、建设任务、资金分配以及项目实施过程中的指导工作；各区</w:t>
      </w:r>
      <w:bookmarkStart w:id="6" w:name="_GoBack"/>
      <w:r>
        <w:rPr>
          <w:rFonts w:ascii="仿宋" w:eastAsia="仿宋" w:hAnsi="仿宋" w:cs="仿宋" w:hint="eastAsia"/>
          <w:sz w:val="28"/>
          <w:szCs w:val="28"/>
        </w:rPr>
        <w:t>农业部</w:t>
      </w:r>
      <w:bookmarkEnd w:id="6"/>
      <w:r>
        <w:rPr>
          <w:rFonts w:ascii="仿宋" w:eastAsia="仿宋" w:hAnsi="仿宋" w:cs="仿宋" w:hint="eastAsia"/>
          <w:sz w:val="28"/>
          <w:szCs w:val="28"/>
        </w:rPr>
        <w:t>门负责项目立项、实施方案的批复、日常监督和验收等工作，层层落实工作任务、明确各级工作责任，全面推动项目正常实施。</w:t>
      </w:r>
    </w:p>
    <w:p w:rsidR="00B47667" w:rsidRDefault="00233C16">
      <w:pPr>
        <w:pStyle w:val="3"/>
        <w:spacing w:before="0" w:after="0" w:line="560" w:lineRule="exact"/>
        <w:ind w:firstLineChars="200" w:firstLine="562"/>
        <w:rPr>
          <w:rFonts w:ascii="黑体" w:eastAsia="黑体" w:hAnsi="黑体" w:cs="黑体"/>
          <w:sz w:val="28"/>
          <w:szCs w:val="28"/>
        </w:rPr>
      </w:pPr>
      <w:r>
        <w:rPr>
          <w:rFonts w:ascii="黑体" w:eastAsia="黑体" w:hAnsi="黑体" w:cs="黑体" w:hint="eastAsia"/>
          <w:sz w:val="28"/>
          <w:szCs w:val="28"/>
        </w:rPr>
        <w:t>4.项目资金拨付、使用情况</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（1）截至2025年6月，市级财政补助资金</w:t>
      </w:r>
      <w:r>
        <w:rPr>
          <w:rFonts w:ascii="仿宋" w:eastAsia="仿宋" w:hAnsi="仿宋" w:cs="仿宋"/>
          <w:sz w:val="28"/>
          <w:szCs w:val="28"/>
        </w:rPr>
        <w:t>9,465.74</w:t>
      </w:r>
      <w:r>
        <w:rPr>
          <w:rFonts w:ascii="仿宋" w:eastAsia="仿宋" w:hAnsi="仿宋" w:cs="仿宋" w:hint="eastAsia"/>
          <w:sz w:val="28"/>
          <w:szCs w:val="28"/>
        </w:rPr>
        <w:t>万元，其中：涉及南京7个</w:t>
      </w:r>
      <w:proofErr w:type="gramStart"/>
      <w:r>
        <w:rPr>
          <w:rFonts w:ascii="仿宋" w:eastAsia="仿宋" w:hAnsi="仿宋" w:cs="仿宋" w:hint="eastAsia"/>
          <w:sz w:val="28"/>
          <w:szCs w:val="28"/>
        </w:rPr>
        <w:t>涉农区</w:t>
      </w:r>
      <w:proofErr w:type="gramEnd"/>
      <w:r>
        <w:rPr>
          <w:rFonts w:ascii="仿宋" w:eastAsia="仿宋" w:hAnsi="仿宋" w:cs="仿宋" w:hint="eastAsia"/>
          <w:sz w:val="28"/>
          <w:szCs w:val="28"/>
        </w:rPr>
        <w:t>的项目补助资金已全部下达至区级财政，市本级补助资金已下达至项目实施单位（江苏丘陵地区南京农业科学研究所、南京市蔬菜科学研究所），预算资金到位率100.00%。</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（2）截至2025年6月，7个</w:t>
      </w:r>
      <w:proofErr w:type="gramStart"/>
      <w:r>
        <w:rPr>
          <w:rFonts w:ascii="仿宋" w:eastAsia="仿宋" w:hAnsi="仿宋" w:cs="仿宋" w:hint="eastAsia"/>
          <w:sz w:val="28"/>
          <w:szCs w:val="28"/>
        </w:rPr>
        <w:t>涉农区</w:t>
      </w:r>
      <w:proofErr w:type="gramEnd"/>
      <w:r>
        <w:rPr>
          <w:rFonts w:ascii="仿宋" w:eastAsia="仿宋" w:hAnsi="仿宋" w:cs="仿宋" w:hint="eastAsia"/>
          <w:sz w:val="28"/>
          <w:szCs w:val="28"/>
        </w:rPr>
        <w:t>的项目补助资金已拨付至项目实施单位579.17万元（其中江北新区52.62万元、栖霞区411.67万元、</w:t>
      </w:r>
      <w:proofErr w:type="gramStart"/>
      <w:r>
        <w:rPr>
          <w:rFonts w:ascii="仿宋" w:eastAsia="仿宋" w:hAnsi="仿宋" w:cs="仿宋" w:hint="eastAsia"/>
          <w:sz w:val="28"/>
          <w:szCs w:val="28"/>
        </w:rPr>
        <w:t>六合区</w:t>
      </w:r>
      <w:proofErr w:type="gramEnd"/>
      <w:r>
        <w:rPr>
          <w:rFonts w:ascii="仿宋" w:eastAsia="仿宋" w:hAnsi="仿宋" w:cs="仿宋" w:hint="eastAsia"/>
          <w:sz w:val="28"/>
          <w:szCs w:val="28"/>
        </w:rPr>
        <w:t>114.88万元）；已拨付至物资供应单位60.08万元（</w:t>
      </w:r>
      <w:proofErr w:type="gramStart"/>
      <w:r>
        <w:rPr>
          <w:rFonts w:ascii="仿宋" w:eastAsia="仿宋" w:hAnsi="仿宋" w:cs="仿宋" w:hint="eastAsia"/>
          <w:sz w:val="28"/>
          <w:szCs w:val="28"/>
        </w:rPr>
        <w:t>六合区</w:t>
      </w:r>
      <w:proofErr w:type="gramEnd"/>
      <w:r>
        <w:rPr>
          <w:rFonts w:ascii="仿宋" w:eastAsia="仿宋" w:hAnsi="仿宋" w:cs="仿宋" w:hint="eastAsia"/>
          <w:sz w:val="28"/>
          <w:szCs w:val="28"/>
        </w:rPr>
        <w:t>绿色防控试验示范与推广项目物资供应单位由区局统一招标确定，完成验收后拨付财政补助资金至物资供应单位）；已预拨项目补助资金至所在街道财政所796.00万元（根据江宁农财[2024]119号文件，已预拨80%的项目市级补助资金至所在区的财政所），市本级项目补助资金支出109.97万元。</w:t>
      </w:r>
    </w:p>
    <w:p w:rsidR="00B47667" w:rsidRDefault="00233C16">
      <w:pPr>
        <w:pStyle w:val="3"/>
        <w:spacing w:before="0" w:after="0" w:line="560" w:lineRule="exact"/>
        <w:ind w:firstLineChars="200" w:firstLine="562"/>
        <w:rPr>
          <w:rFonts w:ascii="黑体" w:eastAsia="黑体" w:hAnsi="黑体" w:cs="黑体"/>
          <w:sz w:val="28"/>
          <w:szCs w:val="28"/>
        </w:rPr>
      </w:pPr>
      <w:r>
        <w:rPr>
          <w:rFonts w:ascii="黑体" w:eastAsia="黑体" w:hAnsi="黑体" w:cs="黑体" w:hint="eastAsia"/>
          <w:sz w:val="28"/>
          <w:szCs w:val="28"/>
        </w:rPr>
        <w:t>5.资金结余情况</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sz w:val="28"/>
          <w:szCs w:val="28"/>
        </w:rPr>
        <w:t>因标准化菜地项目建设期限到202</w:t>
      </w:r>
      <w:r>
        <w:rPr>
          <w:rFonts w:ascii="仿宋" w:eastAsia="仿宋" w:hAnsi="仿宋" w:cs="仿宋" w:hint="eastAsia"/>
          <w:sz w:val="28"/>
          <w:szCs w:val="28"/>
        </w:rPr>
        <w:t>5</w:t>
      </w:r>
      <w:r>
        <w:rPr>
          <w:rFonts w:ascii="仿宋" w:eastAsia="仿宋" w:hAnsi="仿宋" w:cs="仿宋"/>
          <w:sz w:val="28"/>
          <w:szCs w:val="28"/>
        </w:rPr>
        <w:t>年</w:t>
      </w:r>
      <w:r>
        <w:rPr>
          <w:rFonts w:ascii="仿宋" w:eastAsia="仿宋" w:hAnsi="仿宋" w:cs="仿宋" w:hint="eastAsia"/>
          <w:sz w:val="28"/>
          <w:szCs w:val="28"/>
        </w:rPr>
        <w:t>8</w:t>
      </w:r>
      <w:r>
        <w:rPr>
          <w:rFonts w:ascii="仿宋" w:eastAsia="仿宋" w:hAnsi="仿宋" w:cs="仿宋"/>
          <w:sz w:val="28"/>
          <w:szCs w:val="28"/>
        </w:rPr>
        <w:t>月结束以及部分项目未</w:t>
      </w:r>
      <w:r>
        <w:rPr>
          <w:rFonts w:ascii="仿宋" w:eastAsia="仿宋" w:hAnsi="仿宋" w:cs="仿宋"/>
          <w:sz w:val="28"/>
          <w:szCs w:val="28"/>
        </w:rPr>
        <w:lastRenderedPageBreak/>
        <w:t>完工、部分项目已完工尚未</w:t>
      </w:r>
      <w:r>
        <w:rPr>
          <w:rFonts w:ascii="仿宋" w:eastAsia="仿宋" w:hAnsi="仿宋" w:cs="仿宋" w:hint="eastAsia"/>
          <w:sz w:val="28"/>
          <w:szCs w:val="28"/>
        </w:rPr>
        <w:t>完成区级</w:t>
      </w:r>
      <w:r>
        <w:rPr>
          <w:rFonts w:ascii="仿宋" w:eastAsia="仿宋" w:hAnsi="仿宋" w:cs="仿宋"/>
          <w:sz w:val="28"/>
          <w:szCs w:val="28"/>
        </w:rPr>
        <w:t>验收、部分</w:t>
      </w:r>
      <w:r>
        <w:rPr>
          <w:rFonts w:ascii="仿宋" w:eastAsia="仿宋" w:hAnsi="仿宋" w:cs="仿宋" w:hint="eastAsia"/>
          <w:sz w:val="28"/>
          <w:szCs w:val="28"/>
        </w:rPr>
        <w:t>因取消重新立项的</w:t>
      </w:r>
      <w:r>
        <w:rPr>
          <w:rFonts w:ascii="仿宋" w:eastAsia="仿宋" w:hAnsi="仿宋" w:cs="仿宋"/>
          <w:sz w:val="28"/>
          <w:szCs w:val="28"/>
        </w:rPr>
        <w:t>项目正在实施等因素，市级补助资金结余将根据实际使用情况，待验</w:t>
      </w:r>
      <w:proofErr w:type="gramStart"/>
      <w:r>
        <w:rPr>
          <w:rFonts w:ascii="仿宋" w:eastAsia="仿宋" w:hAnsi="仿宋" w:cs="仿宋"/>
          <w:sz w:val="28"/>
          <w:szCs w:val="28"/>
        </w:rPr>
        <w:t>收结束</w:t>
      </w:r>
      <w:proofErr w:type="gramEnd"/>
      <w:r>
        <w:rPr>
          <w:rFonts w:ascii="仿宋" w:eastAsia="仿宋" w:hAnsi="仿宋" w:cs="仿宋"/>
          <w:sz w:val="28"/>
          <w:szCs w:val="28"/>
        </w:rPr>
        <w:t>后确认。</w:t>
      </w:r>
    </w:p>
    <w:p w:rsidR="00B47667" w:rsidRDefault="00233C16">
      <w:pPr>
        <w:pStyle w:val="2"/>
        <w:spacing w:before="0" w:after="0" w:line="560" w:lineRule="exact"/>
        <w:ind w:firstLineChars="200" w:firstLine="562"/>
        <w:rPr>
          <w:rFonts w:ascii="黑体" w:hAnsi="黑体" w:cs="黑体"/>
          <w:bCs/>
          <w:sz w:val="28"/>
          <w:szCs w:val="28"/>
        </w:rPr>
      </w:pPr>
      <w:bookmarkStart w:id="7" w:name="_Toc201654636"/>
      <w:r>
        <w:rPr>
          <w:rFonts w:ascii="黑体" w:hAnsi="黑体" w:cs="黑体" w:hint="eastAsia"/>
          <w:bCs/>
          <w:sz w:val="28"/>
          <w:szCs w:val="28"/>
        </w:rPr>
        <w:t>（四）项目实施情况</w:t>
      </w:r>
      <w:bookmarkEnd w:id="7"/>
    </w:p>
    <w:p w:rsidR="00B47667" w:rsidRDefault="00233C16">
      <w:pPr>
        <w:spacing w:line="560" w:lineRule="exact"/>
        <w:ind w:firstLineChars="200" w:firstLine="560"/>
        <w:rPr>
          <w:rFonts w:ascii="仿宋" w:eastAsia="仿宋" w:hAnsi="仿宋" w:cs="仿宋"/>
          <w:bCs/>
          <w:kern w:val="0"/>
          <w:sz w:val="28"/>
          <w:szCs w:val="28"/>
        </w:rPr>
      </w:pPr>
      <w:r>
        <w:rPr>
          <w:rFonts w:ascii="仿宋" w:eastAsia="仿宋" w:hAnsi="仿宋" w:cs="仿宋" w:hint="eastAsia"/>
          <w:sz w:val="28"/>
          <w:szCs w:val="28"/>
        </w:rPr>
        <w:t>截至2025年6月，97个2024年市级现代蔬菜园艺高质量发展项目</w:t>
      </w:r>
      <w:r>
        <w:rPr>
          <w:rFonts w:ascii="仿宋" w:eastAsia="仿宋" w:hAnsi="仿宋" w:cs="仿宋" w:hint="eastAsia"/>
          <w:bCs/>
          <w:kern w:val="0"/>
          <w:sz w:val="28"/>
          <w:szCs w:val="28"/>
        </w:rPr>
        <w:t>已完工72个，尚未完工项目21个，终止项目3个，各区项目实施情况如下表：</w:t>
      </w:r>
    </w:p>
    <w:tbl>
      <w:tblPr>
        <w:tblW w:w="8880" w:type="dxa"/>
        <w:jc w:val="center"/>
        <w:tblLayout w:type="fixed"/>
        <w:tblLook w:val="04A0" w:firstRow="1" w:lastRow="0" w:firstColumn="1" w:lastColumn="0" w:noHBand="0" w:noVBand="1"/>
      </w:tblPr>
      <w:tblGrid>
        <w:gridCol w:w="3410"/>
        <w:gridCol w:w="1080"/>
        <w:gridCol w:w="1080"/>
        <w:gridCol w:w="1080"/>
        <w:gridCol w:w="1080"/>
        <w:gridCol w:w="1150"/>
      </w:tblGrid>
      <w:tr w:rsidR="00B47667">
        <w:trPr>
          <w:trHeight w:val="520"/>
          <w:jc w:val="center"/>
        </w:trPr>
        <w:tc>
          <w:tcPr>
            <w:tcW w:w="3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所在区/项目</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尚未完工</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已完工</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终止</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小计</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其中已完成验收</w:t>
            </w:r>
          </w:p>
        </w:tc>
      </w:tr>
      <w:tr w:rsidR="00B47667">
        <w:trPr>
          <w:trHeight w:val="300"/>
          <w:jc w:val="center"/>
        </w:trPr>
        <w:tc>
          <w:tcPr>
            <w:tcW w:w="3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left"/>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市本级</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r>
      <w:tr w:rsidR="00B47667">
        <w:trPr>
          <w:trHeight w:val="300"/>
          <w:jc w:val="center"/>
        </w:trPr>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绿色防控试验示范与推广</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r>
      <w:tr w:rsidR="00B47667">
        <w:trPr>
          <w:trHeight w:val="300"/>
          <w:jc w:val="center"/>
        </w:trPr>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高效特色园艺基地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r>
      <w:tr w:rsidR="00B47667">
        <w:trPr>
          <w:trHeight w:val="300"/>
          <w:jc w:val="center"/>
        </w:trPr>
        <w:tc>
          <w:tcPr>
            <w:tcW w:w="3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left"/>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江宁区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r>
      <w:tr w:rsidR="00B47667">
        <w:trPr>
          <w:trHeight w:val="300"/>
          <w:jc w:val="center"/>
        </w:trPr>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标准化菜地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r>
      <w:tr w:rsidR="00B47667">
        <w:trPr>
          <w:trHeight w:val="300"/>
          <w:jc w:val="center"/>
        </w:trPr>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设施蔬菜园艺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r>
      <w:tr w:rsidR="00B47667">
        <w:trPr>
          <w:trHeight w:val="300"/>
          <w:jc w:val="center"/>
        </w:trPr>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left"/>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浦口区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8</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9</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r>
      <w:tr w:rsidR="00B47667">
        <w:trPr>
          <w:trHeight w:val="300"/>
          <w:jc w:val="center"/>
        </w:trPr>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绿色防控试验示范与推广</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r>
      <w:tr w:rsidR="00B47667">
        <w:trPr>
          <w:trHeight w:val="300"/>
          <w:jc w:val="center"/>
        </w:trPr>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设施蔬菜园艺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r>
      <w:tr w:rsidR="00B47667">
        <w:trPr>
          <w:trHeight w:val="300"/>
          <w:jc w:val="center"/>
        </w:trPr>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高效特色园艺基地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r>
      <w:tr w:rsidR="00B47667">
        <w:trPr>
          <w:trHeight w:val="300"/>
          <w:jc w:val="center"/>
        </w:trPr>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left"/>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江北新区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r>
      <w:tr w:rsidR="00B47667">
        <w:trPr>
          <w:trHeight w:val="300"/>
          <w:jc w:val="center"/>
        </w:trPr>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绿色防控试验示范与推广</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r>
      <w:tr w:rsidR="00B47667">
        <w:trPr>
          <w:trHeight w:val="300"/>
          <w:jc w:val="center"/>
        </w:trPr>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设施蔬菜园艺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r>
      <w:tr w:rsidR="00B47667">
        <w:trPr>
          <w:trHeight w:val="300"/>
          <w:jc w:val="center"/>
        </w:trPr>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left"/>
              <w:textAlignment w:val="center"/>
              <w:rPr>
                <w:rFonts w:ascii="仿宋" w:eastAsia="仿宋" w:hAnsi="仿宋" w:cs="仿宋"/>
                <w:b/>
                <w:bCs/>
                <w:color w:val="000000"/>
                <w:sz w:val="20"/>
                <w:szCs w:val="20"/>
              </w:rPr>
            </w:pPr>
            <w:proofErr w:type="gramStart"/>
            <w:r>
              <w:rPr>
                <w:rFonts w:ascii="仿宋" w:eastAsia="仿宋" w:hAnsi="仿宋" w:cs="仿宋" w:hint="eastAsia"/>
                <w:b/>
                <w:bCs/>
                <w:color w:val="000000"/>
                <w:kern w:val="0"/>
                <w:sz w:val="20"/>
                <w:szCs w:val="20"/>
                <w:lang w:bidi="ar"/>
              </w:rPr>
              <w:t>六合区</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r>
      <w:tr w:rsidR="00B47667">
        <w:trPr>
          <w:trHeight w:val="300"/>
          <w:jc w:val="center"/>
        </w:trPr>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标准化菜地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r>
      <w:tr w:rsidR="00B47667">
        <w:trPr>
          <w:trHeight w:val="300"/>
          <w:jc w:val="center"/>
        </w:trPr>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绿色防控试验示范与推广</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w:t>
            </w:r>
          </w:p>
        </w:tc>
      </w:tr>
      <w:tr w:rsidR="00B47667">
        <w:trPr>
          <w:trHeight w:val="300"/>
          <w:jc w:val="center"/>
        </w:trPr>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设施蔬菜园艺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r>
      <w:tr w:rsidR="00B47667">
        <w:trPr>
          <w:trHeight w:val="300"/>
          <w:jc w:val="center"/>
        </w:trPr>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left"/>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高淳区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32</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r>
      <w:tr w:rsidR="00B47667">
        <w:trPr>
          <w:trHeight w:val="300"/>
          <w:jc w:val="center"/>
        </w:trPr>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绿色防控试验示范与推广</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9</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12</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r>
      <w:tr w:rsidR="00B47667">
        <w:trPr>
          <w:trHeight w:val="300"/>
          <w:jc w:val="center"/>
        </w:trPr>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设施蔬菜园艺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8</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8</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16</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r>
      <w:tr w:rsidR="00B47667">
        <w:trPr>
          <w:trHeight w:val="300"/>
          <w:jc w:val="center"/>
        </w:trPr>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高效特色园艺基地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r>
      <w:tr w:rsidR="00B47667">
        <w:trPr>
          <w:trHeight w:val="300"/>
          <w:jc w:val="center"/>
        </w:trPr>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left"/>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溧水区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31</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r>
      <w:tr w:rsidR="00B47667">
        <w:trPr>
          <w:trHeight w:val="300"/>
          <w:jc w:val="center"/>
        </w:trPr>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绿色防控试验示范与推广</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r>
      <w:tr w:rsidR="00B47667">
        <w:trPr>
          <w:trHeight w:val="300"/>
          <w:jc w:val="center"/>
        </w:trPr>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设施蔬菜园艺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19</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25</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color w:val="000000"/>
                <w:sz w:val="20"/>
                <w:szCs w:val="20"/>
              </w:rPr>
            </w:pPr>
          </w:p>
        </w:tc>
      </w:tr>
      <w:tr w:rsidR="00B47667">
        <w:trPr>
          <w:trHeight w:val="300"/>
          <w:jc w:val="center"/>
        </w:trPr>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left"/>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栖霞区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8</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b/>
                <w:bCs/>
                <w:color w:val="000000"/>
                <w:sz w:val="20"/>
                <w:szCs w:val="20"/>
              </w:rPr>
            </w:pPr>
          </w:p>
        </w:tc>
      </w:tr>
      <w:tr w:rsidR="00B47667">
        <w:trPr>
          <w:trHeight w:val="300"/>
          <w:jc w:val="center"/>
        </w:trPr>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设施蔬菜园艺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8</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B47667">
            <w:pPr>
              <w:jc w:val="center"/>
              <w:rPr>
                <w:rFonts w:ascii="仿宋" w:eastAsia="仿宋" w:hAnsi="仿宋" w:cs="仿宋"/>
                <w:b/>
                <w:bCs/>
                <w:color w:val="000000"/>
                <w:sz w:val="20"/>
                <w:szCs w:val="20"/>
              </w:rPr>
            </w:pPr>
          </w:p>
        </w:tc>
      </w:tr>
      <w:tr w:rsidR="00B47667">
        <w:trPr>
          <w:trHeight w:val="300"/>
          <w:jc w:val="center"/>
        </w:trPr>
        <w:tc>
          <w:tcPr>
            <w:tcW w:w="3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left"/>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合计</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21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72</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97</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7667" w:rsidRDefault="00233C16">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9</w:t>
            </w:r>
          </w:p>
        </w:tc>
      </w:tr>
    </w:tbl>
    <w:p w:rsidR="00B47667" w:rsidRDefault="00233C16">
      <w:pPr>
        <w:pStyle w:val="2"/>
        <w:spacing w:before="0" w:after="0" w:line="560" w:lineRule="exact"/>
        <w:ind w:firstLineChars="200" w:firstLine="562"/>
        <w:rPr>
          <w:rFonts w:ascii="黑体" w:hAnsi="黑体" w:cs="黑体"/>
          <w:sz w:val="28"/>
          <w:szCs w:val="28"/>
        </w:rPr>
      </w:pPr>
      <w:bookmarkStart w:id="8" w:name="_Toc201654637"/>
      <w:bookmarkStart w:id="9" w:name="_Toc8527"/>
      <w:r>
        <w:rPr>
          <w:rFonts w:ascii="黑体" w:hAnsi="黑体" w:cs="黑体" w:hint="eastAsia"/>
          <w:sz w:val="28"/>
          <w:szCs w:val="28"/>
        </w:rPr>
        <w:lastRenderedPageBreak/>
        <w:t>（五）项目绩效目标</w:t>
      </w:r>
      <w:bookmarkEnd w:id="8"/>
      <w:bookmarkEnd w:id="9"/>
    </w:p>
    <w:p w:rsidR="00B47667" w:rsidRDefault="00233C16">
      <w:pPr>
        <w:pStyle w:val="3"/>
        <w:spacing w:before="0" w:after="0" w:line="560" w:lineRule="exact"/>
        <w:ind w:firstLineChars="200" w:firstLine="562"/>
        <w:rPr>
          <w:rFonts w:ascii="黑体" w:eastAsia="黑体" w:hAnsi="黑体" w:cs="黑体"/>
          <w:sz w:val="28"/>
          <w:szCs w:val="28"/>
        </w:rPr>
      </w:pPr>
      <w:r>
        <w:rPr>
          <w:rFonts w:ascii="黑体" w:eastAsia="黑体" w:hAnsi="黑体" w:cs="黑体" w:hint="eastAsia"/>
          <w:sz w:val="28"/>
          <w:szCs w:val="28"/>
        </w:rPr>
        <w:t>1.中长期目标</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到2025年，全市建成100个左右市级标准化菜地，设施蔬菜园艺面积稳定在85万亩左右，在300个以上基地示范推广绿色防控技术模式，全市高效特色园艺基地达120个左右。</w:t>
      </w:r>
    </w:p>
    <w:p w:rsidR="00B47667" w:rsidRDefault="00233C16">
      <w:pPr>
        <w:pStyle w:val="3"/>
        <w:spacing w:before="0" w:after="0" w:line="560" w:lineRule="exact"/>
        <w:ind w:firstLineChars="200" w:firstLine="562"/>
        <w:rPr>
          <w:rFonts w:ascii="黑体" w:eastAsia="黑体" w:hAnsi="黑体" w:cs="黑体"/>
          <w:sz w:val="28"/>
          <w:szCs w:val="28"/>
        </w:rPr>
      </w:pPr>
      <w:r>
        <w:rPr>
          <w:rFonts w:ascii="黑体" w:eastAsia="黑体" w:hAnsi="黑体" w:cs="黑体" w:hint="eastAsia"/>
          <w:sz w:val="28"/>
          <w:szCs w:val="28"/>
        </w:rPr>
        <w:t>2.年度绩效目标</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根据蔬菜园艺处提供的《2024年南京市市级项目预算绩效目标表》，2024年，全市新建设施蔬菜园艺项目44个，在5个左右基地开展绿色防控试验示范与推广，新（改）建高效特色园艺基地9个左右。</w:t>
      </w:r>
    </w:p>
    <w:p w:rsidR="00B47667" w:rsidRDefault="00233C16">
      <w:pPr>
        <w:pStyle w:val="3"/>
        <w:spacing w:before="0" w:after="0" w:line="560" w:lineRule="exact"/>
        <w:ind w:firstLineChars="200" w:firstLine="562"/>
        <w:rPr>
          <w:rFonts w:ascii="黑体" w:eastAsia="黑体" w:hAnsi="黑体" w:cs="黑体"/>
          <w:sz w:val="28"/>
          <w:szCs w:val="28"/>
        </w:rPr>
      </w:pPr>
      <w:r>
        <w:rPr>
          <w:rFonts w:ascii="黑体" w:eastAsia="黑体" w:hAnsi="黑体" w:cs="黑体" w:hint="eastAsia"/>
          <w:sz w:val="28"/>
          <w:szCs w:val="28"/>
        </w:rPr>
        <w:t>3.目标合理性分析</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推进蔬菜园艺产业高质量发展是顺应当前农业供给侧结构性调整需要，可有效解决农业供给不平衡的问题，是加快农业转型升级和促进农民增收的重要途径之一。</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根据《“菜篮子”工程绿色蔬菜保供基地建设“十四五”规划》及《南京市“十四五”农业农村现代化规划》文件，</w:t>
      </w:r>
      <w:r>
        <w:rPr>
          <w:rFonts w:ascii="仿宋" w:eastAsia="仿宋" w:hAnsi="仿宋" w:cs="仿宋" w:hint="eastAsia"/>
          <w:bCs/>
          <w:kern w:val="0"/>
          <w:sz w:val="28"/>
          <w:szCs w:val="28"/>
        </w:rPr>
        <w:t>2024年市级现代蔬菜园艺高质量发展项目从保障地产蔬菜供应、蔬菜园艺高水平生产以及促进农民增收等方面，对标准化菜地、设施蔬菜建设、绿色防控示范推广、高效特色园艺</w:t>
      </w:r>
      <w:r>
        <w:rPr>
          <w:rFonts w:ascii="仿宋" w:eastAsia="仿宋" w:hAnsi="仿宋" w:cs="仿宋" w:hint="eastAsia"/>
          <w:sz w:val="28"/>
          <w:szCs w:val="28"/>
        </w:rPr>
        <w:t>等方面制定了目标和举措，有助于蔬菜园艺高质量发展项目的实施，对提升蔬菜园艺产业能级具有重要作用，能够为推动全市特色小镇、特色田园乡村和休闲农业打好产业基础。因此，2024年市级现代蔬菜园艺高质量发展项目绩效目标是可行、合理的。</w:t>
      </w:r>
    </w:p>
    <w:p w:rsidR="00B47667" w:rsidRDefault="00233C16">
      <w:pPr>
        <w:pStyle w:val="1"/>
        <w:spacing w:before="0" w:after="0" w:line="560" w:lineRule="exact"/>
        <w:ind w:firstLineChars="200" w:firstLine="562"/>
        <w:rPr>
          <w:rFonts w:ascii="黑体" w:eastAsia="黑体" w:hAnsi="黑体" w:cs="黑体"/>
          <w:sz w:val="28"/>
          <w:szCs w:val="28"/>
        </w:rPr>
      </w:pPr>
      <w:bookmarkStart w:id="10" w:name="_Toc8167"/>
      <w:bookmarkStart w:id="11" w:name="_Toc201654638"/>
      <w:r>
        <w:rPr>
          <w:rFonts w:ascii="黑体" w:eastAsia="黑体" w:hAnsi="黑体" w:cs="黑体" w:hint="eastAsia"/>
          <w:sz w:val="28"/>
          <w:szCs w:val="28"/>
        </w:rPr>
        <w:lastRenderedPageBreak/>
        <w:t>二、绩效评价</w:t>
      </w:r>
      <w:bookmarkEnd w:id="10"/>
      <w:r>
        <w:rPr>
          <w:rFonts w:ascii="黑体" w:eastAsia="黑体" w:hAnsi="黑体" w:cs="黑体" w:hint="eastAsia"/>
          <w:sz w:val="28"/>
          <w:szCs w:val="28"/>
        </w:rPr>
        <w:t>结论</w:t>
      </w:r>
      <w:bookmarkEnd w:id="11"/>
    </w:p>
    <w:p w:rsidR="00B47667" w:rsidRDefault="00233C16">
      <w:pPr>
        <w:pStyle w:val="2"/>
        <w:spacing w:before="0" w:after="0" w:line="560" w:lineRule="exact"/>
        <w:ind w:firstLineChars="200" w:firstLine="562"/>
        <w:rPr>
          <w:rFonts w:ascii="黑体" w:hAnsi="黑体" w:cs="黑体"/>
          <w:sz w:val="28"/>
          <w:szCs w:val="28"/>
        </w:rPr>
      </w:pPr>
      <w:bookmarkStart w:id="12" w:name="_Toc15592"/>
      <w:bookmarkStart w:id="13" w:name="_Toc201654639"/>
      <w:r>
        <w:rPr>
          <w:rFonts w:ascii="黑体" w:hAnsi="黑体" w:cs="黑体" w:hint="eastAsia"/>
          <w:sz w:val="28"/>
          <w:szCs w:val="28"/>
        </w:rPr>
        <w:t>（一）评价对象</w:t>
      </w:r>
      <w:bookmarkEnd w:id="12"/>
      <w:bookmarkEnd w:id="13"/>
    </w:p>
    <w:p w:rsidR="00B47667" w:rsidRDefault="00233C16">
      <w:pPr>
        <w:spacing w:line="560" w:lineRule="exact"/>
        <w:ind w:firstLineChars="200" w:firstLine="560"/>
        <w:rPr>
          <w:rFonts w:ascii="仿宋" w:eastAsia="仿宋" w:hAnsi="仿宋" w:cs="仿宋"/>
          <w:bCs/>
          <w:sz w:val="28"/>
          <w:szCs w:val="28"/>
        </w:rPr>
      </w:pPr>
      <w:r>
        <w:rPr>
          <w:rFonts w:ascii="仿宋" w:eastAsia="仿宋" w:hAnsi="仿宋" w:cs="仿宋" w:hint="eastAsia"/>
          <w:bCs/>
          <w:sz w:val="28"/>
          <w:szCs w:val="28"/>
        </w:rPr>
        <w:t>市本级及区级立项并报市级备案的2024年市级现代蔬菜园艺高质量发展项目，共计97个（市本级2个），其中：标准化菜地3个、设施蔬菜园艺58个（溧水区终止2个，2025年4月重新立项2个项目；栖霞区终止1个）、绿色防控试验示范与推广26个、高效特色园艺基地10个，涉及市级财政资金9,465.74万元（约束性任务资金8,496.79万元、指导性任务资金968.95万元）。</w:t>
      </w:r>
    </w:p>
    <w:p w:rsidR="00B47667" w:rsidRDefault="00233C16">
      <w:pPr>
        <w:pStyle w:val="2"/>
        <w:spacing w:before="0" w:after="0" w:line="560" w:lineRule="exact"/>
        <w:ind w:firstLineChars="200" w:firstLine="562"/>
        <w:rPr>
          <w:rFonts w:ascii="黑体" w:hAnsi="黑体" w:cs="黑体"/>
          <w:sz w:val="28"/>
          <w:szCs w:val="28"/>
        </w:rPr>
      </w:pPr>
      <w:bookmarkStart w:id="14" w:name="_Toc201654640"/>
      <w:r>
        <w:rPr>
          <w:rFonts w:ascii="黑体" w:hAnsi="黑体" w:cs="黑体" w:hint="eastAsia"/>
          <w:sz w:val="28"/>
          <w:szCs w:val="28"/>
        </w:rPr>
        <w:t>（二）评价结果</w:t>
      </w:r>
      <w:bookmarkEnd w:id="14"/>
    </w:p>
    <w:p w:rsidR="00B47667" w:rsidRDefault="00233C16">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根据《项目支出绩效评价管理办法》（财预〔2020〕10 号），结合《2024年市级现代蔬菜园艺高质量发展项目预算绩效目标》，</w:t>
      </w:r>
      <w:proofErr w:type="gramStart"/>
      <w:r>
        <w:rPr>
          <w:rFonts w:ascii="仿宋" w:eastAsia="仿宋" w:hAnsi="仿宋" w:cs="仿宋" w:hint="eastAsia"/>
          <w:bCs/>
          <w:kern w:val="0"/>
          <w:sz w:val="28"/>
          <w:szCs w:val="28"/>
        </w:rPr>
        <w:t>评价组</w:t>
      </w:r>
      <w:proofErr w:type="gramEnd"/>
      <w:r>
        <w:rPr>
          <w:rFonts w:ascii="仿宋" w:eastAsia="仿宋" w:hAnsi="仿宋" w:cs="仿宋" w:hint="eastAsia"/>
          <w:bCs/>
          <w:kern w:val="0"/>
          <w:sz w:val="28"/>
          <w:szCs w:val="28"/>
        </w:rPr>
        <w:t>对项目特点进行研究，按照项目决策、项目过程、项目产出、项目效益、项目满意度五类一级指标，在一级指标下分别设定二级指标13个、三级指标25个，确定各类分值及扣分标准，按照绩效评价有关规定综合评分，评价结果采取百分制，按照综合评分划分为4个等级，其中90（含）-100分为优、80（含）-90分为良、60（含）-80分为中、60分以下为差。</w:t>
      </w:r>
    </w:p>
    <w:p w:rsidR="00B47667" w:rsidRDefault="00233C16">
      <w:pPr>
        <w:spacing w:line="560" w:lineRule="exact"/>
        <w:ind w:firstLineChars="200" w:firstLine="560"/>
        <w:rPr>
          <w:rFonts w:ascii="仿宋" w:eastAsia="仿宋" w:hAnsi="仿宋" w:cs="仿宋"/>
          <w:bCs/>
          <w:kern w:val="0"/>
          <w:sz w:val="28"/>
          <w:szCs w:val="28"/>
        </w:rPr>
      </w:pPr>
      <w:proofErr w:type="gramStart"/>
      <w:r>
        <w:rPr>
          <w:rFonts w:ascii="仿宋" w:eastAsia="仿宋" w:hAnsi="仿宋" w:cs="仿宋"/>
          <w:bCs/>
          <w:kern w:val="0"/>
          <w:sz w:val="28"/>
          <w:szCs w:val="28"/>
        </w:rPr>
        <w:t>经基础</w:t>
      </w:r>
      <w:proofErr w:type="gramEnd"/>
      <w:r>
        <w:rPr>
          <w:rFonts w:ascii="仿宋" w:eastAsia="仿宋" w:hAnsi="仿宋" w:cs="仿宋"/>
          <w:bCs/>
          <w:kern w:val="0"/>
          <w:sz w:val="28"/>
          <w:szCs w:val="28"/>
        </w:rPr>
        <w:t>数据采集、现场核查、发放调查问卷等评价过程，2024年市级现代蔬菜园艺高质量发展项目综合得分</w:t>
      </w:r>
      <w:r>
        <w:rPr>
          <w:rFonts w:ascii="仿宋" w:eastAsia="仿宋" w:hAnsi="仿宋" w:cs="仿宋" w:hint="eastAsia"/>
          <w:bCs/>
          <w:kern w:val="0"/>
          <w:sz w:val="28"/>
          <w:szCs w:val="28"/>
        </w:rPr>
        <w:t>91.70</w:t>
      </w:r>
      <w:r>
        <w:rPr>
          <w:rFonts w:ascii="仿宋" w:eastAsia="仿宋" w:hAnsi="仿宋" w:cs="仿宋"/>
          <w:bCs/>
          <w:kern w:val="0"/>
          <w:sz w:val="28"/>
          <w:szCs w:val="28"/>
        </w:rPr>
        <w:t>，该项目绩效评价级别为“</w:t>
      </w:r>
      <w:r>
        <w:rPr>
          <w:rFonts w:ascii="仿宋" w:eastAsia="仿宋" w:hAnsi="仿宋" w:cs="仿宋" w:hint="eastAsia"/>
          <w:bCs/>
          <w:kern w:val="0"/>
          <w:sz w:val="28"/>
          <w:szCs w:val="28"/>
        </w:rPr>
        <w:t>优</w:t>
      </w:r>
      <w:r>
        <w:rPr>
          <w:rFonts w:ascii="仿宋" w:eastAsia="仿宋" w:hAnsi="仿宋" w:cs="仿宋"/>
          <w:bCs/>
          <w:kern w:val="0"/>
          <w:sz w:val="28"/>
          <w:szCs w:val="28"/>
        </w:rPr>
        <w:t>”，附评分简表如下：</w:t>
      </w:r>
    </w:p>
    <w:p w:rsidR="00B47667" w:rsidRDefault="00233C16">
      <w:pPr>
        <w:spacing w:line="560" w:lineRule="exact"/>
        <w:ind w:firstLineChars="200" w:firstLine="560"/>
        <w:rPr>
          <w:rFonts w:ascii="仿宋" w:eastAsia="仿宋" w:hAnsi="仿宋" w:cs="仿宋"/>
          <w:bCs/>
          <w:kern w:val="0"/>
          <w:sz w:val="28"/>
          <w:szCs w:val="28"/>
        </w:rPr>
      </w:pPr>
      <w:r>
        <w:rPr>
          <w:rFonts w:ascii="仿宋" w:eastAsia="仿宋" w:hAnsi="仿宋" w:cs="仿宋"/>
          <w:bCs/>
          <w:kern w:val="0"/>
          <w:sz w:val="28"/>
          <w:szCs w:val="28"/>
        </w:rPr>
        <w:t>2024年市级现代蔬菜园艺高质量发展项目绩效评价评分简表</w:t>
      </w:r>
    </w:p>
    <w:p w:rsidR="00B47667" w:rsidRDefault="00B47667">
      <w:pPr>
        <w:spacing w:line="560" w:lineRule="exact"/>
        <w:ind w:firstLineChars="200" w:firstLine="560"/>
        <w:rPr>
          <w:rFonts w:ascii="仿宋" w:eastAsia="仿宋" w:hAnsi="仿宋" w:cs="仿宋"/>
          <w:bCs/>
          <w:kern w:val="0"/>
          <w:sz w:val="28"/>
          <w:szCs w:val="28"/>
        </w:rPr>
      </w:pPr>
    </w:p>
    <w:tbl>
      <w:tblPr>
        <w:tblW w:w="8220" w:type="dxa"/>
        <w:jc w:val="center"/>
        <w:tblLook w:val="04A0" w:firstRow="1" w:lastRow="0" w:firstColumn="1" w:lastColumn="0" w:noHBand="0" w:noVBand="1"/>
      </w:tblPr>
      <w:tblGrid>
        <w:gridCol w:w="1110"/>
        <w:gridCol w:w="1120"/>
        <w:gridCol w:w="1150"/>
        <w:gridCol w:w="1200"/>
        <w:gridCol w:w="1160"/>
        <w:gridCol w:w="1410"/>
        <w:gridCol w:w="1070"/>
      </w:tblGrid>
      <w:tr w:rsidR="00B47667">
        <w:trPr>
          <w:trHeight w:val="540"/>
          <w:jc w:val="center"/>
        </w:trPr>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项    目</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决策指标</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过程指标</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产出指标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效益指标</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满意度指标</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合计分值</w:t>
            </w:r>
          </w:p>
        </w:tc>
      </w:tr>
      <w:tr w:rsidR="00B47667">
        <w:trPr>
          <w:trHeight w:val="280"/>
          <w:jc w:val="center"/>
        </w:trPr>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标准分值</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18</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16</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50</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12</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4</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100</w:t>
            </w:r>
          </w:p>
        </w:tc>
      </w:tr>
      <w:tr w:rsidR="00B47667">
        <w:trPr>
          <w:trHeight w:val="280"/>
          <w:jc w:val="center"/>
        </w:trPr>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评价得分</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18</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12.49</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45.21</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12</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4</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91.7</w:t>
            </w:r>
          </w:p>
        </w:tc>
      </w:tr>
      <w:tr w:rsidR="00B47667">
        <w:trPr>
          <w:trHeight w:val="280"/>
          <w:jc w:val="center"/>
        </w:trPr>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得分率</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100.00%</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78.06%</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90.42%</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100.00%</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100.00%</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667" w:rsidRDefault="00233C16">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91.70%</w:t>
            </w:r>
          </w:p>
        </w:tc>
      </w:tr>
    </w:tbl>
    <w:p w:rsidR="00B47667" w:rsidRDefault="00233C16">
      <w:pPr>
        <w:pStyle w:val="2"/>
        <w:spacing w:before="0" w:after="0" w:line="560" w:lineRule="exact"/>
        <w:ind w:firstLineChars="200" w:firstLine="562"/>
        <w:rPr>
          <w:rFonts w:ascii="黑体" w:hAnsi="黑体" w:cs="黑体"/>
          <w:sz w:val="28"/>
          <w:szCs w:val="28"/>
        </w:rPr>
      </w:pPr>
      <w:bookmarkStart w:id="15" w:name="_Toc201654641"/>
      <w:bookmarkStart w:id="16" w:name="_Toc26327"/>
      <w:r>
        <w:rPr>
          <w:rFonts w:ascii="黑体" w:hAnsi="黑体" w:cs="黑体" w:hint="eastAsia"/>
          <w:sz w:val="28"/>
          <w:szCs w:val="28"/>
        </w:rPr>
        <w:lastRenderedPageBreak/>
        <w:t>（三）绩效分析</w:t>
      </w:r>
      <w:bookmarkEnd w:id="15"/>
    </w:p>
    <w:p w:rsidR="00B47667" w:rsidRDefault="00233C16">
      <w:pPr>
        <w:pStyle w:val="3"/>
        <w:spacing w:before="0" w:after="0" w:line="560" w:lineRule="exact"/>
        <w:ind w:firstLineChars="200" w:firstLine="562"/>
        <w:rPr>
          <w:rFonts w:ascii="黑体" w:eastAsia="黑体" w:hAnsi="黑体" w:cs="黑体"/>
          <w:b w:val="0"/>
          <w:bCs/>
          <w:sz w:val="28"/>
          <w:szCs w:val="28"/>
        </w:rPr>
      </w:pPr>
      <w:r>
        <w:rPr>
          <w:rFonts w:ascii="黑体" w:eastAsia="黑体" w:hAnsi="黑体" w:cs="黑体" w:hint="eastAsia"/>
          <w:sz w:val="28"/>
          <w:szCs w:val="28"/>
        </w:rPr>
        <w:t>1.项目决策评价分析</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sz w:val="28"/>
          <w:szCs w:val="28"/>
        </w:rPr>
        <w:t>根据《南京市“十四五”现代农业发展规划》</w:t>
      </w:r>
      <w:r>
        <w:rPr>
          <w:rFonts w:ascii="仿宋" w:eastAsia="仿宋" w:hAnsi="仿宋" w:cs="仿宋" w:hint="eastAsia"/>
          <w:sz w:val="28"/>
          <w:szCs w:val="28"/>
        </w:rPr>
        <w:t>等文件，由市本级及区级立项并报市级备案的2024年市级现代蔬菜园艺高质量发展项目，共计97个，其中：标准化菜地3个、设施蔬菜园艺58个、绿色防控试验示范与推广26个、高效特色园艺基地10个，从获取到的市本级及区级批复的实施方案，上述97个项目均设立了项目绩效目标，总体上</w:t>
      </w:r>
      <w:proofErr w:type="gramStart"/>
      <w:r>
        <w:rPr>
          <w:rFonts w:ascii="仿宋" w:eastAsia="仿宋" w:hAnsi="仿宋" w:cs="仿宋" w:hint="eastAsia"/>
          <w:sz w:val="28"/>
          <w:szCs w:val="28"/>
        </w:rPr>
        <w:t>看符合</w:t>
      </w:r>
      <w:proofErr w:type="gramEnd"/>
      <w:r>
        <w:rPr>
          <w:rFonts w:ascii="仿宋" w:eastAsia="仿宋" w:hAnsi="仿宋" w:cs="仿宋" w:hint="eastAsia"/>
          <w:sz w:val="28"/>
          <w:szCs w:val="28"/>
        </w:rPr>
        <w:t>地方蔬菜生产、供给的实际需求，因此项目决策依据充分</w:t>
      </w:r>
      <w:proofErr w:type="gramStart"/>
      <w:r>
        <w:rPr>
          <w:rFonts w:ascii="仿宋" w:eastAsia="仿宋" w:hAnsi="仿宋" w:cs="仿宋" w:hint="eastAsia"/>
          <w:sz w:val="28"/>
          <w:szCs w:val="28"/>
        </w:rPr>
        <w:t>且程序</w:t>
      </w:r>
      <w:proofErr w:type="gramEnd"/>
      <w:r>
        <w:rPr>
          <w:rFonts w:ascii="仿宋" w:eastAsia="仿宋" w:hAnsi="仿宋" w:cs="仿宋" w:hint="eastAsia"/>
          <w:sz w:val="28"/>
          <w:szCs w:val="28"/>
        </w:rPr>
        <w:t>规范。</w:t>
      </w:r>
    </w:p>
    <w:p w:rsidR="00B47667" w:rsidRDefault="00233C16">
      <w:pPr>
        <w:pStyle w:val="3"/>
        <w:spacing w:before="0" w:after="0" w:line="560" w:lineRule="exact"/>
        <w:ind w:firstLineChars="200" w:firstLine="562"/>
        <w:rPr>
          <w:rFonts w:ascii="黑体" w:eastAsia="黑体" w:hAnsi="黑体" w:cs="黑体"/>
          <w:sz w:val="28"/>
          <w:szCs w:val="28"/>
        </w:rPr>
      </w:pPr>
      <w:r>
        <w:rPr>
          <w:rFonts w:ascii="黑体" w:eastAsia="黑体" w:hAnsi="黑体" w:cs="黑体" w:hint="eastAsia"/>
          <w:sz w:val="28"/>
          <w:szCs w:val="28"/>
        </w:rPr>
        <w:t>2.项目过程评价分析</w:t>
      </w:r>
    </w:p>
    <w:p w:rsidR="00B47667" w:rsidRDefault="00233C16">
      <w:pPr>
        <w:spacing w:line="560" w:lineRule="exact"/>
        <w:ind w:firstLineChars="200" w:firstLine="562"/>
        <w:rPr>
          <w:rFonts w:ascii="黑体" w:eastAsia="黑体" w:hAnsi="黑体" w:cs="黑体"/>
          <w:b/>
          <w:bCs/>
          <w:sz w:val="28"/>
          <w:szCs w:val="28"/>
        </w:rPr>
      </w:pPr>
      <w:r>
        <w:rPr>
          <w:rFonts w:ascii="黑体" w:eastAsia="黑体" w:hAnsi="黑体" w:cs="黑体" w:hint="eastAsia"/>
          <w:b/>
          <w:bCs/>
          <w:sz w:val="28"/>
          <w:szCs w:val="28"/>
        </w:rPr>
        <w:t>（1）资金管理评价分析</w:t>
      </w:r>
    </w:p>
    <w:p w:rsidR="00B47667" w:rsidRDefault="00233C16">
      <w:pPr>
        <w:spacing w:line="560" w:lineRule="exact"/>
        <w:ind w:firstLineChars="300" w:firstLine="843"/>
        <w:rPr>
          <w:rFonts w:ascii="黑体" w:eastAsia="黑体" w:hAnsi="黑体" w:cs="黑体"/>
          <w:b/>
          <w:bCs/>
          <w:sz w:val="28"/>
          <w:szCs w:val="28"/>
        </w:rPr>
      </w:pPr>
      <w:r>
        <w:rPr>
          <w:rFonts w:ascii="仿宋" w:eastAsia="仿宋" w:hAnsi="仿宋" w:cs="仿宋" w:hint="eastAsia"/>
          <w:b/>
          <w:bCs/>
          <w:sz w:val="28"/>
          <w:szCs w:val="28"/>
        </w:rPr>
        <w:t>①</w:t>
      </w:r>
      <w:r>
        <w:rPr>
          <w:rFonts w:ascii="黑体" w:eastAsia="黑体" w:hAnsi="黑体" w:cs="黑体" w:hint="eastAsia"/>
          <w:b/>
          <w:bCs/>
          <w:sz w:val="28"/>
          <w:szCs w:val="28"/>
        </w:rPr>
        <w:t>资金预算到位率分析</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市级财政补助资金9,465.74万元，其中：涉及南京7个</w:t>
      </w:r>
      <w:proofErr w:type="gramStart"/>
      <w:r>
        <w:rPr>
          <w:rFonts w:ascii="仿宋" w:eastAsia="仿宋" w:hAnsi="仿宋" w:cs="仿宋" w:hint="eastAsia"/>
          <w:sz w:val="28"/>
          <w:szCs w:val="28"/>
        </w:rPr>
        <w:t>涉农区</w:t>
      </w:r>
      <w:proofErr w:type="gramEnd"/>
      <w:r>
        <w:rPr>
          <w:rFonts w:ascii="仿宋" w:eastAsia="仿宋" w:hAnsi="仿宋" w:cs="仿宋" w:hint="eastAsia"/>
          <w:sz w:val="28"/>
          <w:szCs w:val="28"/>
        </w:rPr>
        <w:t>的项目补助资金已全部下达至区级财政，市本级补助资金已下达至项目实施单位（江苏丘陵地区南京农业科学研究所、南京市蔬菜科学研究所），预算资金到位率100.00%。</w:t>
      </w:r>
    </w:p>
    <w:p w:rsidR="00B47667" w:rsidRDefault="00233C16">
      <w:pPr>
        <w:spacing w:line="560" w:lineRule="exact"/>
        <w:ind w:firstLineChars="300" w:firstLine="843"/>
        <w:rPr>
          <w:rFonts w:ascii="黑体" w:eastAsia="黑体" w:hAnsi="黑体" w:cs="黑体"/>
          <w:b/>
          <w:bCs/>
          <w:sz w:val="28"/>
          <w:szCs w:val="28"/>
        </w:rPr>
      </w:pPr>
      <w:r>
        <w:rPr>
          <w:rFonts w:ascii="黑体" w:eastAsia="黑体" w:hAnsi="黑体" w:cs="黑体" w:hint="eastAsia"/>
          <w:b/>
          <w:bCs/>
          <w:sz w:val="28"/>
          <w:szCs w:val="28"/>
        </w:rPr>
        <w:t>②资金执行率分析</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经统计，市级补助资金已拨付至项目实施单位579.17万元（其中江北新区52.62万元、栖霞区411.67万元、</w:t>
      </w:r>
      <w:proofErr w:type="gramStart"/>
      <w:r>
        <w:rPr>
          <w:rFonts w:ascii="仿宋" w:eastAsia="仿宋" w:hAnsi="仿宋" w:cs="仿宋" w:hint="eastAsia"/>
          <w:sz w:val="28"/>
          <w:szCs w:val="28"/>
        </w:rPr>
        <w:t>六合区</w:t>
      </w:r>
      <w:proofErr w:type="gramEnd"/>
      <w:r>
        <w:rPr>
          <w:rFonts w:ascii="仿宋" w:eastAsia="仿宋" w:hAnsi="仿宋" w:cs="仿宋" w:hint="eastAsia"/>
          <w:sz w:val="28"/>
          <w:szCs w:val="28"/>
        </w:rPr>
        <w:t>114.88万元）；已拨付至物资供应单位60.08万元；已预拨项目补助资金至所在街道财政所796.00万元（根据江宁农财[2024]119号文件，已预拨80%的项目市级补助资金至所在区的财政所）；市本级项目补助资金支出109.97万元，资金执行率16.32%，</w:t>
      </w:r>
      <w:proofErr w:type="gramStart"/>
      <w:r>
        <w:rPr>
          <w:rFonts w:ascii="仿宋" w:eastAsia="仿宋" w:hAnsi="仿宋" w:cs="仿宋" w:hint="eastAsia"/>
          <w:sz w:val="28"/>
          <w:szCs w:val="28"/>
        </w:rPr>
        <w:t>自评价</w:t>
      </w:r>
      <w:proofErr w:type="gramEnd"/>
      <w:r>
        <w:rPr>
          <w:rFonts w:ascii="仿宋" w:eastAsia="仿宋" w:hAnsi="仿宋" w:cs="仿宋" w:hint="eastAsia"/>
          <w:sz w:val="28"/>
          <w:szCs w:val="28"/>
        </w:rPr>
        <w:t>扣分2.51分（权重分值3分）。</w:t>
      </w:r>
    </w:p>
    <w:p w:rsidR="00B47667" w:rsidRDefault="00233C16">
      <w:pPr>
        <w:spacing w:line="560" w:lineRule="exact"/>
        <w:ind w:firstLineChars="200" w:firstLine="562"/>
        <w:rPr>
          <w:rFonts w:ascii="黑体" w:eastAsia="黑体" w:hAnsi="黑体" w:cs="黑体"/>
          <w:b/>
          <w:bCs/>
          <w:sz w:val="28"/>
          <w:szCs w:val="28"/>
        </w:rPr>
      </w:pPr>
      <w:r>
        <w:rPr>
          <w:rFonts w:ascii="黑体" w:eastAsia="黑体" w:hAnsi="黑体" w:cs="黑体" w:hint="eastAsia"/>
          <w:b/>
          <w:bCs/>
          <w:sz w:val="28"/>
          <w:szCs w:val="28"/>
        </w:rPr>
        <w:lastRenderedPageBreak/>
        <w:t>（2）项目组织分析</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针对市本级项目，蔬菜园艺处成立了项目管理工作小组，实行“前期服务指导、中期监督推进、末期备案抽查和绩效评价”的项目管理流程，项目管理细化到人，分工明确。为确保项目有序开展，市局出台了《关于印发南京市相关农业大专项补助资金管理办法的通知》《关于进一步推进南京市涉农资金“大专项+任务清单”管理模式的实施意见》等政策文件，管理制度完善。</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针对区级项目，区级农业管理部门结合本区实际，制定了项目申报指南，有明确的支持重点、实施条件、补助对象、补助标准、支持方式、实施要求和监管措施。采取入库、竞争立项的方式筛选项目实施单位，将市定工作任务分解落实到具体项目。立项审批后组织项目实施单位编制项目实施方案，并对实施方案进行专家论证，确保实施方案的编制科学、合理。同时也制定了一系列的管理制度，确保项目顺利实施。</w:t>
      </w:r>
    </w:p>
    <w:p w:rsidR="00B47667" w:rsidRDefault="00233C16">
      <w:pPr>
        <w:pStyle w:val="3"/>
        <w:spacing w:before="0" w:after="0" w:line="560" w:lineRule="exact"/>
        <w:ind w:firstLineChars="200" w:firstLine="562"/>
        <w:rPr>
          <w:rFonts w:ascii="黑体" w:eastAsia="黑体" w:hAnsi="黑体" w:cs="黑体"/>
          <w:sz w:val="28"/>
          <w:szCs w:val="28"/>
        </w:rPr>
      </w:pPr>
      <w:r>
        <w:rPr>
          <w:rFonts w:ascii="黑体" w:eastAsia="黑体" w:hAnsi="黑体" w:cs="黑体" w:hint="eastAsia"/>
          <w:sz w:val="28"/>
          <w:szCs w:val="28"/>
        </w:rPr>
        <w:t>3.项目产出评价分析</w:t>
      </w:r>
    </w:p>
    <w:p w:rsidR="00B47667" w:rsidRDefault="00233C16">
      <w:pPr>
        <w:spacing w:line="560" w:lineRule="exact"/>
        <w:ind w:firstLineChars="200" w:firstLine="562"/>
        <w:rPr>
          <w:rFonts w:ascii="黑体" w:eastAsia="黑体" w:hAnsi="黑体" w:cs="黑体"/>
          <w:b/>
          <w:bCs/>
          <w:sz w:val="28"/>
          <w:szCs w:val="28"/>
        </w:rPr>
      </w:pPr>
      <w:r>
        <w:rPr>
          <w:rFonts w:ascii="黑体" w:eastAsia="黑体" w:hAnsi="黑体" w:cs="黑体" w:hint="eastAsia"/>
          <w:b/>
          <w:bCs/>
          <w:sz w:val="28"/>
          <w:szCs w:val="28"/>
        </w:rPr>
        <w:t>（1）产出数量分析</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2024年度，共新建标准化菜地3个、面积1,630亩，新建设施蔬菜园艺项目58个、面积4,288.54 亩，绿色防控试验示范与推广项目26个、面积5,270亩，新（改）建高效特色园艺基地10个。均完成了年度指标值。</w:t>
      </w:r>
    </w:p>
    <w:p w:rsidR="00B47667" w:rsidRDefault="00233C16">
      <w:pPr>
        <w:spacing w:line="560" w:lineRule="exact"/>
        <w:ind w:firstLineChars="200" w:firstLine="562"/>
        <w:rPr>
          <w:rFonts w:ascii="黑体" w:eastAsia="黑体" w:hAnsi="黑体" w:cs="黑体"/>
          <w:b/>
          <w:bCs/>
          <w:sz w:val="28"/>
          <w:szCs w:val="28"/>
        </w:rPr>
      </w:pPr>
      <w:r>
        <w:rPr>
          <w:rFonts w:ascii="黑体" w:eastAsia="黑体" w:hAnsi="黑体" w:cs="黑体" w:hint="eastAsia"/>
          <w:b/>
          <w:bCs/>
          <w:sz w:val="28"/>
          <w:szCs w:val="28"/>
        </w:rPr>
        <w:t>（2）质量指标分析</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从全市选择49个项目（≥50%）开展现场核查，走访实施项目的农业经营主体，</w:t>
      </w:r>
      <w:proofErr w:type="gramStart"/>
      <w:r>
        <w:rPr>
          <w:rFonts w:ascii="仿宋" w:eastAsia="仿宋" w:hAnsi="仿宋" w:cs="仿宋" w:hint="eastAsia"/>
          <w:sz w:val="28"/>
          <w:szCs w:val="28"/>
        </w:rPr>
        <w:t>通过调差问卷</w:t>
      </w:r>
      <w:proofErr w:type="gramEnd"/>
      <w:r>
        <w:rPr>
          <w:rFonts w:ascii="仿宋" w:eastAsia="仿宋" w:hAnsi="仿宋" w:cs="仿宋" w:hint="eastAsia"/>
          <w:sz w:val="28"/>
          <w:szCs w:val="28"/>
        </w:rPr>
        <w:t>和问询的方式了解项目实施情况，项目建成后都由项目实施主体落实经营发展。</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标准化菜地项目建成后实现标准化菜地“渠相通、路相连、旱能灌、涝能排、渍能降、机能进、土肥沃、高产出”的新面貌，生产条件明显得到改善。</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绿色防控项目，设定的目标值95%，已达到主要病虫害绿色防控综合防治效果95%的目标。</w:t>
      </w:r>
    </w:p>
    <w:p w:rsidR="00B47667" w:rsidRDefault="00233C16">
      <w:pPr>
        <w:spacing w:line="560" w:lineRule="exact"/>
        <w:ind w:firstLineChars="200" w:firstLine="562"/>
        <w:rPr>
          <w:rFonts w:ascii="黑体" w:eastAsia="黑体" w:hAnsi="黑体" w:cs="黑体"/>
          <w:b/>
          <w:bCs/>
          <w:sz w:val="28"/>
          <w:szCs w:val="28"/>
        </w:rPr>
      </w:pPr>
      <w:r>
        <w:rPr>
          <w:rFonts w:ascii="黑体" w:eastAsia="黑体" w:hAnsi="黑体" w:cs="黑体" w:hint="eastAsia"/>
          <w:b/>
          <w:bCs/>
          <w:sz w:val="28"/>
          <w:szCs w:val="28"/>
        </w:rPr>
        <w:t>（3）产出时效分析</w:t>
      </w:r>
    </w:p>
    <w:p w:rsidR="00B47667" w:rsidRDefault="00233C16">
      <w:pPr>
        <w:spacing w:line="560" w:lineRule="exact"/>
        <w:ind w:firstLineChars="200" w:firstLine="562"/>
        <w:rPr>
          <w:rFonts w:ascii="仿宋" w:eastAsia="仿宋" w:hAnsi="仿宋" w:cs="仿宋"/>
          <w:sz w:val="28"/>
          <w:szCs w:val="28"/>
        </w:rPr>
      </w:pPr>
      <w:r>
        <w:rPr>
          <w:rFonts w:ascii="黑体" w:eastAsia="黑体" w:hAnsi="黑体" w:cs="黑体" w:hint="eastAsia"/>
          <w:b/>
          <w:bCs/>
          <w:sz w:val="28"/>
          <w:szCs w:val="28"/>
        </w:rPr>
        <w:t xml:space="preserve"> </w:t>
      </w:r>
      <w:r>
        <w:rPr>
          <w:rFonts w:ascii="仿宋" w:eastAsia="仿宋" w:hAnsi="仿宋" w:cs="仿宋" w:hint="eastAsia"/>
          <w:sz w:val="28"/>
          <w:szCs w:val="28"/>
        </w:rPr>
        <w:t>项目按时完成率：截至2025年6月，全市项目共完工72个，建设完成率74.23%，</w:t>
      </w:r>
      <w:proofErr w:type="gramStart"/>
      <w:r>
        <w:rPr>
          <w:rFonts w:ascii="仿宋" w:eastAsia="仿宋" w:hAnsi="仿宋" w:cs="仿宋" w:hint="eastAsia"/>
          <w:sz w:val="28"/>
          <w:szCs w:val="28"/>
        </w:rPr>
        <w:t>自评价扣</w:t>
      </w:r>
      <w:proofErr w:type="gramEnd"/>
      <w:r>
        <w:rPr>
          <w:rFonts w:ascii="仿宋" w:eastAsia="仿宋" w:hAnsi="仿宋" w:cs="仿宋" w:hint="eastAsia"/>
          <w:sz w:val="28"/>
          <w:szCs w:val="28"/>
        </w:rPr>
        <w:t>1.29分（权重分值5分）。</w:t>
      </w:r>
    </w:p>
    <w:p w:rsidR="00B47667" w:rsidRDefault="00233C16">
      <w:pPr>
        <w:spacing w:line="560" w:lineRule="exact"/>
        <w:ind w:firstLineChars="228" w:firstLine="638"/>
        <w:rPr>
          <w:rFonts w:ascii="仿宋" w:eastAsia="仿宋" w:hAnsi="仿宋" w:cs="仿宋"/>
          <w:sz w:val="28"/>
          <w:szCs w:val="28"/>
        </w:rPr>
      </w:pPr>
      <w:r>
        <w:rPr>
          <w:rFonts w:ascii="仿宋" w:eastAsia="仿宋" w:hAnsi="仿宋" w:cs="仿宋" w:hint="eastAsia"/>
          <w:sz w:val="28"/>
          <w:szCs w:val="28"/>
        </w:rPr>
        <w:t>项目验收及时率：全市共完成验收项目9个，验收及时率12.50%，</w:t>
      </w:r>
      <w:proofErr w:type="gramStart"/>
      <w:r>
        <w:rPr>
          <w:rFonts w:ascii="仿宋" w:eastAsia="仿宋" w:hAnsi="仿宋" w:cs="仿宋" w:hint="eastAsia"/>
          <w:sz w:val="28"/>
          <w:szCs w:val="28"/>
        </w:rPr>
        <w:t>自评价扣</w:t>
      </w:r>
      <w:proofErr w:type="gramEnd"/>
      <w:r>
        <w:rPr>
          <w:rFonts w:ascii="仿宋" w:eastAsia="仿宋" w:hAnsi="仿宋" w:cs="仿宋" w:hint="eastAsia"/>
          <w:sz w:val="28"/>
          <w:szCs w:val="28"/>
        </w:rPr>
        <w:t>4.37分（权重分值5分）。</w:t>
      </w:r>
    </w:p>
    <w:p w:rsidR="00B47667" w:rsidRDefault="00233C16">
      <w:pPr>
        <w:pStyle w:val="3"/>
        <w:spacing w:before="0" w:after="0" w:line="560" w:lineRule="exact"/>
        <w:ind w:firstLineChars="200" w:firstLine="562"/>
        <w:rPr>
          <w:rFonts w:ascii="黑体" w:eastAsia="黑体" w:hAnsi="黑体" w:cs="黑体"/>
          <w:sz w:val="28"/>
          <w:szCs w:val="28"/>
        </w:rPr>
      </w:pPr>
      <w:r>
        <w:rPr>
          <w:rFonts w:ascii="黑体" w:eastAsia="黑体" w:hAnsi="黑体" w:cs="黑体" w:hint="eastAsia"/>
          <w:sz w:val="28"/>
          <w:szCs w:val="28"/>
        </w:rPr>
        <w:t>4.项目效益指标分析</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经济效益方面。项目建成后，蔬菜园艺基地完善设施条件，提高抵抗不利自然气候影响，增加高品质蔬菜园艺产品供给，提高市场竞争力，进而提高销售价格；项目支持实施绿色防控技术新模式，实现节本增效；支持示范引进新品种，开拓新兴市场渠道，提高了产出附加值。经对已完工并产出项目测算，项目建成投产后亩效益平均提高5%。</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生态效益方面。项目建成后，通过标准化生产大大减少了因病害防治的用药量，保障了蔬菜绿色、安全，减少农药残留问题，增加本地新鲜蔬菜供应，提升居民健康水平。</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可持续性方面。项目建成后，依托于农业设施的更新完善，蔬果基地得以实现周年供应。部分实施主体建立了订单农业模式，与超市（如盒马）、电商平台（如叮咚买菜）等建立了长期合作关系，保障销路。同时推广“合作社+农户”“企业+基地+农户”的模式，生产</w:t>
      </w:r>
      <w:r>
        <w:rPr>
          <w:rFonts w:ascii="仿宋" w:eastAsia="仿宋" w:hAnsi="仿宋" w:cs="仿宋" w:hint="eastAsia"/>
          <w:sz w:val="28"/>
          <w:szCs w:val="28"/>
        </w:rPr>
        <w:lastRenderedPageBreak/>
        <w:t>基地在定点定向供应蔬果的同时，还示范、带动了周边合作社、家庭农场和农户的蔬果销售。</w:t>
      </w:r>
    </w:p>
    <w:p w:rsidR="00B47667" w:rsidRDefault="00233C16">
      <w:pPr>
        <w:pStyle w:val="3"/>
        <w:spacing w:before="0" w:after="0" w:line="560" w:lineRule="exact"/>
        <w:ind w:firstLineChars="200" w:firstLine="562"/>
        <w:rPr>
          <w:rFonts w:ascii="黑体" w:eastAsia="黑体" w:hAnsi="黑体" w:cs="黑体"/>
          <w:sz w:val="28"/>
          <w:szCs w:val="28"/>
        </w:rPr>
      </w:pPr>
      <w:r>
        <w:rPr>
          <w:rFonts w:ascii="黑体" w:eastAsia="黑体" w:hAnsi="黑体" w:cs="黑体" w:hint="eastAsia"/>
          <w:sz w:val="28"/>
          <w:szCs w:val="28"/>
        </w:rPr>
        <w:t>5.社会公众或服务对象满意度指标分析</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通过“问卷星”网站，共收回56份调查问卷，整体满意率为91.07%。</w:t>
      </w:r>
    </w:p>
    <w:p w:rsidR="00B47667" w:rsidRDefault="00233C16">
      <w:pPr>
        <w:pStyle w:val="1"/>
        <w:spacing w:before="0" w:after="0" w:line="560" w:lineRule="exact"/>
        <w:ind w:firstLineChars="200" w:firstLine="562"/>
        <w:rPr>
          <w:rFonts w:ascii="黑体" w:eastAsia="黑体" w:hAnsi="黑体" w:cs="黑体"/>
          <w:sz w:val="28"/>
          <w:szCs w:val="28"/>
        </w:rPr>
      </w:pPr>
      <w:bookmarkStart w:id="17" w:name="_Toc201654642"/>
      <w:r>
        <w:rPr>
          <w:rFonts w:ascii="黑体" w:eastAsia="黑体" w:hAnsi="黑体" w:cs="黑体" w:hint="eastAsia"/>
          <w:sz w:val="28"/>
          <w:szCs w:val="28"/>
        </w:rPr>
        <w:t>三、项目主要成效</w:t>
      </w:r>
      <w:bookmarkEnd w:id="16"/>
      <w:bookmarkEnd w:id="17"/>
    </w:p>
    <w:p w:rsidR="00B47667" w:rsidRDefault="00233C16">
      <w:pPr>
        <w:pStyle w:val="2"/>
        <w:spacing w:before="0" w:after="0" w:line="560" w:lineRule="exact"/>
        <w:ind w:firstLineChars="200" w:firstLine="562"/>
        <w:rPr>
          <w:rFonts w:ascii="黑体" w:hAnsi="黑体" w:cs="黑体"/>
          <w:sz w:val="28"/>
          <w:szCs w:val="28"/>
        </w:rPr>
      </w:pPr>
      <w:bookmarkStart w:id="18" w:name="_Toc22869"/>
      <w:bookmarkStart w:id="19" w:name="_Toc201654643"/>
      <w:r>
        <w:rPr>
          <w:rFonts w:ascii="黑体" w:hAnsi="黑体" w:cs="黑体" w:hint="eastAsia"/>
          <w:sz w:val="28"/>
          <w:szCs w:val="28"/>
        </w:rPr>
        <w:t>（一）</w:t>
      </w:r>
      <w:proofErr w:type="gramStart"/>
      <w:r>
        <w:rPr>
          <w:rFonts w:ascii="黑体" w:hAnsi="黑体" w:cs="黑体" w:hint="eastAsia"/>
          <w:sz w:val="28"/>
          <w:szCs w:val="28"/>
        </w:rPr>
        <w:t>稳蔬菜</w:t>
      </w:r>
      <w:proofErr w:type="gramEnd"/>
      <w:r>
        <w:rPr>
          <w:rFonts w:ascii="黑体" w:hAnsi="黑体" w:cs="黑体" w:hint="eastAsia"/>
          <w:sz w:val="28"/>
          <w:szCs w:val="28"/>
        </w:rPr>
        <w:t>供应、保民生之基</w:t>
      </w:r>
      <w:bookmarkEnd w:id="18"/>
      <w:r>
        <w:rPr>
          <w:rFonts w:ascii="黑体" w:hAnsi="黑体" w:cs="黑体" w:hint="eastAsia"/>
          <w:sz w:val="28"/>
          <w:szCs w:val="28"/>
        </w:rPr>
        <w:t>，多元化发展走</w:t>
      </w:r>
      <w:proofErr w:type="gramStart"/>
      <w:r>
        <w:rPr>
          <w:rFonts w:ascii="黑体" w:hAnsi="黑体" w:cs="黑体" w:hint="eastAsia"/>
          <w:sz w:val="28"/>
          <w:szCs w:val="28"/>
        </w:rPr>
        <w:t>农文旅融合</w:t>
      </w:r>
      <w:proofErr w:type="gramEnd"/>
      <w:r>
        <w:rPr>
          <w:rFonts w:ascii="黑体" w:hAnsi="黑体" w:cs="黑体" w:hint="eastAsia"/>
          <w:sz w:val="28"/>
          <w:szCs w:val="28"/>
        </w:rPr>
        <w:t>新路</w:t>
      </w:r>
      <w:bookmarkEnd w:id="19"/>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蔬菜是人民群众生活必不可少的农产品，保障“菜篮子”产品供应稳、价格稳、确保群众“有菜吃”“吃的起菜”，事关民生福祉和社会稳定。根据南京市农业农村局统计数据，2024年全市设施农业总面积达60万亩，其中以蔬菜为主体的设施农业种植面积最大，设施蔬菜占地面积达17.9万亩，南京市各区依托自身资源禀赋，形成了多个相对集中的蔬菜产区。</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2024年市级现代蔬菜园艺高质量发展项目紧密贴合设施蔬菜园艺实际生产过程中的难点、痛点，满足生产主体发展的迫切需求，改善生产环境和条件，提高对不利自然气候的应对，设施生产引进示范高效种植模式，引领现代农业的发展。同时通过标准化菜地、高效特色园艺基地项目建设，在改善基地生产条件的同时又从拓展新型农业</w:t>
      </w:r>
      <w:proofErr w:type="gramStart"/>
      <w:r>
        <w:rPr>
          <w:rFonts w:ascii="仿宋" w:eastAsia="仿宋" w:hAnsi="仿宋" w:cs="仿宋" w:hint="eastAsia"/>
          <w:sz w:val="28"/>
          <w:szCs w:val="28"/>
        </w:rPr>
        <w:t>业</w:t>
      </w:r>
      <w:proofErr w:type="gramEnd"/>
      <w:r>
        <w:rPr>
          <w:rFonts w:ascii="仿宋" w:eastAsia="仿宋" w:hAnsi="仿宋" w:cs="仿宋" w:hint="eastAsia"/>
          <w:sz w:val="28"/>
          <w:szCs w:val="28"/>
        </w:rPr>
        <w:t>态，通过引进高效特色优质新品种，在“果园+采摘游”“果园+学生劳动基地”等方面开拓发展，走出</w:t>
      </w:r>
      <w:proofErr w:type="gramStart"/>
      <w:r>
        <w:rPr>
          <w:rFonts w:ascii="仿宋" w:eastAsia="仿宋" w:hAnsi="仿宋" w:cs="仿宋" w:hint="eastAsia"/>
          <w:sz w:val="28"/>
          <w:szCs w:val="28"/>
        </w:rPr>
        <w:t>农文旅深度</w:t>
      </w:r>
      <w:proofErr w:type="gramEnd"/>
      <w:r>
        <w:rPr>
          <w:rFonts w:ascii="仿宋" w:eastAsia="仿宋" w:hAnsi="仿宋" w:cs="仿宋" w:hint="eastAsia"/>
          <w:sz w:val="28"/>
          <w:szCs w:val="28"/>
        </w:rPr>
        <w:t>融合新路。</w:t>
      </w:r>
    </w:p>
    <w:p w:rsidR="00B47667" w:rsidRDefault="00233C16">
      <w:pPr>
        <w:pStyle w:val="2"/>
        <w:spacing w:before="0" w:after="0" w:line="560" w:lineRule="exact"/>
        <w:ind w:firstLineChars="200" w:firstLine="562"/>
        <w:rPr>
          <w:rFonts w:ascii="黑体" w:hAnsi="黑体" w:cs="黑体"/>
          <w:sz w:val="28"/>
          <w:szCs w:val="28"/>
        </w:rPr>
      </w:pPr>
      <w:bookmarkStart w:id="20" w:name="_Toc20776"/>
      <w:bookmarkStart w:id="21" w:name="_Toc201654644"/>
      <w:r>
        <w:rPr>
          <w:rFonts w:ascii="黑体" w:hAnsi="黑体" w:cs="黑体" w:hint="eastAsia"/>
          <w:sz w:val="28"/>
          <w:szCs w:val="28"/>
        </w:rPr>
        <w:t>（二）</w:t>
      </w:r>
      <w:bookmarkEnd w:id="20"/>
      <w:r>
        <w:rPr>
          <w:rFonts w:ascii="黑体" w:hAnsi="黑体" w:cs="黑体" w:hint="eastAsia"/>
          <w:sz w:val="28"/>
          <w:szCs w:val="28"/>
        </w:rPr>
        <w:t>科技赋能农业，引领现代种植新路径</w:t>
      </w:r>
      <w:bookmarkEnd w:id="21"/>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2024年市级现代蔬菜园艺高质量发展项目通过绿色防控措施，围绕重点区域、重点作物、重大病虫实施农业防治、生态控制、物理防治和化学调控等有机结合，同时修建智能水肥系统精准施肥，有效降低了化学农药使用量，此外配合防鸟网建设与绿色防控项目，采用</w:t>
      </w:r>
      <w:r>
        <w:rPr>
          <w:rFonts w:ascii="仿宋" w:eastAsia="仿宋" w:hAnsi="仿宋" w:cs="仿宋" w:hint="eastAsia"/>
          <w:sz w:val="28"/>
          <w:szCs w:val="28"/>
        </w:rPr>
        <w:lastRenderedPageBreak/>
        <w:t>物理隔离而非化学药剂的手段，减少因鸟啄产生的产量损失与化学农药造成的品质下降，为持续减少蔬菜、果品、茶叶等作物化学农药使用，进一步提高主要蔬菜园艺产品的质量安全，进而提升瓜果蔬菜的生产水平。</w:t>
      </w:r>
    </w:p>
    <w:p w:rsidR="00B47667" w:rsidRDefault="00233C16">
      <w:pPr>
        <w:pStyle w:val="2"/>
        <w:spacing w:before="0" w:after="0" w:line="560" w:lineRule="exact"/>
        <w:ind w:firstLineChars="200" w:firstLine="562"/>
        <w:rPr>
          <w:rFonts w:ascii="黑体" w:hAnsi="黑体" w:cs="黑体"/>
          <w:sz w:val="28"/>
          <w:szCs w:val="28"/>
        </w:rPr>
      </w:pPr>
      <w:bookmarkStart w:id="22" w:name="_Toc1851"/>
      <w:bookmarkStart w:id="23" w:name="_Toc201654645"/>
      <w:r>
        <w:rPr>
          <w:rFonts w:ascii="黑体" w:hAnsi="黑体" w:cs="黑体" w:hint="eastAsia"/>
          <w:sz w:val="28"/>
          <w:szCs w:val="28"/>
        </w:rPr>
        <w:t>（三）提高人民群众的生活获得感</w:t>
      </w:r>
      <w:bookmarkEnd w:id="22"/>
      <w:r>
        <w:rPr>
          <w:rFonts w:ascii="黑体" w:hAnsi="黑体" w:cs="黑体" w:hint="eastAsia"/>
          <w:sz w:val="28"/>
          <w:szCs w:val="28"/>
        </w:rPr>
        <w:t>与社会满意度</w:t>
      </w:r>
      <w:bookmarkEnd w:id="23"/>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当前社会最主要矛盾</w:t>
      </w:r>
      <w:proofErr w:type="gramStart"/>
      <w:r>
        <w:rPr>
          <w:rFonts w:ascii="仿宋" w:eastAsia="仿宋" w:hAnsi="仿宋" w:cs="仿宋" w:hint="eastAsia"/>
          <w:sz w:val="28"/>
          <w:szCs w:val="28"/>
        </w:rPr>
        <w:t>之一人民</w:t>
      </w:r>
      <w:proofErr w:type="gramEnd"/>
      <w:r>
        <w:rPr>
          <w:rFonts w:ascii="仿宋" w:eastAsia="仿宋" w:hAnsi="仿宋" w:cs="仿宋" w:hint="eastAsia"/>
          <w:sz w:val="28"/>
          <w:szCs w:val="28"/>
        </w:rPr>
        <w:t>日益增长的美好生活需要和不平衡不充分的发展之间的矛盾，而2024年市级现代蔬菜园艺高质量发展项目通过推进现代农业生产方式，提高蔬菜产量与质量，提供给</w:t>
      </w:r>
      <w:proofErr w:type="gramStart"/>
      <w:r>
        <w:rPr>
          <w:rFonts w:ascii="仿宋" w:eastAsia="仿宋" w:hAnsi="仿宋" w:cs="仿宋" w:hint="eastAsia"/>
          <w:sz w:val="28"/>
          <w:szCs w:val="28"/>
        </w:rPr>
        <w:t>最</w:t>
      </w:r>
      <w:proofErr w:type="gramEnd"/>
      <w:r>
        <w:rPr>
          <w:rFonts w:ascii="仿宋" w:eastAsia="仿宋" w:hAnsi="仿宋" w:cs="仿宋" w:hint="eastAsia"/>
          <w:sz w:val="28"/>
          <w:szCs w:val="28"/>
        </w:rPr>
        <w:t>广大人民群众价优质美的蔬菜产品，提高了</w:t>
      </w:r>
      <w:proofErr w:type="gramStart"/>
      <w:r>
        <w:rPr>
          <w:rFonts w:ascii="仿宋" w:eastAsia="仿宋" w:hAnsi="仿宋" w:cs="仿宋" w:hint="eastAsia"/>
          <w:sz w:val="28"/>
          <w:szCs w:val="28"/>
        </w:rPr>
        <w:t>最</w:t>
      </w:r>
      <w:proofErr w:type="gramEnd"/>
      <w:r>
        <w:rPr>
          <w:rFonts w:ascii="仿宋" w:eastAsia="仿宋" w:hAnsi="仿宋" w:cs="仿宋" w:hint="eastAsia"/>
          <w:sz w:val="28"/>
          <w:szCs w:val="28"/>
        </w:rPr>
        <w:t>广大人民群众的获得感。本次满意度选取了部分街道的部分项目，对农产品质量、农药使用、生产成本、示范应用、带动就业等方面进行满意度调查，收回满意度调查表56份，项目实施主体对项目整体满意率为91.07%；蔬菜、瓜果等农产品产量显著提高认可率98.21%；生产成本显著降低认可率96.43%；当地就业显著带动认可率94.64%；农药/化肥污染明显减少认可率89.29%；对周边农户的示范带动作用非常强认可率87.5%；完全具备长期运营能力认可率91.07%。</w:t>
      </w:r>
    </w:p>
    <w:p w:rsidR="00B47667" w:rsidRDefault="00233C16">
      <w:pPr>
        <w:pStyle w:val="1"/>
        <w:spacing w:before="0" w:after="0" w:line="560" w:lineRule="exact"/>
        <w:ind w:firstLineChars="200" w:firstLine="562"/>
        <w:rPr>
          <w:rFonts w:ascii="黑体" w:eastAsia="黑体" w:hAnsi="黑体" w:cs="黑体"/>
          <w:sz w:val="28"/>
          <w:szCs w:val="28"/>
        </w:rPr>
      </w:pPr>
      <w:bookmarkStart w:id="24" w:name="_Toc10766"/>
      <w:bookmarkStart w:id="25" w:name="_Toc201654646"/>
      <w:r>
        <w:rPr>
          <w:rFonts w:ascii="黑体" w:eastAsia="黑体" w:hAnsi="黑体" w:cs="黑体" w:hint="eastAsia"/>
          <w:sz w:val="28"/>
          <w:szCs w:val="28"/>
        </w:rPr>
        <w:t>四、存在问题</w:t>
      </w:r>
      <w:bookmarkEnd w:id="24"/>
      <w:bookmarkEnd w:id="25"/>
    </w:p>
    <w:p w:rsidR="00B47667" w:rsidRDefault="00233C16">
      <w:pPr>
        <w:pStyle w:val="2"/>
        <w:spacing w:before="0" w:after="0" w:line="560" w:lineRule="exact"/>
        <w:ind w:firstLineChars="200" w:firstLine="562"/>
        <w:rPr>
          <w:rFonts w:ascii="黑体" w:hAnsi="黑体" w:cs="黑体"/>
          <w:sz w:val="28"/>
          <w:szCs w:val="28"/>
        </w:rPr>
      </w:pPr>
      <w:bookmarkStart w:id="26" w:name="_Toc22880"/>
      <w:bookmarkStart w:id="27" w:name="_Toc201654647"/>
      <w:r>
        <w:rPr>
          <w:rFonts w:ascii="黑体" w:hAnsi="黑体" w:cs="黑体" w:hint="eastAsia"/>
          <w:sz w:val="28"/>
          <w:szCs w:val="28"/>
        </w:rPr>
        <w:t>（一）项目</w:t>
      </w:r>
      <w:bookmarkEnd w:id="26"/>
      <w:r>
        <w:rPr>
          <w:rFonts w:ascii="黑体" w:hAnsi="黑体" w:cs="黑体" w:hint="eastAsia"/>
          <w:sz w:val="28"/>
          <w:szCs w:val="28"/>
        </w:rPr>
        <w:t>验收不及时、资金执行率偏低</w:t>
      </w:r>
      <w:bookmarkEnd w:id="27"/>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截止2025年6月，完成市级验收的项目2个，区级验收的项目仅有7个，溧水区申报的2024年东</w:t>
      </w:r>
      <w:proofErr w:type="gramStart"/>
      <w:r>
        <w:rPr>
          <w:rFonts w:ascii="仿宋" w:eastAsia="仿宋" w:hAnsi="仿宋" w:cs="仿宋" w:hint="eastAsia"/>
          <w:sz w:val="28"/>
          <w:szCs w:val="28"/>
        </w:rPr>
        <w:t>屏喜田设施</w:t>
      </w:r>
      <w:proofErr w:type="gramEnd"/>
      <w:r>
        <w:rPr>
          <w:rFonts w:ascii="仿宋" w:eastAsia="仿宋" w:hAnsi="仿宋" w:cs="仿宋" w:hint="eastAsia"/>
          <w:sz w:val="28"/>
          <w:szCs w:val="28"/>
        </w:rPr>
        <w:t>蔬菜园艺项目、2024年石</w:t>
      </w:r>
      <w:proofErr w:type="gramStart"/>
      <w:r>
        <w:rPr>
          <w:rFonts w:ascii="仿宋" w:eastAsia="仿宋" w:hAnsi="仿宋" w:cs="仿宋" w:hint="eastAsia"/>
          <w:sz w:val="28"/>
          <w:szCs w:val="28"/>
        </w:rPr>
        <w:t>湫</w:t>
      </w:r>
      <w:proofErr w:type="gramEnd"/>
      <w:r>
        <w:rPr>
          <w:rFonts w:ascii="仿宋" w:eastAsia="仿宋" w:hAnsi="仿宋" w:cs="仿宋" w:hint="eastAsia"/>
          <w:sz w:val="28"/>
          <w:szCs w:val="28"/>
        </w:rPr>
        <w:t>三星村设施蔬菜园艺项目、2025年</w:t>
      </w:r>
      <w:proofErr w:type="gramStart"/>
      <w:r>
        <w:rPr>
          <w:rFonts w:ascii="仿宋" w:eastAsia="仿宋" w:hAnsi="仿宋" w:cs="仿宋" w:hint="eastAsia"/>
          <w:sz w:val="28"/>
          <w:szCs w:val="28"/>
        </w:rPr>
        <w:t>白马双吉设施</w:t>
      </w:r>
      <w:proofErr w:type="gramEnd"/>
      <w:r>
        <w:rPr>
          <w:rFonts w:ascii="仿宋" w:eastAsia="仿宋" w:hAnsi="仿宋" w:cs="仿宋" w:hint="eastAsia"/>
          <w:sz w:val="28"/>
          <w:szCs w:val="28"/>
        </w:rPr>
        <w:t>蔬菜园艺项目、2025年洪蓝台宁设施蔬菜园艺项目；栖霞区申报的2024年八卦洲</w:t>
      </w:r>
      <w:proofErr w:type="gramStart"/>
      <w:r>
        <w:rPr>
          <w:rFonts w:ascii="仿宋" w:eastAsia="仿宋" w:hAnsi="仿宋" w:cs="仿宋" w:hint="eastAsia"/>
          <w:sz w:val="28"/>
          <w:szCs w:val="28"/>
        </w:rPr>
        <w:t>鹂岛芦</w:t>
      </w:r>
      <w:proofErr w:type="gramEnd"/>
      <w:r>
        <w:rPr>
          <w:rFonts w:ascii="仿宋" w:eastAsia="仿宋" w:hAnsi="仿宋" w:cs="仿宋" w:hint="eastAsia"/>
          <w:sz w:val="28"/>
          <w:szCs w:val="28"/>
        </w:rPr>
        <w:t>蒿十米宽体大棚二期建设项目；高淳区申报的龙溪生态连幢塑料温室建设砖墙镇茅城村8332大棚建设、高淳区潘西农场水肥自</w:t>
      </w:r>
      <w:r>
        <w:rPr>
          <w:rFonts w:ascii="仿宋" w:eastAsia="仿宋" w:hAnsi="仿宋" w:cs="仿宋" w:hint="eastAsia"/>
          <w:sz w:val="28"/>
          <w:szCs w:val="28"/>
        </w:rPr>
        <w:lastRenderedPageBreak/>
        <w:t>动化改造及大棚功能提升项项目，尚未完工，未达到验收条件，验收延迟导致财政无法及时对项目实施进行绩效考核。</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市级补助资金已拨付至项目实施单位579.17万元（其中江北新区52.62万元、栖霞区411.67万元、</w:t>
      </w:r>
      <w:proofErr w:type="gramStart"/>
      <w:r>
        <w:rPr>
          <w:rFonts w:ascii="仿宋" w:eastAsia="仿宋" w:hAnsi="仿宋" w:cs="仿宋" w:hint="eastAsia"/>
          <w:sz w:val="28"/>
          <w:szCs w:val="28"/>
        </w:rPr>
        <w:t>六合区</w:t>
      </w:r>
      <w:proofErr w:type="gramEnd"/>
      <w:r>
        <w:rPr>
          <w:rFonts w:ascii="仿宋" w:eastAsia="仿宋" w:hAnsi="仿宋" w:cs="仿宋" w:hint="eastAsia"/>
          <w:sz w:val="28"/>
          <w:szCs w:val="28"/>
        </w:rPr>
        <w:t>114.88万元）；已拨付至物资供应单位60.08万元；已预拨项目补助资金至所在街道财政所796.00万元（根据江宁农财[2024]119号文件，已预拨80%的项目市级补助资金至所在区的财政所）；市本级项目补助资金支出109.97万元，资金执行率16.32%。</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原因分析：除了市本级项目和浦口区项目2024年4-6月较早批复外，其他各区项目立项批复时间都在2024年8-9月，溧水区2025年4月份重新立项了2个项目。项目批复时间延迟，后续的项目实施、验收均相应延后，直接影响项目验收率、财政补助资金执行率。</w:t>
      </w:r>
      <w:r>
        <w:rPr>
          <w:rFonts w:ascii="方正仿宋_GB18030" w:eastAsia="方正仿宋_GB18030" w:hAnsi="方正仿宋_GB18030" w:cs="方正仿宋_GB18030" w:hint="eastAsia"/>
          <w:sz w:val="28"/>
          <w:szCs w:val="28"/>
        </w:rPr>
        <w:t>此外，</w:t>
      </w:r>
      <w:r>
        <w:rPr>
          <w:rFonts w:ascii="仿宋" w:eastAsia="仿宋" w:hAnsi="仿宋" w:cs="仿宋" w:hint="eastAsia"/>
          <w:sz w:val="28"/>
          <w:szCs w:val="28"/>
        </w:rPr>
        <w:t>工程建设也受到气候条件、节庆假日等外在因素影响造成项目进度延迟。</w:t>
      </w:r>
    </w:p>
    <w:p w:rsidR="00B47667" w:rsidRDefault="00233C16">
      <w:pPr>
        <w:pStyle w:val="2"/>
        <w:spacing w:before="0" w:after="0" w:line="560" w:lineRule="exact"/>
        <w:ind w:firstLineChars="200" w:firstLine="562"/>
        <w:rPr>
          <w:rFonts w:ascii="黑体" w:hAnsi="黑体" w:cs="黑体"/>
          <w:sz w:val="28"/>
          <w:szCs w:val="28"/>
        </w:rPr>
      </w:pPr>
      <w:bookmarkStart w:id="28" w:name="_Toc201654648"/>
      <w:r>
        <w:rPr>
          <w:rFonts w:ascii="黑体" w:hAnsi="黑体" w:cs="黑体" w:hint="eastAsia"/>
          <w:sz w:val="28"/>
          <w:szCs w:val="28"/>
        </w:rPr>
        <w:t>（二）部分项目取消终止</w:t>
      </w:r>
      <w:bookmarkEnd w:id="28"/>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2024年市级现代蔬菜园艺高质量发展项目，共终止项目3个，涉及市级财政补助资金160万元，其中溧水区终止设施蔬菜园艺项目2个，涉及市级财政补助资金130万元，栖霞区终止设施蔬菜园艺项目1个，涉及财政补助资金30万元。</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原因分析：溧水区终止的2个项目主要是因项目实施主体资金紧张，自筹资金无法到位；栖霞区终止的1个项目主要因为根据耕地非粮</w:t>
      </w:r>
      <w:proofErr w:type="gramStart"/>
      <w:r>
        <w:rPr>
          <w:rFonts w:ascii="仿宋" w:eastAsia="仿宋" w:hAnsi="仿宋" w:cs="仿宋" w:hint="eastAsia"/>
          <w:sz w:val="28"/>
          <w:szCs w:val="28"/>
        </w:rPr>
        <w:t>化相关</w:t>
      </w:r>
      <w:proofErr w:type="gramEnd"/>
      <w:r>
        <w:rPr>
          <w:rFonts w:ascii="仿宋" w:eastAsia="仿宋" w:hAnsi="仿宋" w:cs="仿宋" w:hint="eastAsia"/>
          <w:sz w:val="28"/>
          <w:szCs w:val="28"/>
        </w:rPr>
        <w:t>管理规定，申报地块性质不符合国土部门要求，因此无法立项。</w:t>
      </w:r>
    </w:p>
    <w:p w:rsidR="00B47667" w:rsidRDefault="00233C16">
      <w:pPr>
        <w:pStyle w:val="2"/>
        <w:spacing w:before="0" w:after="0" w:line="560" w:lineRule="exact"/>
        <w:ind w:firstLineChars="200" w:firstLine="562"/>
        <w:rPr>
          <w:rFonts w:ascii="黑体" w:hAnsi="黑体" w:cs="黑体"/>
          <w:sz w:val="28"/>
          <w:szCs w:val="28"/>
        </w:rPr>
      </w:pPr>
      <w:bookmarkStart w:id="29" w:name="_Toc24364"/>
      <w:bookmarkStart w:id="30" w:name="_Toc201654649"/>
      <w:r>
        <w:rPr>
          <w:rFonts w:ascii="黑体" w:hAnsi="黑体" w:cs="黑体" w:hint="eastAsia"/>
          <w:sz w:val="28"/>
          <w:szCs w:val="28"/>
        </w:rPr>
        <w:lastRenderedPageBreak/>
        <w:t>（三）</w:t>
      </w:r>
      <w:bookmarkEnd w:id="29"/>
      <w:r>
        <w:rPr>
          <w:rFonts w:ascii="黑体" w:hAnsi="黑体" w:cs="黑体" w:hint="eastAsia"/>
          <w:sz w:val="28"/>
          <w:szCs w:val="28"/>
        </w:rPr>
        <w:t>部分项目建设内容未按照批复内容与数量实施、部分绿色防控物资剩余较多、未使用或尚未到货</w:t>
      </w:r>
      <w:bookmarkEnd w:id="30"/>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部分项目建设内容未按照批复数量实施，如：浦口区江苏向往农业发展科技有限公司申报的2024年浦口区向往农业公司50亩高效特色园艺基地</w:t>
      </w:r>
      <w:r w:rsidR="00AB14CA">
        <w:rPr>
          <w:rFonts w:ascii="仿宋" w:eastAsia="仿宋" w:hAnsi="仿宋" w:cs="仿宋" w:hint="eastAsia"/>
          <w:sz w:val="28"/>
          <w:szCs w:val="28"/>
        </w:rPr>
        <w:t>建设项目引进新品种“桑葚苗”“梨树苗”以及配套设施“砂石路”</w:t>
      </w:r>
      <w:r>
        <w:rPr>
          <w:rFonts w:ascii="仿宋" w:eastAsia="仿宋" w:hAnsi="仿宋" w:cs="仿宋" w:hint="eastAsia"/>
          <w:sz w:val="28"/>
          <w:szCs w:val="28"/>
        </w:rPr>
        <w:t>“沟渠”数量未完成；溧水区溧水法森家庭农场申报的2024年和</w:t>
      </w:r>
      <w:proofErr w:type="gramStart"/>
      <w:r>
        <w:rPr>
          <w:rFonts w:ascii="仿宋" w:eastAsia="仿宋" w:hAnsi="仿宋" w:cs="仿宋" w:hint="eastAsia"/>
          <w:sz w:val="28"/>
          <w:szCs w:val="28"/>
        </w:rPr>
        <w:t>凤法森</w:t>
      </w:r>
      <w:proofErr w:type="gramEnd"/>
      <w:r>
        <w:rPr>
          <w:rFonts w:ascii="仿宋" w:eastAsia="仿宋" w:hAnsi="仿宋" w:cs="仿宋" w:hint="eastAsia"/>
          <w:sz w:val="28"/>
          <w:szCs w:val="28"/>
        </w:rPr>
        <w:t>设施蔬菜园艺项目建设内容数量未完成；溧水区燕飞家庭农场申报的2024年石</w:t>
      </w:r>
      <w:proofErr w:type="gramStart"/>
      <w:r>
        <w:rPr>
          <w:rFonts w:ascii="仿宋" w:eastAsia="仿宋" w:hAnsi="仿宋" w:cs="仿宋" w:hint="eastAsia"/>
          <w:sz w:val="28"/>
          <w:szCs w:val="28"/>
        </w:rPr>
        <w:t>湫</w:t>
      </w:r>
      <w:proofErr w:type="gramEnd"/>
      <w:r>
        <w:rPr>
          <w:rFonts w:ascii="仿宋" w:eastAsia="仿宋" w:hAnsi="仿宋" w:cs="仿宋" w:hint="eastAsia"/>
          <w:sz w:val="28"/>
          <w:szCs w:val="28"/>
        </w:rPr>
        <w:t>燕</w:t>
      </w:r>
      <w:proofErr w:type="gramStart"/>
      <w:r>
        <w:rPr>
          <w:rFonts w:ascii="仿宋" w:eastAsia="仿宋" w:hAnsi="仿宋" w:cs="仿宋" w:hint="eastAsia"/>
          <w:sz w:val="28"/>
          <w:szCs w:val="28"/>
        </w:rPr>
        <w:t>飞设施</w:t>
      </w:r>
      <w:proofErr w:type="gramEnd"/>
      <w:r>
        <w:rPr>
          <w:rFonts w:ascii="仿宋" w:eastAsia="仿宋" w:hAnsi="仿宋" w:cs="仿宋" w:hint="eastAsia"/>
          <w:sz w:val="28"/>
          <w:szCs w:val="28"/>
        </w:rPr>
        <w:t>蔬菜园艺项目连栋塑料温室面积未完成；2024</w:t>
      </w:r>
      <w:r w:rsidR="00AB14CA">
        <w:rPr>
          <w:rFonts w:ascii="仿宋" w:eastAsia="仿宋" w:hAnsi="仿宋" w:cs="仿宋" w:hint="eastAsia"/>
          <w:sz w:val="28"/>
          <w:szCs w:val="28"/>
        </w:rPr>
        <w:t>年</w:t>
      </w:r>
      <w:proofErr w:type="gramStart"/>
      <w:r w:rsidR="00AB14CA">
        <w:rPr>
          <w:rFonts w:ascii="仿宋" w:eastAsia="仿宋" w:hAnsi="仿宋" w:cs="仿宋" w:hint="eastAsia"/>
          <w:sz w:val="28"/>
          <w:szCs w:val="28"/>
        </w:rPr>
        <w:t>六合区</w:t>
      </w:r>
      <w:proofErr w:type="gramEnd"/>
      <w:r w:rsidR="00AB14CA">
        <w:rPr>
          <w:rFonts w:ascii="仿宋" w:eastAsia="仿宋" w:hAnsi="仿宋" w:cs="仿宋" w:hint="eastAsia"/>
          <w:sz w:val="28"/>
          <w:szCs w:val="28"/>
        </w:rPr>
        <w:t>龙池街道标准化菜地建设项目“矩形渠”</w:t>
      </w:r>
      <w:r>
        <w:rPr>
          <w:rFonts w:ascii="仿宋" w:eastAsia="仿宋" w:hAnsi="仿宋" w:cs="仿宋" w:hint="eastAsia"/>
          <w:sz w:val="28"/>
          <w:szCs w:val="28"/>
        </w:rPr>
        <w:t>“</w:t>
      </w:r>
      <w:r w:rsidR="00AB14CA">
        <w:rPr>
          <w:rFonts w:ascii="仿宋" w:eastAsia="仿宋" w:hAnsi="仿宋" w:cs="仿宋" w:hint="eastAsia"/>
          <w:sz w:val="28"/>
          <w:szCs w:val="28"/>
        </w:rPr>
        <w:t>沟盖板”</w:t>
      </w:r>
      <w:r>
        <w:rPr>
          <w:rFonts w:ascii="仿宋" w:eastAsia="仿宋" w:hAnsi="仿宋" w:cs="仿宋" w:hint="eastAsia"/>
          <w:sz w:val="28"/>
          <w:szCs w:val="28"/>
        </w:rPr>
        <w:t>“水泥路”数量未完成。</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部分项目建设内容未按照批复内容实施，如：溧水区南京达诚农业科技有限公司申报的2024年白马</w:t>
      </w:r>
      <w:proofErr w:type="gramStart"/>
      <w:r>
        <w:rPr>
          <w:rFonts w:ascii="仿宋" w:eastAsia="仿宋" w:hAnsi="仿宋" w:cs="仿宋" w:hint="eastAsia"/>
          <w:sz w:val="28"/>
          <w:szCs w:val="28"/>
        </w:rPr>
        <w:t>达诚设施</w:t>
      </w:r>
      <w:proofErr w:type="gramEnd"/>
      <w:r>
        <w:rPr>
          <w:rFonts w:ascii="仿宋" w:eastAsia="仿宋" w:hAnsi="仿宋" w:cs="仿宋" w:hint="eastAsia"/>
          <w:sz w:val="28"/>
          <w:szCs w:val="28"/>
        </w:rPr>
        <w:t>蔬菜园艺项目防鸟网高度未按照实施方案要求来实施。</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部分绿色防控项目部分物资剩余较多、未使用或未到货，如：江北新区2024年</w:t>
      </w:r>
      <w:proofErr w:type="gramStart"/>
      <w:r>
        <w:rPr>
          <w:rFonts w:ascii="仿宋" w:eastAsia="仿宋" w:hAnsi="仿宋" w:cs="仿宋" w:hint="eastAsia"/>
          <w:sz w:val="28"/>
          <w:szCs w:val="28"/>
        </w:rPr>
        <w:t>江苏楠杭绿色</w:t>
      </w:r>
      <w:proofErr w:type="gramEnd"/>
      <w:r>
        <w:rPr>
          <w:rFonts w:ascii="仿宋" w:eastAsia="仿宋" w:hAnsi="仿宋" w:cs="仿宋" w:hint="eastAsia"/>
          <w:sz w:val="28"/>
          <w:szCs w:val="28"/>
        </w:rPr>
        <w:t>防控项目物资剩余量较多；溧水区2024年白马正南绿色防控项目粘虫</w:t>
      </w:r>
      <w:proofErr w:type="gramStart"/>
      <w:r>
        <w:rPr>
          <w:rFonts w:ascii="仿宋" w:eastAsia="仿宋" w:hAnsi="仿宋" w:cs="仿宋" w:hint="eastAsia"/>
          <w:sz w:val="28"/>
          <w:szCs w:val="28"/>
        </w:rPr>
        <w:t>色板未使用</w:t>
      </w:r>
      <w:proofErr w:type="gramEnd"/>
      <w:r>
        <w:rPr>
          <w:rFonts w:ascii="仿宋" w:eastAsia="仿宋" w:hAnsi="仿宋" w:cs="仿宋" w:hint="eastAsia"/>
          <w:sz w:val="28"/>
          <w:szCs w:val="28"/>
        </w:rPr>
        <w:t>；高淳区东坝绿润果园绿色防控示范项目，部分药品未到货；浦口区2024年浦口</w:t>
      </w:r>
      <w:proofErr w:type="gramStart"/>
      <w:r>
        <w:rPr>
          <w:rFonts w:ascii="仿宋" w:eastAsia="仿宋" w:hAnsi="仿宋" w:cs="仿宋" w:hint="eastAsia"/>
          <w:sz w:val="28"/>
          <w:szCs w:val="28"/>
        </w:rPr>
        <w:t>区浦桥乡果家庭</w:t>
      </w:r>
      <w:proofErr w:type="gramEnd"/>
      <w:r>
        <w:rPr>
          <w:rFonts w:ascii="仿宋" w:eastAsia="仿宋" w:hAnsi="仿宋" w:cs="仿宋" w:hint="eastAsia"/>
          <w:sz w:val="28"/>
          <w:szCs w:val="28"/>
        </w:rPr>
        <w:t>农场100亩绿色防控试验示范与推广项目部分生物有机肥及菌剂尚未到货。</w:t>
      </w: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原因及分析：编制预算之前未对项目进行充分的可行性研究，实施过程中出现偏离，项目实施单位对生产过程中的重视度不高。绿色防控项目重在引导使用绿色防控技术模式，物资使用需结合农时，而且蔬菜园艺作物病虫害发生情况受到气候条件、生产操作等多方面影响，无法准确预计病虫发生情况，实施方案购置的相关农资也无法准</w:t>
      </w:r>
      <w:r>
        <w:rPr>
          <w:rFonts w:ascii="仿宋" w:eastAsia="仿宋" w:hAnsi="仿宋" w:cs="仿宋" w:hint="eastAsia"/>
          <w:sz w:val="28"/>
          <w:szCs w:val="28"/>
        </w:rPr>
        <w:lastRenderedPageBreak/>
        <w:t>确匹配病虫发生实情，为缓解存储压力，部分实施单位先签订物资采购合同，预付部分货款，根据种植需求要求供货方发货。</w:t>
      </w:r>
    </w:p>
    <w:p w:rsidR="00B47667" w:rsidRDefault="00233C16">
      <w:pPr>
        <w:pStyle w:val="1"/>
        <w:spacing w:before="0" w:after="0" w:line="560" w:lineRule="exact"/>
        <w:ind w:firstLineChars="200" w:firstLine="562"/>
        <w:rPr>
          <w:rFonts w:ascii="黑体" w:eastAsia="黑体" w:hAnsi="黑体" w:cs="黑体"/>
          <w:sz w:val="28"/>
          <w:szCs w:val="28"/>
        </w:rPr>
      </w:pPr>
      <w:bookmarkStart w:id="31" w:name="_Toc10781"/>
      <w:bookmarkStart w:id="32" w:name="_Toc201654650"/>
      <w:r>
        <w:rPr>
          <w:rFonts w:ascii="黑体" w:eastAsia="黑体" w:hAnsi="黑体" w:cs="黑体" w:hint="eastAsia"/>
          <w:sz w:val="28"/>
          <w:szCs w:val="28"/>
        </w:rPr>
        <w:t>五、评价建议</w:t>
      </w:r>
      <w:bookmarkEnd w:id="31"/>
      <w:bookmarkEnd w:id="32"/>
    </w:p>
    <w:p w:rsidR="00B47667" w:rsidRDefault="00233C16">
      <w:pPr>
        <w:pStyle w:val="2"/>
        <w:spacing w:before="0" w:after="0" w:line="560" w:lineRule="exact"/>
        <w:ind w:firstLineChars="200" w:firstLine="562"/>
        <w:rPr>
          <w:rFonts w:ascii="黑体" w:hAnsi="黑体" w:cs="黑体"/>
          <w:sz w:val="28"/>
          <w:szCs w:val="28"/>
        </w:rPr>
      </w:pPr>
      <w:bookmarkStart w:id="33" w:name="_Toc201654651"/>
      <w:bookmarkStart w:id="34" w:name="_Toc3438"/>
      <w:r>
        <w:rPr>
          <w:rFonts w:ascii="黑体" w:hAnsi="黑体" w:cs="黑体" w:hint="eastAsia"/>
          <w:sz w:val="28"/>
          <w:szCs w:val="28"/>
        </w:rPr>
        <w:t>（一）加强项目全流程管理，加快项目实施进度</w:t>
      </w:r>
      <w:bookmarkEnd w:id="33"/>
      <w:bookmarkEnd w:id="34"/>
    </w:p>
    <w:p w:rsidR="00B47667" w:rsidRDefault="00233C16">
      <w:pPr>
        <w:spacing w:line="560" w:lineRule="exact"/>
        <w:ind w:firstLineChars="200" w:firstLine="560"/>
        <w:rPr>
          <w:rFonts w:ascii="仿宋" w:eastAsia="仿宋" w:hAnsi="仿宋" w:cs="仿宋"/>
          <w:sz w:val="28"/>
          <w:szCs w:val="28"/>
        </w:rPr>
      </w:pPr>
      <w:bookmarkStart w:id="35" w:name="_Toc29376"/>
      <w:r>
        <w:rPr>
          <w:rFonts w:ascii="仿宋" w:eastAsia="仿宋" w:hAnsi="仿宋" w:cs="仿宋" w:hint="eastAsia"/>
          <w:sz w:val="28"/>
          <w:szCs w:val="28"/>
        </w:rPr>
        <w:t>一是加快项目申报、项目评审、项目立项，确保项目及时落地。二是及时批复项目，保证项目及时实施，不误农时。三是加强对项目实施单位的培训和指导，督促推进项目实施。对已完成待验收的项目，尽快安排验收工作。对已完成验收的项目，会同财政部门及时将市级补助资金下达到项目实施主体。</w:t>
      </w:r>
    </w:p>
    <w:p w:rsidR="00B47667" w:rsidRDefault="00233C16">
      <w:pPr>
        <w:pStyle w:val="2"/>
        <w:spacing w:before="0" w:after="0" w:line="560" w:lineRule="exact"/>
        <w:ind w:firstLineChars="200" w:firstLine="562"/>
        <w:rPr>
          <w:rFonts w:ascii="黑体" w:hAnsi="黑体" w:cs="黑体"/>
          <w:sz w:val="28"/>
          <w:szCs w:val="28"/>
        </w:rPr>
      </w:pPr>
      <w:bookmarkStart w:id="36" w:name="_Toc201654652"/>
      <w:r>
        <w:rPr>
          <w:rFonts w:ascii="黑体" w:hAnsi="黑体" w:cs="黑体" w:hint="eastAsia"/>
          <w:sz w:val="28"/>
          <w:szCs w:val="28"/>
        </w:rPr>
        <w:t>（二）合理分配项目资金，全面了解实施主体经营状况</w:t>
      </w:r>
      <w:bookmarkEnd w:id="36"/>
    </w:p>
    <w:p w:rsidR="00B47667" w:rsidRDefault="00233C16">
      <w:pPr>
        <w:ind w:firstLineChars="200" w:firstLine="560"/>
        <w:rPr>
          <w:rFonts w:ascii="黑体" w:eastAsia="黑体" w:hAnsi="黑体" w:cs="黑体"/>
          <w:b/>
          <w:bCs/>
          <w:sz w:val="28"/>
          <w:szCs w:val="28"/>
        </w:rPr>
      </w:pPr>
      <w:r>
        <w:rPr>
          <w:rFonts w:ascii="仿宋" w:eastAsia="仿宋" w:hAnsi="仿宋" w:cs="仿宋" w:hint="eastAsia"/>
          <w:sz w:val="28"/>
          <w:szCs w:val="28"/>
        </w:rPr>
        <w:t>项目立项前期做好项目实施主体的摸排工作，提高入库项目质量，进行充分的调研，全面了解实施主体的经营状况，确保项目实施期间不出现因资金短缺等原因无法正常实施的情况，进一步提高财政资金使用效益。</w:t>
      </w:r>
    </w:p>
    <w:p w:rsidR="00B47667" w:rsidRDefault="00233C16">
      <w:pPr>
        <w:pStyle w:val="2"/>
        <w:spacing w:before="0" w:after="0" w:line="560" w:lineRule="exact"/>
        <w:ind w:firstLineChars="228" w:firstLine="641"/>
        <w:rPr>
          <w:rFonts w:ascii="黑体" w:hAnsi="黑体" w:cs="黑体"/>
          <w:sz w:val="28"/>
          <w:szCs w:val="28"/>
        </w:rPr>
      </w:pPr>
      <w:bookmarkStart w:id="37" w:name="_Toc201654653"/>
      <w:r>
        <w:rPr>
          <w:rFonts w:ascii="黑体" w:hAnsi="黑体" w:cs="黑体" w:hint="eastAsia"/>
          <w:sz w:val="28"/>
          <w:szCs w:val="28"/>
        </w:rPr>
        <w:t>（三）加强项目监督，保障项目内容按质完成</w:t>
      </w:r>
      <w:bookmarkEnd w:id="35"/>
      <w:bookmarkEnd w:id="37"/>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项目主管部门加强区属项目的有效实施，加强督促项目单位按照批复后的实施方案及时高效的完成项目内容，及时核查项目实施内容与方案的一致性，加强对项目管理人员、项目实施主要负责人、进行必要的经济、法规、财务、审计等知识培训，提高项目实施重视度，建议主管单位对绿色防控剩余物资以及未到货物资使用情况进行长效监督管理。</w:t>
      </w:r>
    </w:p>
    <w:p w:rsidR="00B47667" w:rsidRDefault="00B47667">
      <w:pPr>
        <w:spacing w:line="560" w:lineRule="exact"/>
        <w:ind w:firstLineChars="200" w:firstLine="560"/>
        <w:rPr>
          <w:rFonts w:ascii="仿宋" w:eastAsia="仿宋" w:hAnsi="仿宋" w:cs="仿宋"/>
          <w:sz w:val="28"/>
          <w:szCs w:val="28"/>
        </w:rPr>
      </w:pPr>
      <w:bookmarkStart w:id="38" w:name="_Toc16873"/>
    </w:p>
    <w:p w:rsidR="00B47667" w:rsidRDefault="00B47667">
      <w:pPr>
        <w:spacing w:line="560" w:lineRule="exact"/>
        <w:ind w:firstLineChars="200" w:firstLine="560"/>
        <w:rPr>
          <w:rFonts w:ascii="仿宋" w:eastAsia="仿宋" w:hAnsi="仿宋" w:cs="仿宋"/>
          <w:sz w:val="28"/>
          <w:szCs w:val="28"/>
        </w:rPr>
      </w:pPr>
    </w:p>
    <w:p w:rsidR="00B47667" w:rsidRDefault="00B47667">
      <w:pPr>
        <w:spacing w:line="560" w:lineRule="exact"/>
        <w:ind w:firstLineChars="200" w:firstLine="560"/>
        <w:rPr>
          <w:rFonts w:ascii="仿宋" w:eastAsia="仿宋" w:hAnsi="仿宋" w:cs="仿宋"/>
          <w:sz w:val="28"/>
          <w:szCs w:val="28"/>
        </w:rPr>
      </w:pPr>
    </w:p>
    <w:p w:rsidR="00B47667" w:rsidRDefault="00B47667">
      <w:pPr>
        <w:spacing w:line="560" w:lineRule="exact"/>
        <w:ind w:firstLineChars="200" w:firstLine="560"/>
        <w:rPr>
          <w:rFonts w:ascii="仿宋" w:eastAsia="仿宋" w:hAnsi="仿宋" w:cs="仿宋"/>
          <w:sz w:val="28"/>
          <w:szCs w:val="28"/>
        </w:rPr>
      </w:pPr>
    </w:p>
    <w:p w:rsidR="00B47667" w:rsidRDefault="00B47667">
      <w:pPr>
        <w:spacing w:line="560" w:lineRule="exact"/>
        <w:ind w:firstLineChars="200" w:firstLine="560"/>
        <w:rPr>
          <w:rFonts w:ascii="仿宋" w:eastAsia="仿宋" w:hAnsi="仿宋" w:cs="仿宋"/>
          <w:sz w:val="28"/>
          <w:szCs w:val="28"/>
        </w:rPr>
      </w:pPr>
    </w:p>
    <w:p w:rsidR="00B47667" w:rsidRDefault="00233C1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附：2024年现代蔬菜园艺高质量发展专项资金绩效评价评分表</w:t>
      </w:r>
      <w:bookmarkEnd w:id="38"/>
    </w:p>
    <w:p w:rsidR="00B47667" w:rsidRDefault="00B47667">
      <w:pPr>
        <w:spacing w:line="560" w:lineRule="exact"/>
        <w:ind w:firstLineChars="200" w:firstLine="560"/>
        <w:rPr>
          <w:rFonts w:ascii="仿宋" w:eastAsia="仿宋" w:hAnsi="仿宋" w:cs="仿宋"/>
          <w:sz w:val="28"/>
          <w:szCs w:val="28"/>
        </w:rPr>
      </w:pPr>
    </w:p>
    <w:p w:rsidR="00B47667" w:rsidRDefault="00B47667">
      <w:pPr>
        <w:spacing w:line="560" w:lineRule="exact"/>
        <w:ind w:firstLineChars="200" w:firstLine="560"/>
        <w:rPr>
          <w:rFonts w:ascii="仿宋" w:eastAsia="仿宋" w:hAnsi="仿宋" w:cs="仿宋"/>
          <w:sz w:val="28"/>
          <w:szCs w:val="28"/>
        </w:rPr>
      </w:pPr>
    </w:p>
    <w:p w:rsidR="00B47667" w:rsidRDefault="00B47667">
      <w:pPr>
        <w:spacing w:line="560" w:lineRule="exact"/>
        <w:ind w:firstLineChars="200" w:firstLine="560"/>
        <w:rPr>
          <w:rFonts w:ascii="仿宋" w:eastAsia="仿宋" w:hAnsi="仿宋" w:cs="仿宋"/>
          <w:sz w:val="28"/>
          <w:szCs w:val="28"/>
        </w:rPr>
      </w:pPr>
    </w:p>
    <w:p w:rsidR="00B47667" w:rsidRDefault="00233C16">
      <w:pPr>
        <w:spacing w:line="560" w:lineRule="exact"/>
        <w:ind w:firstLineChars="200" w:firstLine="560"/>
        <w:jc w:val="right"/>
        <w:rPr>
          <w:rFonts w:ascii="仿宋" w:eastAsia="仿宋" w:hAnsi="仿宋" w:cs="仿宋"/>
          <w:sz w:val="28"/>
          <w:szCs w:val="28"/>
        </w:rPr>
      </w:pPr>
      <w:proofErr w:type="gramStart"/>
      <w:r>
        <w:rPr>
          <w:rFonts w:ascii="仿宋" w:eastAsia="仿宋" w:hAnsi="仿宋" w:cs="仿宋" w:hint="eastAsia"/>
          <w:sz w:val="28"/>
          <w:szCs w:val="28"/>
        </w:rPr>
        <w:t>江苏益诚会计师</w:t>
      </w:r>
      <w:proofErr w:type="gramEnd"/>
      <w:r>
        <w:rPr>
          <w:rFonts w:ascii="仿宋" w:eastAsia="仿宋" w:hAnsi="仿宋" w:cs="仿宋" w:hint="eastAsia"/>
          <w:sz w:val="28"/>
          <w:szCs w:val="28"/>
        </w:rPr>
        <w:t>事务所（普通合伙）</w:t>
      </w:r>
    </w:p>
    <w:p w:rsidR="00B47667" w:rsidRDefault="00B47667">
      <w:pPr>
        <w:spacing w:line="560" w:lineRule="exact"/>
        <w:ind w:firstLineChars="200" w:firstLine="560"/>
        <w:jc w:val="right"/>
        <w:rPr>
          <w:rFonts w:ascii="仿宋" w:eastAsia="仿宋" w:hAnsi="仿宋" w:cs="仿宋"/>
          <w:sz w:val="28"/>
          <w:szCs w:val="28"/>
        </w:rPr>
      </w:pPr>
    </w:p>
    <w:p w:rsidR="00B47667" w:rsidRDefault="00233C16">
      <w:pPr>
        <w:spacing w:line="560" w:lineRule="exact"/>
        <w:ind w:firstLineChars="200" w:firstLine="560"/>
        <w:jc w:val="right"/>
        <w:rPr>
          <w:rFonts w:ascii="仿宋" w:eastAsia="仿宋" w:hAnsi="仿宋" w:cs="仿宋"/>
          <w:b/>
          <w:bCs/>
          <w:sz w:val="28"/>
          <w:szCs w:val="28"/>
        </w:rPr>
      </w:pPr>
      <w:r>
        <w:rPr>
          <w:rFonts w:ascii="仿宋" w:eastAsia="仿宋" w:hAnsi="仿宋" w:cs="仿宋" w:hint="eastAsia"/>
          <w:sz w:val="28"/>
          <w:szCs w:val="28"/>
        </w:rPr>
        <w:t>2025年6月23日</w:t>
      </w:r>
    </w:p>
    <w:sectPr w:rsidR="00B4766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BA5" w:rsidRDefault="00632BA5">
      <w:r>
        <w:separator/>
      </w:r>
    </w:p>
  </w:endnote>
  <w:endnote w:type="continuationSeparator" w:id="0">
    <w:p w:rsidR="00632BA5" w:rsidRDefault="0063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E599BA77-05C7-430E-B329-1F38C031A11A}"/>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56A06786-D5B3-4E9F-8FA0-1E2E7694A781}"/>
    <w:embedBold r:id="rId3" w:subsetted="1" w:fontKey="{7B8AA655-955E-4669-8D3F-6B2E53BDF6EF}"/>
  </w:font>
  <w:font w:name="仿宋">
    <w:panose1 w:val="02010609060101010101"/>
    <w:charset w:val="86"/>
    <w:family w:val="modern"/>
    <w:pitch w:val="fixed"/>
    <w:sig w:usb0="800002BF" w:usb1="38CF7CFA" w:usb2="00000016" w:usb3="00000000" w:csb0="00040001" w:csb1="00000000"/>
    <w:embedRegular r:id="rId4" w:subsetted="1" w:fontKey="{BB0B44A1-DC30-441C-A31D-2FA281474A25}"/>
    <w:embedBold r:id="rId5" w:subsetted="1" w:fontKey="{03FA6529-776B-4A80-B522-33DBA6887FAD}"/>
  </w:font>
  <w:font w:name="方正仿宋_GB18030">
    <w:altName w:val="等线"/>
    <w:charset w:val="86"/>
    <w:family w:val="auto"/>
    <w:pitch w:val="default"/>
    <w:sig w:usb0="00000001" w:usb1="08000000" w:usb2="00000000" w:usb3="00000000" w:csb0="00040000" w:csb1="00000000"/>
    <w:embedRegular r:id="rId6" w:subsetted="1" w:fontKey="{B76C362F-EA62-42AB-B381-6C8B6F933F54}"/>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667" w:rsidRDefault="00B4766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667" w:rsidRDefault="00233C16">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47667" w:rsidRDefault="00233C16">
                          <w:pPr>
                            <w:pStyle w:val="a4"/>
                          </w:pPr>
                          <w:r>
                            <w:fldChar w:fldCharType="begin"/>
                          </w:r>
                          <w:r>
                            <w:instrText xml:space="preserve"> PAGE  \* MERGEFORMAT </w:instrText>
                          </w:r>
                          <w:r>
                            <w:fldChar w:fldCharType="separate"/>
                          </w:r>
                          <w:r w:rsidR="00AB14CA">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B47667" w:rsidRDefault="00233C16">
                    <w:pPr>
                      <w:pStyle w:val="a4"/>
                    </w:pPr>
                    <w:r>
                      <w:fldChar w:fldCharType="begin"/>
                    </w:r>
                    <w:r>
                      <w:instrText xml:space="preserve"> PAGE  \* MERGEFORMAT </w:instrText>
                    </w:r>
                    <w:r>
                      <w:fldChar w:fldCharType="separate"/>
                    </w:r>
                    <w:r w:rsidR="00AB14CA">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BA5" w:rsidRDefault="00632BA5">
      <w:r>
        <w:separator/>
      </w:r>
    </w:p>
  </w:footnote>
  <w:footnote w:type="continuationSeparator" w:id="0">
    <w:p w:rsidR="00632BA5" w:rsidRDefault="00632B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C50524"/>
    <w:rsid w:val="00233C16"/>
    <w:rsid w:val="00341AE6"/>
    <w:rsid w:val="003A4F99"/>
    <w:rsid w:val="00465113"/>
    <w:rsid w:val="004E43BF"/>
    <w:rsid w:val="004F50F3"/>
    <w:rsid w:val="00556094"/>
    <w:rsid w:val="00632BA5"/>
    <w:rsid w:val="00793008"/>
    <w:rsid w:val="008F380E"/>
    <w:rsid w:val="009355AA"/>
    <w:rsid w:val="009D22D3"/>
    <w:rsid w:val="009F5F93"/>
    <w:rsid w:val="00A20B6C"/>
    <w:rsid w:val="00AB14CA"/>
    <w:rsid w:val="00B47667"/>
    <w:rsid w:val="00B651C2"/>
    <w:rsid w:val="00BE55D3"/>
    <w:rsid w:val="00C71B02"/>
    <w:rsid w:val="00D61534"/>
    <w:rsid w:val="00D9637F"/>
    <w:rsid w:val="00E21106"/>
    <w:rsid w:val="00E73351"/>
    <w:rsid w:val="00E73769"/>
    <w:rsid w:val="00F71405"/>
    <w:rsid w:val="00FB78C6"/>
    <w:rsid w:val="011D2710"/>
    <w:rsid w:val="015B6D94"/>
    <w:rsid w:val="015C48BA"/>
    <w:rsid w:val="019978BC"/>
    <w:rsid w:val="019D1CEC"/>
    <w:rsid w:val="020E2058"/>
    <w:rsid w:val="024D4A7D"/>
    <w:rsid w:val="02A227A1"/>
    <w:rsid w:val="02B26E88"/>
    <w:rsid w:val="033E4BBF"/>
    <w:rsid w:val="03400B46"/>
    <w:rsid w:val="037E6D6A"/>
    <w:rsid w:val="03C926DB"/>
    <w:rsid w:val="0438160E"/>
    <w:rsid w:val="047A39D5"/>
    <w:rsid w:val="04BB39E9"/>
    <w:rsid w:val="04C45B1C"/>
    <w:rsid w:val="04EC5FA4"/>
    <w:rsid w:val="051C2AE0"/>
    <w:rsid w:val="0530154F"/>
    <w:rsid w:val="0548762F"/>
    <w:rsid w:val="05600E1D"/>
    <w:rsid w:val="05F10A39"/>
    <w:rsid w:val="05FE5A60"/>
    <w:rsid w:val="06456265"/>
    <w:rsid w:val="0648365F"/>
    <w:rsid w:val="06F361A9"/>
    <w:rsid w:val="071E0F8F"/>
    <w:rsid w:val="07581E45"/>
    <w:rsid w:val="0785029D"/>
    <w:rsid w:val="07941252"/>
    <w:rsid w:val="07C80EFB"/>
    <w:rsid w:val="07DB478B"/>
    <w:rsid w:val="07FF129F"/>
    <w:rsid w:val="081D6420"/>
    <w:rsid w:val="08326375"/>
    <w:rsid w:val="08AE6DF3"/>
    <w:rsid w:val="09391BDB"/>
    <w:rsid w:val="098826F0"/>
    <w:rsid w:val="09D73678"/>
    <w:rsid w:val="09F05F49"/>
    <w:rsid w:val="0A6071C9"/>
    <w:rsid w:val="0A682522"/>
    <w:rsid w:val="0A8C4462"/>
    <w:rsid w:val="0A9827E5"/>
    <w:rsid w:val="0AB15C77"/>
    <w:rsid w:val="0AF049F1"/>
    <w:rsid w:val="0B0B5B39"/>
    <w:rsid w:val="0B24469B"/>
    <w:rsid w:val="0B7A075E"/>
    <w:rsid w:val="0BCF0AAA"/>
    <w:rsid w:val="0BD96A01"/>
    <w:rsid w:val="0C230DF6"/>
    <w:rsid w:val="0C2661F0"/>
    <w:rsid w:val="0C2E7F47"/>
    <w:rsid w:val="0CD65E68"/>
    <w:rsid w:val="0CE75980"/>
    <w:rsid w:val="0DEB5944"/>
    <w:rsid w:val="0E43752E"/>
    <w:rsid w:val="0E511C4A"/>
    <w:rsid w:val="0EDD7576"/>
    <w:rsid w:val="0F694D72"/>
    <w:rsid w:val="0FAB538A"/>
    <w:rsid w:val="0FC96AE4"/>
    <w:rsid w:val="10022AD1"/>
    <w:rsid w:val="101D0380"/>
    <w:rsid w:val="11001706"/>
    <w:rsid w:val="1131366D"/>
    <w:rsid w:val="113F68DD"/>
    <w:rsid w:val="11464036"/>
    <w:rsid w:val="1191235E"/>
    <w:rsid w:val="11AF35A5"/>
    <w:rsid w:val="125250FB"/>
    <w:rsid w:val="125975F7"/>
    <w:rsid w:val="12A6008B"/>
    <w:rsid w:val="133A70F2"/>
    <w:rsid w:val="138C54D3"/>
    <w:rsid w:val="13A127B9"/>
    <w:rsid w:val="13B1440F"/>
    <w:rsid w:val="13BA2040"/>
    <w:rsid w:val="13D36C5E"/>
    <w:rsid w:val="14261483"/>
    <w:rsid w:val="14AB597D"/>
    <w:rsid w:val="14B27262"/>
    <w:rsid w:val="14B95E54"/>
    <w:rsid w:val="14EE5212"/>
    <w:rsid w:val="15127C5A"/>
    <w:rsid w:val="15155054"/>
    <w:rsid w:val="15771246"/>
    <w:rsid w:val="15AB556E"/>
    <w:rsid w:val="15B61C7A"/>
    <w:rsid w:val="15B64984"/>
    <w:rsid w:val="15BB3E4D"/>
    <w:rsid w:val="16067D08"/>
    <w:rsid w:val="162639BD"/>
    <w:rsid w:val="16351A4B"/>
    <w:rsid w:val="1732013F"/>
    <w:rsid w:val="1782086C"/>
    <w:rsid w:val="17A321CC"/>
    <w:rsid w:val="17AA290E"/>
    <w:rsid w:val="17B9260F"/>
    <w:rsid w:val="18502F73"/>
    <w:rsid w:val="187D363C"/>
    <w:rsid w:val="18B52DD6"/>
    <w:rsid w:val="18CD45C3"/>
    <w:rsid w:val="1964291F"/>
    <w:rsid w:val="199155F1"/>
    <w:rsid w:val="1A424B3D"/>
    <w:rsid w:val="1A4A61EC"/>
    <w:rsid w:val="1A756CC1"/>
    <w:rsid w:val="1A766595"/>
    <w:rsid w:val="1AC86A49"/>
    <w:rsid w:val="1B056B25"/>
    <w:rsid w:val="1C114F37"/>
    <w:rsid w:val="1C5172BA"/>
    <w:rsid w:val="1C5841A4"/>
    <w:rsid w:val="1CBF356A"/>
    <w:rsid w:val="1D581C82"/>
    <w:rsid w:val="1D8279FF"/>
    <w:rsid w:val="1DD7559C"/>
    <w:rsid w:val="1DDB32DF"/>
    <w:rsid w:val="1DFE6FCD"/>
    <w:rsid w:val="1E7D7EF2"/>
    <w:rsid w:val="1EBB6C6C"/>
    <w:rsid w:val="1EBC3110"/>
    <w:rsid w:val="1EE11FCC"/>
    <w:rsid w:val="1F1F369F"/>
    <w:rsid w:val="1FE741BD"/>
    <w:rsid w:val="200563F1"/>
    <w:rsid w:val="205012A3"/>
    <w:rsid w:val="205A2C19"/>
    <w:rsid w:val="20847C5E"/>
    <w:rsid w:val="21117017"/>
    <w:rsid w:val="21364138"/>
    <w:rsid w:val="214F32F8"/>
    <w:rsid w:val="21815F4B"/>
    <w:rsid w:val="21B01487"/>
    <w:rsid w:val="21EE1107"/>
    <w:rsid w:val="225A40EA"/>
    <w:rsid w:val="226F4FFE"/>
    <w:rsid w:val="22AF0896"/>
    <w:rsid w:val="22E401A6"/>
    <w:rsid w:val="231B026F"/>
    <w:rsid w:val="231F0599"/>
    <w:rsid w:val="23B73EA6"/>
    <w:rsid w:val="23D06D16"/>
    <w:rsid w:val="24280900"/>
    <w:rsid w:val="242E1C8E"/>
    <w:rsid w:val="24516B08"/>
    <w:rsid w:val="245711E5"/>
    <w:rsid w:val="24644056"/>
    <w:rsid w:val="248F4E23"/>
    <w:rsid w:val="24AE1125"/>
    <w:rsid w:val="24B30B11"/>
    <w:rsid w:val="250749B9"/>
    <w:rsid w:val="250A26FB"/>
    <w:rsid w:val="257638ED"/>
    <w:rsid w:val="260F5033"/>
    <w:rsid w:val="26282E39"/>
    <w:rsid w:val="26492DAF"/>
    <w:rsid w:val="26541291"/>
    <w:rsid w:val="2665408D"/>
    <w:rsid w:val="26BB5A5B"/>
    <w:rsid w:val="26CD39E1"/>
    <w:rsid w:val="27B96911"/>
    <w:rsid w:val="28090A48"/>
    <w:rsid w:val="28265BB1"/>
    <w:rsid w:val="28684D66"/>
    <w:rsid w:val="28BC1F5F"/>
    <w:rsid w:val="290A32FD"/>
    <w:rsid w:val="291B0A33"/>
    <w:rsid w:val="293E0BC6"/>
    <w:rsid w:val="2A1A3D53"/>
    <w:rsid w:val="2A627CF6"/>
    <w:rsid w:val="2A6C7CC7"/>
    <w:rsid w:val="2A8D3BB3"/>
    <w:rsid w:val="2B110340"/>
    <w:rsid w:val="2B723662"/>
    <w:rsid w:val="2B864631"/>
    <w:rsid w:val="2B9C5703"/>
    <w:rsid w:val="2BB4516F"/>
    <w:rsid w:val="2BC26F57"/>
    <w:rsid w:val="2BD33847"/>
    <w:rsid w:val="2BFC0FF0"/>
    <w:rsid w:val="2C22032B"/>
    <w:rsid w:val="2C892158"/>
    <w:rsid w:val="2CD71115"/>
    <w:rsid w:val="2D8440D0"/>
    <w:rsid w:val="2E1D524D"/>
    <w:rsid w:val="2E6764C9"/>
    <w:rsid w:val="2E830B74"/>
    <w:rsid w:val="2E8A6ED5"/>
    <w:rsid w:val="2EA95945"/>
    <w:rsid w:val="2FDB4D1E"/>
    <w:rsid w:val="2FDC0E30"/>
    <w:rsid w:val="302A1A3D"/>
    <w:rsid w:val="31A517E2"/>
    <w:rsid w:val="31B144E0"/>
    <w:rsid w:val="32036508"/>
    <w:rsid w:val="322B47BD"/>
    <w:rsid w:val="3239017C"/>
    <w:rsid w:val="32906BED"/>
    <w:rsid w:val="32977EE9"/>
    <w:rsid w:val="32AE0B6A"/>
    <w:rsid w:val="32BC3287"/>
    <w:rsid w:val="33114C55"/>
    <w:rsid w:val="33474502"/>
    <w:rsid w:val="335C66DA"/>
    <w:rsid w:val="33923FE8"/>
    <w:rsid w:val="33F24A86"/>
    <w:rsid w:val="33F3388E"/>
    <w:rsid w:val="3405307E"/>
    <w:rsid w:val="34117602"/>
    <w:rsid w:val="349329B4"/>
    <w:rsid w:val="34AE56C2"/>
    <w:rsid w:val="36C50524"/>
    <w:rsid w:val="36F6488E"/>
    <w:rsid w:val="36FA617A"/>
    <w:rsid w:val="3793018C"/>
    <w:rsid w:val="37A75B88"/>
    <w:rsid w:val="37EA43F2"/>
    <w:rsid w:val="38207E14"/>
    <w:rsid w:val="38BB18EB"/>
    <w:rsid w:val="38E76B84"/>
    <w:rsid w:val="390B4164"/>
    <w:rsid w:val="391F00CC"/>
    <w:rsid w:val="39A62C24"/>
    <w:rsid w:val="39D54C2E"/>
    <w:rsid w:val="39F47B29"/>
    <w:rsid w:val="3A190FBF"/>
    <w:rsid w:val="3ACF5B21"/>
    <w:rsid w:val="3B3C1DAC"/>
    <w:rsid w:val="3BF27D19"/>
    <w:rsid w:val="3C1E6C6C"/>
    <w:rsid w:val="3C4B7492"/>
    <w:rsid w:val="3C832BE2"/>
    <w:rsid w:val="3CFE3A0B"/>
    <w:rsid w:val="3D2F28A7"/>
    <w:rsid w:val="3DD13C22"/>
    <w:rsid w:val="3E500D27"/>
    <w:rsid w:val="3EB922C1"/>
    <w:rsid w:val="3F4D50E3"/>
    <w:rsid w:val="3FCD6286"/>
    <w:rsid w:val="3FDC2527"/>
    <w:rsid w:val="40196E68"/>
    <w:rsid w:val="414C12B2"/>
    <w:rsid w:val="41596145"/>
    <w:rsid w:val="41DD28D2"/>
    <w:rsid w:val="42002A64"/>
    <w:rsid w:val="4278399C"/>
    <w:rsid w:val="42C910A8"/>
    <w:rsid w:val="42EA62FD"/>
    <w:rsid w:val="42EE4161"/>
    <w:rsid w:val="433D7202"/>
    <w:rsid w:val="438F22F2"/>
    <w:rsid w:val="43A713E9"/>
    <w:rsid w:val="43EF1DBA"/>
    <w:rsid w:val="43FF1225"/>
    <w:rsid w:val="44562E10"/>
    <w:rsid w:val="44965B67"/>
    <w:rsid w:val="44ED3E5A"/>
    <w:rsid w:val="44F95FB0"/>
    <w:rsid w:val="452B1E82"/>
    <w:rsid w:val="4540034F"/>
    <w:rsid w:val="462E4E00"/>
    <w:rsid w:val="4674376B"/>
    <w:rsid w:val="46773569"/>
    <w:rsid w:val="4723347D"/>
    <w:rsid w:val="477B0B9C"/>
    <w:rsid w:val="47C54534"/>
    <w:rsid w:val="486E173D"/>
    <w:rsid w:val="48C62279"/>
    <w:rsid w:val="48D5326B"/>
    <w:rsid w:val="49570C8B"/>
    <w:rsid w:val="496D4E83"/>
    <w:rsid w:val="49C56A6D"/>
    <w:rsid w:val="49CD147E"/>
    <w:rsid w:val="4A4C4A99"/>
    <w:rsid w:val="4ADB5E1D"/>
    <w:rsid w:val="4AEA158D"/>
    <w:rsid w:val="4B8B7441"/>
    <w:rsid w:val="4B8D006A"/>
    <w:rsid w:val="4BA72CB5"/>
    <w:rsid w:val="4C59349D"/>
    <w:rsid w:val="4C673E0C"/>
    <w:rsid w:val="4C681932"/>
    <w:rsid w:val="4C73080C"/>
    <w:rsid w:val="4CCC5C83"/>
    <w:rsid w:val="4CE27936"/>
    <w:rsid w:val="4D421862"/>
    <w:rsid w:val="4D9F75D5"/>
    <w:rsid w:val="4DD3102D"/>
    <w:rsid w:val="4DD51249"/>
    <w:rsid w:val="4E013DEC"/>
    <w:rsid w:val="4E200716"/>
    <w:rsid w:val="4E646756"/>
    <w:rsid w:val="4E6A1991"/>
    <w:rsid w:val="4E9D1D67"/>
    <w:rsid w:val="4EBC6AD5"/>
    <w:rsid w:val="4EE94FAC"/>
    <w:rsid w:val="4F1813ED"/>
    <w:rsid w:val="4F8847C5"/>
    <w:rsid w:val="50940F47"/>
    <w:rsid w:val="514C35D0"/>
    <w:rsid w:val="518A199E"/>
    <w:rsid w:val="51915487"/>
    <w:rsid w:val="51B86EB8"/>
    <w:rsid w:val="51D50BFE"/>
    <w:rsid w:val="52CF3808"/>
    <w:rsid w:val="52D47D21"/>
    <w:rsid w:val="5311687F"/>
    <w:rsid w:val="53784B50"/>
    <w:rsid w:val="53B335F9"/>
    <w:rsid w:val="53B536AF"/>
    <w:rsid w:val="53D02297"/>
    <w:rsid w:val="53F65A75"/>
    <w:rsid w:val="543842E0"/>
    <w:rsid w:val="545339C8"/>
    <w:rsid w:val="54666214"/>
    <w:rsid w:val="54762351"/>
    <w:rsid w:val="550541C2"/>
    <w:rsid w:val="5506043A"/>
    <w:rsid w:val="551D791F"/>
    <w:rsid w:val="554B361A"/>
    <w:rsid w:val="5563713A"/>
    <w:rsid w:val="55652EB2"/>
    <w:rsid w:val="56FA587C"/>
    <w:rsid w:val="57882E88"/>
    <w:rsid w:val="57A80FD1"/>
    <w:rsid w:val="59A246D5"/>
    <w:rsid w:val="59A84023"/>
    <w:rsid w:val="5A086404"/>
    <w:rsid w:val="5A276988"/>
    <w:rsid w:val="5A296BA4"/>
    <w:rsid w:val="5A594267"/>
    <w:rsid w:val="5B11756A"/>
    <w:rsid w:val="5B3017C6"/>
    <w:rsid w:val="5BC56459"/>
    <w:rsid w:val="5C642116"/>
    <w:rsid w:val="5CDA7BA2"/>
    <w:rsid w:val="5D4B0BE0"/>
    <w:rsid w:val="5D4B6E32"/>
    <w:rsid w:val="5D59154F"/>
    <w:rsid w:val="5D944335"/>
    <w:rsid w:val="5D9E51B4"/>
    <w:rsid w:val="5EF808F3"/>
    <w:rsid w:val="5F445BA4"/>
    <w:rsid w:val="5F700DD2"/>
    <w:rsid w:val="5F950838"/>
    <w:rsid w:val="5FA97E40"/>
    <w:rsid w:val="5FAC0EC5"/>
    <w:rsid w:val="6011669D"/>
    <w:rsid w:val="60765F74"/>
    <w:rsid w:val="61154764"/>
    <w:rsid w:val="612754C0"/>
    <w:rsid w:val="612B3202"/>
    <w:rsid w:val="614222FA"/>
    <w:rsid w:val="61A86601"/>
    <w:rsid w:val="62CB5F1A"/>
    <w:rsid w:val="62ED4EFA"/>
    <w:rsid w:val="633F4D43"/>
    <w:rsid w:val="634F1A44"/>
    <w:rsid w:val="636E387A"/>
    <w:rsid w:val="63864720"/>
    <w:rsid w:val="63BC2837"/>
    <w:rsid w:val="63ED479F"/>
    <w:rsid w:val="64354398"/>
    <w:rsid w:val="650F6997"/>
    <w:rsid w:val="65426D6C"/>
    <w:rsid w:val="65C94D98"/>
    <w:rsid w:val="65FE7137"/>
    <w:rsid w:val="661204ED"/>
    <w:rsid w:val="662F5543"/>
    <w:rsid w:val="666B455D"/>
    <w:rsid w:val="678668F8"/>
    <w:rsid w:val="680710DD"/>
    <w:rsid w:val="68721717"/>
    <w:rsid w:val="68BF2482"/>
    <w:rsid w:val="68ED4AD6"/>
    <w:rsid w:val="6A334ED5"/>
    <w:rsid w:val="6AAB0F10"/>
    <w:rsid w:val="6AC00E5F"/>
    <w:rsid w:val="6B60619E"/>
    <w:rsid w:val="6B8A321B"/>
    <w:rsid w:val="6BCA3618"/>
    <w:rsid w:val="6BCC7DCD"/>
    <w:rsid w:val="6BF32B6E"/>
    <w:rsid w:val="6C0D42C2"/>
    <w:rsid w:val="6CFE7BD6"/>
    <w:rsid w:val="6D231231"/>
    <w:rsid w:val="6D7C6B93"/>
    <w:rsid w:val="6D8F4B19"/>
    <w:rsid w:val="6E2D1350"/>
    <w:rsid w:val="6E531FEA"/>
    <w:rsid w:val="6E6C6C08"/>
    <w:rsid w:val="6E9C6E0A"/>
    <w:rsid w:val="6ECF78C3"/>
    <w:rsid w:val="6EE64C0C"/>
    <w:rsid w:val="6F10216C"/>
    <w:rsid w:val="6F13526E"/>
    <w:rsid w:val="6F2319BD"/>
    <w:rsid w:val="6F716D4C"/>
    <w:rsid w:val="6F7D2527"/>
    <w:rsid w:val="6F9C3005"/>
    <w:rsid w:val="70096E04"/>
    <w:rsid w:val="701632CF"/>
    <w:rsid w:val="703657BA"/>
    <w:rsid w:val="704020FA"/>
    <w:rsid w:val="70453BB5"/>
    <w:rsid w:val="70741B3E"/>
    <w:rsid w:val="70E433CD"/>
    <w:rsid w:val="710456E6"/>
    <w:rsid w:val="713752AB"/>
    <w:rsid w:val="714C468E"/>
    <w:rsid w:val="719E357C"/>
    <w:rsid w:val="71BE5E2F"/>
    <w:rsid w:val="71C35DCB"/>
    <w:rsid w:val="72096764"/>
    <w:rsid w:val="73125FD0"/>
    <w:rsid w:val="738F1BAA"/>
    <w:rsid w:val="74026044"/>
    <w:rsid w:val="740F0761"/>
    <w:rsid w:val="74AD0280"/>
    <w:rsid w:val="757B096B"/>
    <w:rsid w:val="75FC7265"/>
    <w:rsid w:val="763C4299"/>
    <w:rsid w:val="76601DA2"/>
    <w:rsid w:val="76D8308D"/>
    <w:rsid w:val="77E62253"/>
    <w:rsid w:val="784D3606"/>
    <w:rsid w:val="7859644F"/>
    <w:rsid w:val="78706713"/>
    <w:rsid w:val="787B4617"/>
    <w:rsid w:val="78DF0E01"/>
    <w:rsid w:val="79226841"/>
    <w:rsid w:val="79297BCF"/>
    <w:rsid w:val="7955704F"/>
    <w:rsid w:val="79D33FDF"/>
    <w:rsid w:val="79E5180B"/>
    <w:rsid w:val="7A440A39"/>
    <w:rsid w:val="7A4B5375"/>
    <w:rsid w:val="7A575F13"/>
    <w:rsid w:val="7A952756"/>
    <w:rsid w:val="7A9D6AC7"/>
    <w:rsid w:val="7B456885"/>
    <w:rsid w:val="7BA14395"/>
    <w:rsid w:val="7BD302C6"/>
    <w:rsid w:val="7C354ADD"/>
    <w:rsid w:val="7C857813"/>
    <w:rsid w:val="7CE81B50"/>
    <w:rsid w:val="7D825118"/>
    <w:rsid w:val="7D8275B6"/>
    <w:rsid w:val="7DD520D4"/>
    <w:rsid w:val="7E1C318D"/>
    <w:rsid w:val="7E4B683A"/>
    <w:rsid w:val="7ECF6194"/>
    <w:rsid w:val="7F323556"/>
    <w:rsid w:val="7F447256"/>
    <w:rsid w:val="7FD5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qFormat/>
    <w:pPr>
      <w:ind w:leftChars="400" w:left="840"/>
    </w:pPr>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Pr>
      <w:color w:val="0026E5" w:themeColor="hyperlink"/>
      <w:u w:val="single"/>
    </w:rPr>
  </w:style>
  <w:style w:type="paragraph" w:styleId="a8">
    <w:name w:val="List Paragraph"/>
    <w:basedOn w:val="a"/>
    <w:uiPriority w:val="34"/>
    <w:qFormat/>
    <w:pPr>
      <w:ind w:firstLineChars="200" w:firstLine="420"/>
    </w:pPr>
  </w:style>
  <w:style w:type="character" w:customStyle="1" w:styleId="Char">
    <w:name w:val="批注框文本 Char"/>
    <w:basedOn w:val="a0"/>
    <w:link w:val="a3"/>
    <w:qFormat/>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qFormat/>
    <w:pPr>
      <w:ind w:leftChars="400" w:left="840"/>
    </w:pPr>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Pr>
      <w:color w:val="0026E5" w:themeColor="hyperlink"/>
      <w:u w:val="single"/>
    </w:rPr>
  </w:style>
  <w:style w:type="paragraph" w:styleId="a8">
    <w:name w:val="List Paragraph"/>
    <w:basedOn w:val="a"/>
    <w:uiPriority w:val="34"/>
    <w:qFormat/>
    <w:pPr>
      <w:ind w:firstLineChars="200" w:firstLine="420"/>
    </w:pPr>
  </w:style>
  <w:style w:type="character" w:customStyle="1" w:styleId="Char">
    <w:name w:val="批注框文本 Char"/>
    <w:basedOn w:val="a0"/>
    <w:link w:val="a3"/>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1762</Words>
  <Characters>10049</Characters>
  <Application>Microsoft Office Word</Application>
  <DocSecurity>0</DocSecurity>
  <Lines>83</Lines>
  <Paragraphs>23</Paragraphs>
  <ScaleCrop>false</ScaleCrop>
  <Company>LG</Company>
  <LinksUpToDate>false</LinksUpToDate>
  <CharactersWithSpaces>11788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Esteller燕</dc:creator>
  <cp:lastModifiedBy>Windows 用户</cp:lastModifiedBy>
  <cp:revision>12</cp:revision>
  <dcterms:created xsi:type="dcterms:W3CDTF">2025-06-05T03:01:00Z</dcterms:created>
  <dcterms:modified xsi:type="dcterms:W3CDTF">2025-10-09T09:10:00Z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633A2F5C900D40D28B43F99A54CC83ED_11</vt:lpwstr>
  </property>
  <property fmtid="{D5CDD505-2E9C-101B-9397-08002B2CF9AE}" pid="4" name="KSOTemplateDocerSaveRecord">
    <vt:lpwstr>eyJoZGlkIjoiYzFhZGY0ZTViYWQyN2I0ZGJhNDk0OThkMjNkNmQ2MDYiLCJ1c2VySWQiOiI3NDU3NTU5NDAifQ==</vt:lpwstr>
  </property>
</Properties>
</file>