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F5B4C" w14:textId="77777777" w:rsidR="00B95B4F" w:rsidRDefault="0025529E">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202</w:t>
      </w:r>
      <w:r>
        <w:rPr>
          <w:rFonts w:ascii="Times New Roman" w:eastAsia="方正小标宋简体" w:hAnsi="Times New Roman" w:cs="Times New Roman" w:hint="eastAsia"/>
          <w:sz w:val="36"/>
          <w:szCs w:val="36"/>
        </w:rPr>
        <w:t>4</w:t>
      </w:r>
      <w:r>
        <w:rPr>
          <w:rFonts w:ascii="Times New Roman" w:eastAsia="方正小标宋简体" w:hAnsi="Times New Roman" w:cs="Times New Roman"/>
          <w:sz w:val="36"/>
          <w:szCs w:val="36"/>
        </w:rPr>
        <w:t>年度南京市水产科学研究所</w:t>
      </w:r>
    </w:p>
    <w:p w14:paraId="540CF8F4" w14:textId="77777777" w:rsidR="00B95B4F" w:rsidRDefault="0025529E">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部门整体绩效自评价报告</w:t>
      </w:r>
    </w:p>
    <w:p w14:paraId="2F964427" w14:textId="77777777" w:rsidR="00B95B4F" w:rsidRDefault="0025529E">
      <w:pPr>
        <w:widowControl/>
        <w:spacing w:line="560" w:lineRule="exact"/>
        <w:ind w:firstLineChars="200" w:firstLine="640"/>
        <w:jc w:val="lef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一、单位概况</w:t>
      </w:r>
    </w:p>
    <w:p w14:paraId="03873581"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（一）单位基本情况</w:t>
      </w:r>
    </w:p>
    <w:p w14:paraId="0562C94D"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本单位成立于</w:t>
      </w:r>
      <w:r>
        <w:rPr>
          <w:rFonts w:ascii="Times New Roman" w:eastAsia="仿宋_GB2312" w:hAnsi="Times New Roman" w:cs="Times New Roman"/>
          <w:bCs/>
          <w:sz w:val="32"/>
          <w:szCs w:val="32"/>
        </w:rPr>
        <w:t>1976</w:t>
      </w:r>
      <w:r>
        <w:rPr>
          <w:rFonts w:ascii="Times New Roman" w:eastAsia="仿宋_GB2312" w:hAnsi="Times New Roman" w:cs="Times New Roman"/>
          <w:bCs/>
          <w:sz w:val="32"/>
          <w:szCs w:val="32"/>
        </w:rPr>
        <w:t>年，隶属南京市农业农村局。职能定位是：开展全市水产种质资源保护技术研究，地方及引进优良品种的驯化、选育工作；开展渔业水域生态环境保护技术研究和水产投入品及产品质量安全相关研究，水产重大疫病监控、病害预测预报及防治技术研究；开展水产增养殖共性技术研究及推广、培训工作；承担渔业技术标准的制订、宣传、指导工作；承担水生外来入侵生物调查、监测预警和防治工作；完成市农业农村局交办的其他任务。</w:t>
      </w:r>
    </w:p>
    <w:p w14:paraId="4AABAE06"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内设机构：办公室</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党办（考核办）、资产与财务管理中心、科技管理与信息中心、科技推广与培训中心、病害监测与防控中心</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资源环境与保护中心</w:t>
      </w:r>
      <w:r>
        <w:rPr>
          <w:rFonts w:ascii="Times New Roman" w:eastAsia="仿宋_GB2312" w:hAnsi="Times New Roman" w:cs="Times New Roman" w:hint="eastAsia"/>
          <w:bCs/>
          <w:sz w:val="32"/>
          <w:szCs w:val="32"/>
        </w:rPr>
        <w:t>、特色鱼研究中心（禄口基地）、蟹虾研究中心</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年在职在编干部职工</w:t>
      </w:r>
      <w:r>
        <w:rPr>
          <w:rFonts w:ascii="Times New Roman" w:eastAsia="仿宋_GB2312" w:hAnsi="Times New Roman" w:cs="Times New Roman"/>
          <w:bCs/>
          <w:sz w:val="32"/>
          <w:szCs w:val="32"/>
        </w:rPr>
        <w:t>4</w:t>
      </w: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人，退休干部职工</w:t>
      </w:r>
      <w:r>
        <w:rPr>
          <w:rFonts w:ascii="Times New Roman" w:eastAsia="仿宋_GB2312" w:hAnsi="Times New Roman" w:cs="Times New Roman"/>
          <w:bCs/>
          <w:sz w:val="32"/>
          <w:szCs w:val="32"/>
        </w:rPr>
        <w:t>32</w:t>
      </w:r>
      <w:r>
        <w:rPr>
          <w:rFonts w:ascii="Times New Roman" w:eastAsia="仿宋_GB2312" w:hAnsi="Times New Roman" w:cs="Times New Roman"/>
          <w:bCs/>
          <w:sz w:val="32"/>
          <w:szCs w:val="32"/>
        </w:rPr>
        <w:t>人，编外人员</w:t>
      </w:r>
      <w:r>
        <w:rPr>
          <w:rFonts w:ascii="Times New Roman" w:eastAsia="仿宋_GB2312" w:hAnsi="Times New Roman" w:cs="Times New Roman"/>
          <w:bCs/>
          <w:sz w:val="32"/>
          <w:szCs w:val="32"/>
        </w:rPr>
        <w:t>19</w:t>
      </w:r>
      <w:r>
        <w:rPr>
          <w:rFonts w:ascii="Times New Roman" w:eastAsia="仿宋_GB2312" w:hAnsi="Times New Roman" w:cs="Times New Roman"/>
          <w:bCs/>
          <w:sz w:val="32"/>
          <w:szCs w:val="32"/>
        </w:rPr>
        <w:t>人，合计</w:t>
      </w:r>
      <w:r>
        <w:rPr>
          <w:rFonts w:ascii="Times New Roman" w:eastAsia="仿宋_GB2312" w:hAnsi="Times New Roman" w:cs="Times New Roman"/>
          <w:bCs/>
          <w:sz w:val="32"/>
          <w:szCs w:val="32"/>
        </w:rPr>
        <w:t>9</w:t>
      </w: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人。本单位</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年资产总额</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099.59</w:t>
      </w:r>
      <w:r>
        <w:rPr>
          <w:rFonts w:ascii="Times New Roman" w:eastAsia="仿宋_GB2312" w:hAnsi="Times New Roman" w:cs="Times New Roman"/>
          <w:bCs/>
          <w:sz w:val="32"/>
          <w:szCs w:val="32"/>
        </w:rPr>
        <w:t>万元，负债</w:t>
      </w:r>
      <w:r>
        <w:rPr>
          <w:rFonts w:ascii="Times New Roman" w:eastAsia="仿宋_GB2312" w:hAnsi="Times New Roman" w:cs="Times New Roman" w:hint="eastAsia"/>
          <w:bCs/>
          <w:sz w:val="32"/>
          <w:szCs w:val="32"/>
        </w:rPr>
        <w:t>91.95</w:t>
      </w:r>
      <w:r>
        <w:rPr>
          <w:rFonts w:ascii="Times New Roman" w:eastAsia="仿宋_GB2312" w:hAnsi="Times New Roman" w:cs="Times New Roman"/>
          <w:bCs/>
          <w:sz w:val="32"/>
          <w:szCs w:val="32"/>
        </w:rPr>
        <w:t>万元，净资产</w:t>
      </w:r>
      <w:r>
        <w:rPr>
          <w:rFonts w:ascii="Times New Roman" w:eastAsia="仿宋_GB2312" w:hAnsi="Times New Roman" w:cs="Times New Roman"/>
          <w:bCs/>
          <w:sz w:val="32"/>
          <w:szCs w:val="32"/>
        </w:rPr>
        <w:t>30</w:t>
      </w:r>
      <w:r>
        <w:rPr>
          <w:rFonts w:ascii="Times New Roman" w:eastAsia="仿宋_GB2312" w:hAnsi="Times New Roman" w:cs="Times New Roman" w:hint="eastAsia"/>
          <w:bCs/>
          <w:sz w:val="32"/>
          <w:szCs w:val="32"/>
        </w:rPr>
        <w:t>07.64</w:t>
      </w:r>
      <w:r>
        <w:rPr>
          <w:rFonts w:ascii="Times New Roman" w:eastAsia="仿宋_GB2312" w:hAnsi="Times New Roman" w:cs="Times New Roman"/>
          <w:bCs/>
          <w:sz w:val="32"/>
          <w:szCs w:val="32"/>
        </w:rPr>
        <w:t>万元。其中：固定资产净值</w:t>
      </w:r>
      <w:r>
        <w:rPr>
          <w:rFonts w:ascii="Times New Roman" w:eastAsia="仿宋_GB2312" w:hAnsi="Times New Roman" w:cs="Times New Roman"/>
          <w:bCs/>
          <w:sz w:val="32"/>
          <w:szCs w:val="32"/>
        </w:rPr>
        <w:t>23</w:t>
      </w:r>
      <w:r>
        <w:rPr>
          <w:rFonts w:ascii="Times New Roman" w:eastAsia="仿宋_GB2312" w:hAnsi="Times New Roman" w:cs="Times New Roman" w:hint="eastAsia"/>
          <w:bCs/>
          <w:sz w:val="32"/>
          <w:szCs w:val="32"/>
        </w:rPr>
        <w:t>55.53</w:t>
      </w:r>
      <w:r>
        <w:rPr>
          <w:rFonts w:ascii="Times New Roman" w:eastAsia="仿宋_GB2312" w:hAnsi="Times New Roman" w:cs="Times New Roman"/>
          <w:bCs/>
          <w:sz w:val="32"/>
          <w:szCs w:val="32"/>
        </w:rPr>
        <w:t>万元。</w:t>
      </w:r>
    </w:p>
    <w:p w14:paraId="6113BBA5" w14:textId="65B32CAE"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重点工作任务</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以渔业增效、渔民增收为目标，认真落实</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四抓四比</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工作部署，聚焦</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精品蟹虾</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特色鱼</w:t>
      </w:r>
      <w:r>
        <w:rPr>
          <w:rFonts w:ascii="Times New Roman" w:eastAsia="仿宋_GB2312" w:hAnsi="Times New Roman" w:cs="Times New Roman" w:hint="eastAsia"/>
          <w:bCs/>
          <w:sz w:val="32"/>
          <w:szCs w:val="32"/>
        </w:rPr>
        <w:t>”</w:t>
      </w:r>
      <w:r w:rsidR="00297E0F">
        <w:rPr>
          <w:rFonts w:ascii="Times New Roman" w:eastAsia="仿宋_GB2312" w:hAnsi="Times New Roman" w:cs="Times New Roman"/>
          <w:bCs/>
          <w:sz w:val="32"/>
          <w:szCs w:val="32"/>
        </w:rPr>
        <w:t>产业链以及江鱼驯养，聚力开展水产种业提升</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四新</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技术协同推广、病害防控与水产品质量安全、渔业资源环境生态保护等工作，不断提升科研水平，加快科技成果转化，提高公益服务效能，助力</w:t>
      </w:r>
      <w:r>
        <w:rPr>
          <w:rFonts w:ascii="Times New Roman" w:eastAsia="仿宋_GB2312" w:hAnsi="Times New Roman" w:cs="Times New Roman"/>
          <w:bCs/>
          <w:sz w:val="32"/>
          <w:szCs w:val="32"/>
        </w:rPr>
        <w:lastRenderedPageBreak/>
        <w:t>南京渔业高质量发展。</w:t>
      </w:r>
    </w:p>
    <w:p w14:paraId="7A543693"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（二）单位收支情况</w:t>
      </w:r>
    </w:p>
    <w:p w14:paraId="691A80EF"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收入预算执行情况</w:t>
      </w:r>
    </w:p>
    <w:p w14:paraId="470281EA"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年收入</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174.20</w:t>
      </w:r>
      <w:r>
        <w:rPr>
          <w:rFonts w:ascii="Times New Roman" w:eastAsia="仿宋_GB2312" w:hAnsi="Times New Roman" w:cs="Times New Roman"/>
          <w:bCs/>
          <w:sz w:val="32"/>
          <w:szCs w:val="32"/>
        </w:rPr>
        <w:t>万元。其中：财政拨款收入</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045.71</w:t>
      </w:r>
      <w:r>
        <w:rPr>
          <w:rFonts w:ascii="Times New Roman" w:eastAsia="仿宋_GB2312" w:hAnsi="Times New Roman" w:cs="Times New Roman"/>
          <w:bCs/>
          <w:sz w:val="32"/>
          <w:szCs w:val="32"/>
        </w:rPr>
        <w:t>万元，其他收入</w:t>
      </w:r>
      <w:r>
        <w:rPr>
          <w:rFonts w:ascii="Times New Roman" w:eastAsia="仿宋_GB2312" w:hAnsi="Times New Roman" w:cs="Times New Roman" w:hint="eastAsia"/>
          <w:bCs/>
          <w:sz w:val="32"/>
          <w:szCs w:val="32"/>
        </w:rPr>
        <w:t>128.49</w:t>
      </w:r>
      <w:r>
        <w:rPr>
          <w:rFonts w:ascii="Times New Roman" w:eastAsia="仿宋_GB2312" w:hAnsi="Times New Roman" w:cs="Times New Roman"/>
          <w:bCs/>
          <w:sz w:val="32"/>
          <w:szCs w:val="32"/>
        </w:rPr>
        <w:t>万元。</w:t>
      </w:r>
    </w:p>
    <w:p w14:paraId="5ACCD4A2"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支出预算执行情况</w:t>
      </w:r>
    </w:p>
    <w:p w14:paraId="44CBAD4B"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年支出</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173.32</w:t>
      </w:r>
      <w:r>
        <w:rPr>
          <w:rFonts w:ascii="Times New Roman" w:eastAsia="仿宋_GB2312" w:hAnsi="Times New Roman" w:cs="Times New Roman"/>
          <w:bCs/>
          <w:sz w:val="32"/>
          <w:szCs w:val="32"/>
        </w:rPr>
        <w:t>万元。其中：基本支出</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210.25</w:t>
      </w:r>
      <w:r>
        <w:rPr>
          <w:rFonts w:ascii="Times New Roman" w:eastAsia="仿宋_GB2312" w:hAnsi="Times New Roman" w:cs="Times New Roman"/>
          <w:bCs/>
          <w:sz w:val="32"/>
          <w:szCs w:val="32"/>
        </w:rPr>
        <w:t>万元，项目支出</w:t>
      </w:r>
      <w:r>
        <w:rPr>
          <w:rFonts w:ascii="Times New Roman" w:eastAsia="仿宋_GB2312" w:hAnsi="Times New Roman" w:cs="Times New Roman" w:hint="eastAsia"/>
          <w:bCs/>
          <w:sz w:val="32"/>
          <w:szCs w:val="32"/>
        </w:rPr>
        <w:t>963.07</w:t>
      </w:r>
      <w:r>
        <w:rPr>
          <w:rFonts w:ascii="Times New Roman" w:eastAsia="仿宋_GB2312" w:hAnsi="Times New Roman" w:cs="Times New Roman"/>
          <w:bCs/>
          <w:sz w:val="32"/>
          <w:szCs w:val="32"/>
        </w:rPr>
        <w:t>万元。</w:t>
      </w:r>
    </w:p>
    <w:p w14:paraId="35D73EE8"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（三）单位绩效目标</w:t>
      </w:r>
    </w:p>
    <w:p w14:paraId="66D448E4"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中长期目标：</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开展全市水产种质资源保护技术研究，驯化、选育地方及引进优良水产养殖品种</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开展渔业水域生态环境及水产疫病监测，提升水域生态环境保护及病害防治技术；</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开展水产</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技术研究与推广，提升</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新品种</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新技术</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新模式</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新装备</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应用面积；</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建设完善的水产良种供应体系、渔业技术服务体系、病害监测预报体系及生态环境监测预警体系。</w:t>
      </w:r>
    </w:p>
    <w:p w14:paraId="1E19470D"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年度目标：</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开展病害测报和重大疫病监测工作，发布病情预测预报</w:t>
      </w:r>
      <w:r>
        <w:rPr>
          <w:rFonts w:ascii="Times New Roman" w:eastAsia="仿宋_GB2312" w:hAnsi="Times New Roman" w:cs="Times New Roman"/>
          <w:bCs/>
          <w:sz w:val="32"/>
          <w:szCs w:val="32"/>
        </w:rPr>
        <w:t>8</w:t>
      </w:r>
      <w:r>
        <w:rPr>
          <w:rFonts w:ascii="Times New Roman" w:eastAsia="仿宋_GB2312" w:hAnsi="Times New Roman" w:cs="Times New Roman"/>
          <w:bCs/>
          <w:sz w:val="32"/>
          <w:szCs w:val="32"/>
        </w:rPr>
        <w:t>期，并形成总结报告；</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围绕精品蟹虾和特色</w:t>
      </w:r>
      <w:proofErr w:type="gramStart"/>
      <w:r>
        <w:rPr>
          <w:rFonts w:ascii="Times New Roman" w:eastAsia="仿宋_GB2312" w:hAnsi="Times New Roman" w:cs="Times New Roman"/>
          <w:bCs/>
          <w:sz w:val="32"/>
          <w:szCs w:val="32"/>
        </w:rPr>
        <w:t>鱼产业</w:t>
      </w:r>
      <w:proofErr w:type="gramEnd"/>
      <w:r>
        <w:rPr>
          <w:rFonts w:ascii="Times New Roman" w:eastAsia="仿宋_GB2312" w:hAnsi="Times New Roman" w:cs="Times New Roman"/>
          <w:bCs/>
          <w:sz w:val="32"/>
          <w:szCs w:val="32"/>
        </w:rPr>
        <w:t>链，重点落实河蟹、青虾、大口黑鲈、黄</w:t>
      </w:r>
      <w:proofErr w:type="gramStart"/>
      <w:r>
        <w:rPr>
          <w:rFonts w:ascii="Times New Roman" w:eastAsia="仿宋_GB2312" w:hAnsi="Times New Roman" w:cs="Times New Roman"/>
          <w:bCs/>
          <w:sz w:val="32"/>
          <w:szCs w:val="32"/>
        </w:rPr>
        <w:t>颡</w:t>
      </w:r>
      <w:proofErr w:type="gramEnd"/>
      <w:r>
        <w:rPr>
          <w:rFonts w:ascii="Times New Roman" w:eastAsia="仿宋_GB2312" w:hAnsi="Times New Roman" w:cs="Times New Roman"/>
          <w:bCs/>
          <w:sz w:val="32"/>
          <w:szCs w:val="32"/>
        </w:rPr>
        <w:t>鱼、翘嘴鲌、长吻鮠、铜鱼等品种养殖技术指导、培训与服务工作；</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持续开展南京市特色优势养殖品种河蟹、大口黑鲈、兴凯湖翘嘴鲌、长吻鮠、铜鱼等的选育工作；</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开展南京市养殖水质监测，形成南京市养殖水质监测报告。</w:t>
      </w:r>
      <w:r>
        <w:rPr>
          <w:rFonts w:ascii="Times New Roman" w:eastAsia="仿宋_GB2312" w:hAnsi="Times New Roman" w:cs="Times New Roman"/>
          <w:bCs/>
          <w:sz w:val="32"/>
          <w:szCs w:val="32"/>
        </w:rPr>
        <w:tab/>
      </w:r>
      <w:r>
        <w:rPr>
          <w:rFonts w:ascii="Times New Roman" w:eastAsia="仿宋_GB2312" w:hAnsi="Times New Roman" w:cs="Times New Roman"/>
          <w:bCs/>
          <w:sz w:val="32"/>
          <w:szCs w:val="32"/>
        </w:rPr>
        <w:tab/>
      </w:r>
      <w:r>
        <w:rPr>
          <w:rFonts w:ascii="Times New Roman" w:eastAsia="仿宋_GB2312" w:hAnsi="Times New Roman" w:cs="Times New Roman"/>
          <w:bCs/>
          <w:sz w:val="32"/>
          <w:szCs w:val="32"/>
        </w:rPr>
        <w:tab/>
      </w:r>
      <w:r>
        <w:rPr>
          <w:rFonts w:ascii="Times New Roman" w:eastAsia="仿宋_GB2312" w:hAnsi="Times New Roman" w:cs="Times New Roman"/>
          <w:bCs/>
          <w:sz w:val="32"/>
          <w:szCs w:val="32"/>
        </w:rPr>
        <w:tab/>
      </w:r>
      <w:r>
        <w:rPr>
          <w:rFonts w:ascii="Times New Roman" w:eastAsia="仿宋_GB2312" w:hAnsi="Times New Roman" w:cs="Times New Roman"/>
          <w:bCs/>
          <w:sz w:val="32"/>
          <w:szCs w:val="32"/>
        </w:rPr>
        <w:tab/>
      </w:r>
      <w:r>
        <w:rPr>
          <w:rFonts w:ascii="Times New Roman" w:eastAsia="仿宋_GB2312" w:hAnsi="Times New Roman" w:cs="Times New Roman"/>
          <w:bCs/>
          <w:sz w:val="32"/>
          <w:szCs w:val="32"/>
        </w:rPr>
        <w:tab/>
      </w:r>
      <w:r>
        <w:rPr>
          <w:rFonts w:ascii="Times New Roman" w:eastAsia="仿宋_GB2312" w:hAnsi="Times New Roman" w:cs="Times New Roman"/>
          <w:bCs/>
          <w:sz w:val="32"/>
          <w:szCs w:val="32"/>
        </w:rPr>
        <w:tab/>
      </w:r>
    </w:p>
    <w:p w14:paraId="705307F1" w14:textId="77777777" w:rsidR="00B95B4F" w:rsidRDefault="0025529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二、评价结论</w:t>
      </w:r>
    </w:p>
    <w:p w14:paraId="2A37656B"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根据年初工作计划、重点工作，紧紧围绕主管部门下达工</w:t>
      </w:r>
      <w:r>
        <w:rPr>
          <w:rFonts w:ascii="Times New Roman" w:eastAsia="仿宋_GB2312" w:hAnsi="Times New Roman" w:cs="Times New Roman"/>
          <w:bCs/>
          <w:sz w:val="32"/>
          <w:szCs w:val="32"/>
        </w:rPr>
        <w:lastRenderedPageBreak/>
        <w:t>作目标，通过加强预算收支管理，不断建立健全内部管理制度，梳理内部管理流程，部门整体绩效管理得到提升。具体体现在单位信息全面清晰、部门规划计划合理可行、部门预算资金相应匹配、部门绩效指标体系科学、部门目标细化量化，定量和不定量重点工作完成、完成质量良好，社会效益明显，有利于水产工作持续发展，我单位部门整体绩效自评分为</w:t>
      </w:r>
      <w:r>
        <w:rPr>
          <w:rFonts w:ascii="Times New Roman" w:eastAsia="仿宋_GB2312" w:hAnsi="Times New Roman" w:cs="Times New Roman" w:hint="eastAsia"/>
          <w:bCs/>
          <w:sz w:val="32"/>
          <w:szCs w:val="32"/>
        </w:rPr>
        <w:t>100</w:t>
      </w:r>
      <w:r>
        <w:rPr>
          <w:rFonts w:ascii="Times New Roman" w:eastAsia="仿宋_GB2312" w:hAnsi="Times New Roman" w:cs="Times New Roman"/>
          <w:bCs/>
          <w:sz w:val="32"/>
          <w:szCs w:val="32"/>
        </w:rPr>
        <w:t>分。</w:t>
      </w:r>
    </w:p>
    <w:p w14:paraId="4FC26114" w14:textId="77777777" w:rsidR="00B95B4F" w:rsidRDefault="0025529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三、部门履职成效</w:t>
      </w:r>
    </w:p>
    <w:p w14:paraId="041F50F9" w14:textId="77777777" w:rsidR="00B95B4F" w:rsidRDefault="0025529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2024年，市水科所在市农业农村局的正确领导下，以党建为引领，高举“惠农先锋”服务旗帜，聚焦“精品蟹虾”和“特色鱼”两大产业链，大力开展技术创新、成果转化和公益服务，以技术革新催生农业新质生产力，务实功、求实效，</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南京都市型现代化农业强市新实践。</w:t>
      </w:r>
    </w:p>
    <w:p w14:paraId="06F3E994" w14:textId="77777777" w:rsidR="00B95B4F" w:rsidRDefault="0025529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开展早上市河蟹新品系开发，放养四个不同群体河蟹大眼幼体16公斤进行扣蟹培育，预计提供早上市新品系扣蟹约160万只，可满足1000亩以上成蟹养殖试验。开展“太湖3号”青虾新品种推广，核心基地向二级苗种扩</w:t>
      </w:r>
      <w:proofErr w:type="gramStart"/>
      <w:r>
        <w:rPr>
          <w:rFonts w:ascii="仿宋" w:eastAsia="仿宋" w:hAnsi="仿宋" w:cs="仿宋" w:hint="eastAsia"/>
          <w:sz w:val="32"/>
          <w:szCs w:val="32"/>
        </w:rPr>
        <w:t>繁场供应</w:t>
      </w:r>
      <w:proofErr w:type="gramEnd"/>
      <w:r>
        <w:rPr>
          <w:rFonts w:ascii="仿宋" w:eastAsia="仿宋" w:hAnsi="仿宋" w:cs="仿宋" w:hint="eastAsia"/>
          <w:sz w:val="32"/>
          <w:szCs w:val="32"/>
        </w:rPr>
        <w:t>苗种5500公斤，全市“太湖3号”青虾应用面积超过10000亩。</w:t>
      </w:r>
    </w:p>
    <w:p w14:paraId="2A4679A7" w14:textId="58556364" w:rsidR="00B95B4F" w:rsidRDefault="0025529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新建“四新”示范基地8</w:t>
      </w:r>
      <w:r w:rsidR="00FE2620">
        <w:rPr>
          <w:rFonts w:ascii="仿宋" w:eastAsia="仿宋" w:hAnsi="仿宋" w:cs="仿宋" w:hint="eastAsia"/>
          <w:sz w:val="32"/>
          <w:szCs w:val="32"/>
        </w:rPr>
        <w:t>个，示范“一蟹两虾”</w:t>
      </w:r>
      <w:r>
        <w:rPr>
          <w:rFonts w:ascii="仿宋" w:eastAsia="仿宋" w:hAnsi="仿宋" w:cs="仿宋" w:hint="eastAsia"/>
          <w:sz w:val="32"/>
          <w:szCs w:val="32"/>
        </w:rPr>
        <w:t>“河蟹+</w:t>
      </w:r>
      <w:r w:rsidR="00FE2620">
        <w:rPr>
          <w:rFonts w:ascii="仿宋" w:eastAsia="仿宋" w:hAnsi="仿宋" w:cs="仿宋" w:hint="eastAsia"/>
          <w:sz w:val="32"/>
          <w:szCs w:val="32"/>
        </w:rPr>
        <w:t>兴凯湖翘嘴鲌”</w:t>
      </w:r>
      <w:r>
        <w:rPr>
          <w:rFonts w:ascii="仿宋" w:eastAsia="仿宋" w:hAnsi="仿宋" w:cs="仿宋" w:hint="eastAsia"/>
          <w:sz w:val="32"/>
          <w:szCs w:val="32"/>
        </w:rPr>
        <w:t>“河蟹水下小区养殖”等新模式。针对“一蟹两虾”模式罗氏沼虾大规格苗种来源受限问题，建立罗氏沼虾大规格苗种培育点，累计生产罗氏沼虾大规格苗种700余公斤，示范推广“一蟹两虾”模式</w:t>
      </w:r>
      <w:bookmarkStart w:id="0" w:name="_GoBack"/>
      <w:bookmarkEnd w:id="0"/>
      <w:r>
        <w:rPr>
          <w:rFonts w:ascii="仿宋" w:eastAsia="仿宋" w:hAnsi="仿宋" w:cs="仿宋" w:hint="eastAsia"/>
          <w:sz w:val="32"/>
          <w:szCs w:val="32"/>
        </w:rPr>
        <w:t>300余亩，测产塘口平均亩产青虾8公斤、罗氏沼虾44公斤、河蟹88公斤，示范区亩增收罗氏沼虾约25公斤，亩增效益超2000元。</w:t>
      </w:r>
    </w:p>
    <w:p w14:paraId="46554DD9" w14:textId="77777777" w:rsidR="00B95B4F" w:rsidRDefault="0025529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举办以“数字赋能产业升级 助推渔业高质高效”为主题的特色</w:t>
      </w:r>
      <w:proofErr w:type="gramStart"/>
      <w:r>
        <w:rPr>
          <w:rFonts w:ascii="仿宋" w:eastAsia="仿宋" w:hAnsi="仿宋" w:cs="仿宋" w:hint="eastAsia"/>
          <w:sz w:val="32"/>
          <w:szCs w:val="32"/>
        </w:rPr>
        <w:t>鱼产业</w:t>
      </w:r>
      <w:proofErr w:type="gramEnd"/>
      <w:r>
        <w:rPr>
          <w:rFonts w:ascii="仿宋" w:eastAsia="仿宋" w:hAnsi="仿宋" w:cs="仿宋" w:hint="eastAsia"/>
          <w:sz w:val="32"/>
          <w:szCs w:val="32"/>
        </w:rPr>
        <w:t>链“科金兴农”服务日活动，产业链条各环节经营主体共交流、促合作、谋发展，现场发布招商项目7个，总招商金额5.27亿元，签约项目3个，投资金额2.65亿元。跟踪服务重点招商信息5项，促成签约2项。</w:t>
      </w:r>
    </w:p>
    <w:p w14:paraId="4A10E215" w14:textId="77777777" w:rsidR="00B95B4F" w:rsidRDefault="0025529E">
      <w:pPr>
        <w:spacing w:line="560" w:lineRule="exact"/>
        <w:ind w:firstLineChars="200" w:firstLine="640"/>
        <w:rPr>
          <w:rFonts w:ascii="宋体" w:hAnsi="宋体" w:cs="宋体"/>
          <w:sz w:val="32"/>
          <w:szCs w:val="32"/>
        </w:rPr>
      </w:pPr>
      <w:r>
        <w:rPr>
          <w:rFonts w:ascii="仿宋" w:eastAsia="仿宋" w:hAnsi="仿宋" w:cs="仿宋" w:hint="eastAsia"/>
          <w:sz w:val="32"/>
          <w:szCs w:val="32"/>
        </w:rPr>
        <w:t>积极开展技术培训与宣传，开展各类水产养殖培训27期，培训1580人次。针对今夏持续高温灾害天气，组织“惠农先锋”服务团队对接养殖主体，</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模式</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策略编制技术指导手册，抗高温平稳度夏现场服务40余人次。编写南京市水产主导品种“全程技术操作手册”6册，拍摄发布技术指导小视频8条，在市级以上媒体开展宣传24次，在“南京渔业科技”</w:t>
      </w:r>
      <w:proofErr w:type="gramStart"/>
      <w:r>
        <w:rPr>
          <w:rFonts w:ascii="仿宋" w:eastAsia="仿宋" w:hAnsi="仿宋" w:cs="仿宋" w:hint="eastAsia"/>
          <w:sz w:val="32"/>
          <w:szCs w:val="32"/>
        </w:rPr>
        <w:t>微信公众号发布</w:t>
      </w:r>
      <w:proofErr w:type="gramEnd"/>
      <w:r>
        <w:rPr>
          <w:rFonts w:ascii="仿宋" w:eastAsia="仿宋" w:hAnsi="仿宋" w:cs="仿宋" w:hint="eastAsia"/>
          <w:sz w:val="32"/>
          <w:szCs w:val="32"/>
        </w:rPr>
        <w:t>信息85次共计126条，向农技</w:t>
      </w:r>
      <w:proofErr w:type="gramStart"/>
      <w:r>
        <w:rPr>
          <w:rFonts w:ascii="仿宋" w:eastAsia="仿宋" w:hAnsi="仿宋" w:cs="仿宋" w:hint="eastAsia"/>
          <w:sz w:val="32"/>
          <w:szCs w:val="32"/>
        </w:rPr>
        <w:t>耘</w:t>
      </w:r>
      <w:proofErr w:type="gramEnd"/>
      <w:r>
        <w:rPr>
          <w:rFonts w:ascii="仿宋" w:eastAsia="仿宋" w:hAnsi="仿宋" w:cs="仿宋" w:hint="eastAsia"/>
          <w:sz w:val="32"/>
          <w:szCs w:val="32"/>
        </w:rPr>
        <w:t>APP推</w:t>
      </w:r>
      <w:proofErr w:type="gramStart"/>
      <w:r>
        <w:rPr>
          <w:rFonts w:ascii="仿宋" w:eastAsia="仿宋" w:hAnsi="仿宋" w:cs="仿宋" w:hint="eastAsia"/>
          <w:sz w:val="32"/>
          <w:szCs w:val="32"/>
        </w:rPr>
        <w:t>送发布信息</w:t>
      </w:r>
      <w:proofErr w:type="gramEnd"/>
      <w:r>
        <w:rPr>
          <w:rFonts w:ascii="仿宋" w:eastAsia="仿宋" w:hAnsi="仿宋" w:cs="仿宋" w:hint="eastAsia"/>
          <w:sz w:val="32"/>
          <w:szCs w:val="32"/>
        </w:rPr>
        <w:t>20条</w:t>
      </w:r>
      <w:r>
        <w:rPr>
          <w:rFonts w:ascii="宋体" w:hAnsi="宋体" w:cs="宋体" w:hint="eastAsia"/>
          <w:sz w:val="32"/>
          <w:szCs w:val="32"/>
        </w:rPr>
        <w:t>。</w:t>
      </w:r>
    </w:p>
    <w:p w14:paraId="0E42C129" w14:textId="77777777" w:rsidR="00B95B4F" w:rsidRDefault="0025529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四、存在问题及原因分析</w:t>
      </w:r>
    </w:p>
    <w:p w14:paraId="369FAED3"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全员预算绩效管理宣传培训不够，有待进一步加强。</w:t>
      </w:r>
    </w:p>
    <w:p w14:paraId="47A026A8" w14:textId="77777777" w:rsidR="00B95B4F" w:rsidRDefault="0025529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五、有关建议</w:t>
      </w:r>
    </w:p>
    <w:p w14:paraId="29CC7D6B"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强化单位全员预算绩效管理意识，上级部门组织培训、指导，相关人员全程跟踪项目实施和资金使用，做到事前有计划，事中有控制，事后有（审计）总结，为我市乡村振兴和农业农村高质量发展尽职尽责。</w:t>
      </w:r>
    </w:p>
    <w:p w14:paraId="752E5363" w14:textId="77777777" w:rsidR="00B95B4F" w:rsidRDefault="0025529E">
      <w:pPr>
        <w:spacing w:line="56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六、其他需说明的情况</w:t>
      </w:r>
    </w:p>
    <w:p w14:paraId="3F7C8068"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无。</w:t>
      </w:r>
    </w:p>
    <w:p w14:paraId="056F490C"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附件</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：部门整体绩效自评表</w:t>
      </w:r>
    </w:p>
    <w:p w14:paraId="7366B648" w14:textId="77777777" w:rsidR="00B95B4F" w:rsidRDefault="0025529E">
      <w:pPr>
        <w:spacing w:line="560" w:lineRule="exact"/>
        <w:ind w:firstLineChars="1700" w:firstLine="54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南京市水产科学研究所</w:t>
      </w:r>
    </w:p>
    <w:p w14:paraId="3C7066AC" w14:textId="77777777" w:rsidR="00B95B4F" w:rsidRDefault="0025529E">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月</w:t>
      </w:r>
      <w:r>
        <w:rPr>
          <w:rFonts w:ascii="Times New Roman" w:eastAsia="仿宋_GB2312" w:hAnsi="Times New Roman" w:cs="Times New Roman" w:hint="eastAsia"/>
          <w:bCs/>
          <w:sz w:val="32"/>
          <w:szCs w:val="32"/>
        </w:rPr>
        <w:t>16</w:t>
      </w:r>
      <w:r>
        <w:rPr>
          <w:rFonts w:ascii="Times New Roman" w:eastAsia="仿宋_GB2312" w:hAnsi="Times New Roman" w:cs="Times New Roman"/>
          <w:bCs/>
          <w:sz w:val="32"/>
          <w:szCs w:val="32"/>
        </w:rPr>
        <w:t>日</w:t>
      </w:r>
    </w:p>
    <w:p w14:paraId="085D26AD" w14:textId="77777777" w:rsidR="00B95B4F" w:rsidRDefault="0025529E">
      <w:pPr>
        <w:widowControl/>
        <w:spacing w:line="560" w:lineRule="exact"/>
        <w:jc w:val="left"/>
        <w:rPr>
          <w:rFonts w:ascii="Times New Roman" w:eastAsia="仿宋" w:hAnsi="Times New Roman" w:cs="Times New Roman"/>
          <w:b/>
          <w:sz w:val="32"/>
          <w:szCs w:val="32"/>
        </w:rPr>
      </w:pPr>
      <w:r>
        <w:rPr>
          <w:rFonts w:ascii="Times New Roman" w:eastAsia="仿宋" w:hAnsi="Times New Roman" w:cs="Times New Roman"/>
          <w:b/>
          <w:sz w:val="32"/>
          <w:szCs w:val="32"/>
        </w:rPr>
        <w:lastRenderedPageBreak/>
        <w:br w:type="page"/>
      </w:r>
    </w:p>
    <w:p w14:paraId="03690067" w14:textId="77777777" w:rsidR="00B95B4F" w:rsidRDefault="00B95B4F">
      <w:pPr>
        <w:spacing w:line="560" w:lineRule="exact"/>
        <w:ind w:firstLineChars="71" w:firstLine="228"/>
        <w:rPr>
          <w:rFonts w:ascii="Times New Roman" w:eastAsia="仿宋" w:hAnsi="Times New Roman" w:cs="Times New Roman"/>
          <w:b/>
          <w:sz w:val="32"/>
          <w:szCs w:val="32"/>
        </w:rPr>
        <w:sectPr w:rsidR="00B95B4F">
          <w:footerReference w:type="default" r:id="rId8"/>
          <w:pgSz w:w="11906" w:h="16838"/>
          <w:pgMar w:top="1701" w:right="1587" w:bottom="1440" w:left="1587" w:header="851" w:footer="992" w:gutter="0"/>
          <w:cols w:space="0"/>
          <w:docGrid w:type="lines" w:linePitch="312"/>
        </w:sectPr>
      </w:pPr>
    </w:p>
    <w:p w14:paraId="20342A12" w14:textId="77777777" w:rsidR="00B95B4F" w:rsidRDefault="0025529E">
      <w:pPr>
        <w:ind w:firstLineChars="71" w:firstLine="228"/>
        <w:rPr>
          <w:rFonts w:ascii="Times New Roman" w:eastAsia="仿宋" w:hAnsi="Times New Roman" w:cs="Times New Roman"/>
          <w:b/>
          <w:sz w:val="32"/>
          <w:szCs w:val="32"/>
        </w:rPr>
      </w:pPr>
      <w:r>
        <w:rPr>
          <w:rFonts w:ascii="Times New Roman" w:eastAsia="仿宋" w:hAnsi="Times New Roman" w:cs="Times New Roman"/>
          <w:b/>
          <w:sz w:val="32"/>
          <w:szCs w:val="32"/>
        </w:rPr>
        <w:lastRenderedPageBreak/>
        <w:t>附件</w:t>
      </w:r>
      <w:r>
        <w:rPr>
          <w:rFonts w:ascii="Times New Roman" w:eastAsia="仿宋" w:hAnsi="Times New Roman" w:cs="Times New Roman"/>
          <w:b/>
          <w:sz w:val="32"/>
          <w:szCs w:val="32"/>
        </w:rPr>
        <w:t>1</w:t>
      </w:r>
      <w:r>
        <w:rPr>
          <w:rFonts w:ascii="Times New Roman" w:eastAsia="仿宋" w:hAnsi="Times New Roman" w:cs="Times New Roman"/>
          <w:b/>
          <w:sz w:val="32"/>
          <w:szCs w:val="32"/>
        </w:rPr>
        <w:t>：</w:t>
      </w:r>
      <w:r>
        <w:rPr>
          <w:rFonts w:ascii="Times New Roman" w:eastAsia="仿宋" w:hAnsi="Times New Roman" w:cs="Times New Roman"/>
          <w:b/>
          <w:sz w:val="32"/>
          <w:szCs w:val="32"/>
        </w:rPr>
        <w:t xml:space="preserve">                         </w:t>
      </w:r>
      <w:r>
        <w:rPr>
          <w:rFonts w:ascii="Times New Roman" w:eastAsia="仿宋" w:hAnsi="Times New Roman" w:cs="Times New Roman"/>
          <w:b/>
          <w:sz w:val="32"/>
          <w:szCs w:val="32"/>
        </w:rPr>
        <w:t>部门整体绩效评价指标框架</w:t>
      </w:r>
    </w:p>
    <w:tbl>
      <w:tblPr>
        <w:tblW w:w="14142" w:type="dxa"/>
        <w:tblLayout w:type="fixed"/>
        <w:tblLook w:val="04A0" w:firstRow="1" w:lastRow="0" w:firstColumn="1" w:lastColumn="0" w:noHBand="0" w:noVBand="1"/>
      </w:tblPr>
      <w:tblGrid>
        <w:gridCol w:w="1242"/>
        <w:gridCol w:w="1560"/>
        <w:gridCol w:w="4110"/>
        <w:gridCol w:w="2977"/>
        <w:gridCol w:w="2693"/>
        <w:gridCol w:w="1560"/>
      </w:tblGrid>
      <w:tr w:rsidR="00B95B4F" w14:paraId="3A5EB447" w14:textId="77777777">
        <w:trPr>
          <w:trHeight w:val="457"/>
          <w:tblHeader/>
        </w:trPr>
        <w:tc>
          <w:tcPr>
            <w:tcW w:w="1242" w:type="dxa"/>
            <w:tcBorders>
              <w:top w:val="single" w:sz="8" w:space="0" w:color="auto"/>
              <w:left w:val="single" w:sz="8" w:space="0" w:color="auto"/>
              <w:bottom w:val="single" w:sz="8" w:space="0" w:color="auto"/>
              <w:right w:val="single" w:sz="8" w:space="0" w:color="auto"/>
            </w:tcBorders>
            <w:shd w:val="clear" w:color="auto" w:fill="auto"/>
            <w:vAlign w:val="center"/>
          </w:tcPr>
          <w:p w14:paraId="1264CF07" w14:textId="77777777" w:rsidR="00B95B4F" w:rsidRDefault="0025529E">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一级指标</w:t>
            </w:r>
          </w:p>
        </w:tc>
        <w:tc>
          <w:tcPr>
            <w:tcW w:w="1560" w:type="dxa"/>
            <w:tcBorders>
              <w:top w:val="single" w:sz="8" w:space="0" w:color="auto"/>
              <w:left w:val="nil"/>
              <w:bottom w:val="single" w:sz="8" w:space="0" w:color="auto"/>
              <w:right w:val="single" w:sz="8" w:space="0" w:color="auto"/>
            </w:tcBorders>
            <w:shd w:val="clear" w:color="auto" w:fill="auto"/>
            <w:vAlign w:val="center"/>
          </w:tcPr>
          <w:p w14:paraId="5A4ACB73" w14:textId="77777777" w:rsidR="00B95B4F" w:rsidRDefault="0025529E">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二级指标</w:t>
            </w:r>
          </w:p>
        </w:tc>
        <w:tc>
          <w:tcPr>
            <w:tcW w:w="4110" w:type="dxa"/>
            <w:tcBorders>
              <w:top w:val="single" w:sz="8" w:space="0" w:color="auto"/>
              <w:left w:val="nil"/>
              <w:bottom w:val="single" w:sz="8" w:space="0" w:color="auto"/>
              <w:right w:val="single" w:sz="8" w:space="0" w:color="auto"/>
            </w:tcBorders>
            <w:shd w:val="clear" w:color="auto" w:fill="auto"/>
            <w:vAlign w:val="center"/>
          </w:tcPr>
          <w:p w14:paraId="51ED12C5" w14:textId="77777777" w:rsidR="00B95B4F" w:rsidRDefault="0025529E">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三级指标（参考）</w:t>
            </w:r>
          </w:p>
        </w:tc>
        <w:tc>
          <w:tcPr>
            <w:tcW w:w="2977" w:type="dxa"/>
            <w:tcBorders>
              <w:top w:val="single" w:sz="8" w:space="0" w:color="auto"/>
              <w:left w:val="nil"/>
              <w:bottom w:val="single" w:sz="8" w:space="0" w:color="auto"/>
              <w:right w:val="single" w:sz="8" w:space="0" w:color="auto"/>
            </w:tcBorders>
            <w:shd w:val="clear" w:color="auto" w:fill="auto"/>
            <w:vAlign w:val="center"/>
          </w:tcPr>
          <w:p w14:paraId="510A8F8E" w14:textId="77777777" w:rsidR="00B95B4F" w:rsidRDefault="0025529E">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指标说明</w:t>
            </w:r>
          </w:p>
        </w:tc>
        <w:tc>
          <w:tcPr>
            <w:tcW w:w="2693" w:type="dxa"/>
            <w:tcBorders>
              <w:top w:val="single" w:sz="8" w:space="0" w:color="auto"/>
              <w:left w:val="nil"/>
              <w:bottom w:val="single" w:sz="8" w:space="0" w:color="auto"/>
              <w:right w:val="single" w:sz="4" w:space="0" w:color="auto"/>
            </w:tcBorders>
          </w:tcPr>
          <w:p w14:paraId="598E665C" w14:textId="77777777" w:rsidR="00B95B4F" w:rsidRDefault="0025529E">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评价要点</w:t>
            </w:r>
          </w:p>
        </w:tc>
        <w:tc>
          <w:tcPr>
            <w:tcW w:w="1560" w:type="dxa"/>
            <w:tcBorders>
              <w:top w:val="single" w:sz="8" w:space="0" w:color="auto"/>
              <w:left w:val="single" w:sz="4" w:space="0" w:color="auto"/>
              <w:bottom w:val="single" w:sz="8" w:space="0" w:color="auto"/>
              <w:right w:val="single" w:sz="8" w:space="0" w:color="auto"/>
            </w:tcBorders>
            <w:shd w:val="clear" w:color="auto" w:fill="auto"/>
            <w:vAlign w:val="center"/>
          </w:tcPr>
          <w:p w14:paraId="40558D65" w14:textId="77777777" w:rsidR="00B95B4F" w:rsidRDefault="0025529E">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自评得分</w:t>
            </w:r>
          </w:p>
        </w:tc>
      </w:tr>
      <w:tr w:rsidR="00B95B4F" w14:paraId="4D5E7D97" w14:textId="77777777">
        <w:trPr>
          <w:trHeight w:val="600"/>
        </w:trPr>
        <w:tc>
          <w:tcPr>
            <w:tcW w:w="1242" w:type="dxa"/>
            <w:vMerge w:val="restart"/>
            <w:tcBorders>
              <w:top w:val="nil"/>
              <w:left w:val="single" w:sz="8" w:space="0" w:color="auto"/>
              <w:bottom w:val="single" w:sz="8" w:space="0" w:color="000000"/>
              <w:right w:val="single" w:sz="8" w:space="0" w:color="auto"/>
            </w:tcBorders>
            <w:shd w:val="clear" w:color="auto" w:fill="auto"/>
            <w:vAlign w:val="center"/>
          </w:tcPr>
          <w:p w14:paraId="34E7C21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w:t>
            </w:r>
            <w:r>
              <w:rPr>
                <w:rFonts w:ascii="Times New Roman" w:eastAsia="仿宋" w:hAnsi="Times New Roman" w:cs="Times New Roman"/>
                <w:color w:val="000000"/>
                <w:kern w:val="0"/>
                <w:sz w:val="24"/>
                <w:szCs w:val="24"/>
              </w:rPr>
              <w:t>单位决策（</w:t>
            </w:r>
            <w:r>
              <w:rPr>
                <w:rFonts w:ascii="Times New Roman" w:eastAsia="仿宋" w:hAnsi="Times New Roman" w:cs="Times New Roman"/>
                <w:color w:val="000000"/>
                <w:kern w:val="0"/>
                <w:sz w:val="24"/>
                <w:szCs w:val="24"/>
              </w:rPr>
              <w:t>15</w:t>
            </w:r>
            <w:r>
              <w:rPr>
                <w:rFonts w:ascii="Times New Roman" w:eastAsia="仿宋" w:hAnsi="Times New Roman" w:cs="Times New Roman"/>
                <w:color w:val="000000"/>
                <w:kern w:val="0"/>
                <w:sz w:val="24"/>
                <w:szCs w:val="24"/>
              </w:rPr>
              <w:t>分）</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7ADC0F6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A1</w:t>
            </w:r>
            <w:r>
              <w:rPr>
                <w:rFonts w:ascii="Times New Roman" w:eastAsia="仿宋" w:hAnsi="Times New Roman" w:cs="Times New Roman"/>
                <w:color w:val="000000"/>
                <w:kern w:val="0"/>
                <w:sz w:val="24"/>
                <w:szCs w:val="24"/>
              </w:rPr>
              <w:t>决策机制</w:t>
            </w:r>
          </w:p>
        </w:tc>
        <w:tc>
          <w:tcPr>
            <w:tcW w:w="4110" w:type="dxa"/>
            <w:tcBorders>
              <w:top w:val="nil"/>
              <w:left w:val="nil"/>
              <w:bottom w:val="single" w:sz="8" w:space="0" w:color="auto"/>
              <w:right w:val="single" w:sz="8" w:space="0" w:color="auto"/>
            </w:tcBorders>
            <w:shd w:val="clear" w:color="auto" w:fill="auto"/>
            <w:vAlign w:val="center"/>
          </w:tcPr>
          <w:p w14:paraId="0EDC4D2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A11</w:t>
            </w:r>
            <w:r>
              <w:rPr>
                <w:rFonts w:ascii="Times New Roman" w:eastAsia="仿宋" w:hAnsi="Times New Roman" w:cs="Times New Roman"/>
                <w:color w:val="000000"/>
                <w:kern w:val="0"/>
                <w:sz w:val="24"/>
                <w:szCs w:val="24"/>
              </w:rPr>
              <w:t>决策制度的规范性</w:t>
            </w:r>
          </w:p>
        </w:tc>
        <w:tc>
          <w:tcPr>
            <w:tcW w:w="2977" w:type="dxa"/>
            <w:tcBorders>
              <w:top w:val="nil"/>
              <w:left w:val="nil"/>
              <w:bottom w:val="single" w:sz="8" w:space="0" w:color="auto"/>
              <w:right w:val="single" w:sz="8" w:space="0" w:color="auto"/>
            </w:tcBorders>
            <w:shd w:val="clear" w:color="auto" w:fill="auto"/>
            <w:vAlign w:val="center"/>
          </w:tcPr>
          <w:p w14:paraId="334DC7D6" w14:textId="77777777" w:rsidR="00B95B4F" w:rsidRDefault="0025529E">
            <w:pPr>
              <w:widowControl/>
              <w:jc w:val="left"/>
              <w:rPr>
                <w:rFonts w:ascii="Times New Roman" w:eastAsia="仿宋" w:hAnsi="Times New Roman" w:cs="Times New Roman"/>
                <w:b/>
                <w:bCs/>
                <w:color w:val="000000"/>
                <w:kern w:val="0"/>
                <w:sz w:val="24"/>
                <w:szCs w:val="24"/>
              </w:rPr>
            </w:pP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规范</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衡量流程执行</w:t>
            </w:r>
          </w:p>
        </w:tc>
        <w:tc>
          <w:tcPr>
            <w:tcW w:w="2693" w:type="dxa"/>
            <w:tcBorders>
              <w:top w:val="nil"/>
              <w:left w:val="nil"/>
              <w:bottom w:val="single" w:sz="8" w:space="0" w:color="auto"/>
              <w:right w:val="single" w:sz="4" w:space="0" w:color="auto"/>
            </w:tcBorders>
          </w:tcPr>
          <w:p w14:paraId="16EA90BE" w14:textId="77777777" w:rsidR="00B95B4F" w:rsidRDefault="0025529E">
            <w:pPr>
              <w:widowControl/>
              <w:jc w:val="left"/>
              <w:rPr>
                <w:rFonts w:ascii="Times New Roman" w:eastAsia="仿宋" w:hAnsi="Times New Roman" w:cs="Times New Roman"/>
                <w:bCs/>
                <w:color w:val="000000"/>
                <w:kern w:val="0"/>
                <w:sz w:val="24"/>
                <w:szCs w:val="24"/>
              </w:rPr>
            </w:pPr>
            <w:r>
              <w:rPr>
                <w:rFonts w:ascii="Times New Roman" w:eastAsia="仿宋" w:hAnsi="Times New Roman" w:cs="Times New Roman"/>
                <w:bCs/>
                <w:color w:val="000000"/>
                <w:kern w:val="0"/>
                <w:sz w:val="24"/>
                <w:szCs w:val="24"/>
              </w:rPr>
              <w:t>决策制度有相关的流程图</w:t>
            </w:r>
          </w:p>
        </w:tc>
        <w:tc>
          <w:tcPr>
            <w:tcW w:w="1560" w:type="dxa"/>
            <w:tcBorders>
              <w:top w:val="nil"/>
              <w:left w:val="single" w:sz="4" w:space="0" w:color="auto"/>
              <w:bottom w:val="single" w:sz="8" w:space="0" w:color="auto"/>
              <w:right w:val="single" w:sz="8" w:space="0" w:color="auto"/>
            </w:tcBorders>
            <w:shd w:val="clear" w:color="auto" w:fill="auto"/>
            <w:vAlign w:val="center"/>
          </w:tcPr>
          <w:p w14:paraId="692EE62D" w14:textId="77777777" w:rsidR="00B95B4F" w:rsidRDefault="0025529E">
            <w:pPr>
              <w:widowControl/>
              <w:jc w:val="left"/>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 xml:space="preserve">　</w:t>
            </w:r>
            <w:r>
              <w:rPr>
                <w:rFonts w:ascii="Times New Roman" w:eastAsia="仿宋" w:hAnsi="Times New Roman" w:cs="Times New Roman"/>
                <w:color w:val="000000"/>
                <w:kern w:val="0"/>
                <w:sz w:val="24"/>
                <w:szCs w:val="24"/>
              </w:rPr>
              <w:t>1</w:t>
            </w:r>
          </w:p>
        </w:tc>
      </w:tr>
      <w:tr w:rsidR="00B95B4F" w14:paraId="7F45C1CB"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0E03137D"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14:paraId="7F9B3E78"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10AD8B81"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A12</w:t>
            </w:r>
            <w:r>
              <w:rPr>
                <w:rFonts w:ascii="Times New Roman" w:eastAsia="仿宋" w:hAnsi="Times New Roman" w:cs="Times New Roman"/>
                <w:color w:val="000000"/>
                <w:kern w:val="0"/>
                <w:sz w:val="24"/>
                <w:szCs w:val="24"/>
              </w:rPr>
              <w:t>决策流程的科学性</w:t>
            </w:r>
          </w:p>
        </w:tc>
        <w:tc>
          <w:tcPr>
            <w:tcW w:w="2977" w:type="dxa"/>
            <w:tcBorders>
              <w:top w:val="nil"/>
              <w:left w:val="nil"/>
              <w:bottom w:val="single" w:sz="8" w:space="0" w:color="auto"/>
              <w:right w:val="single" w:sz="8" w:space="0" w:color="auto"/>
            </w:tcBorders>
            <w:shd w:val="clear" w:color="auto" w:fill="auto"/>
            <w:vAlign w:val="center"/>
          </w:tcPr>
          <w:p w14:paraId="55EE98A7"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科学</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衡量流程的设计</w:t>
            </w:r>
          </w:p>
        </w:tc>
        <w:tc>
          <w:tcPr>
            <w:tcW w:w="2693" w:type="dxa"/>
            <w:tcBorders>
              <w:top w:val="nil"/>
              <w:left w:val="nil"/>
              <w:bottom w:val="single" w:sz="8" w:space="0" w:color="auto"/>
              <w:right w:val="single" w:sz="4" w:space="0" w:color="auto"/>
            </w:tcBorders>
          </w:tcPr>
          <w:p w14:paraId="6B014A1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流程设计科学合理</w:t>
            </w:r>
          </w:p>
        </w:tc>
        <w:tc>
          <w:tcPr>
            <w:tcW w:w="1560" w:type="dxa"/>
            <w:tcBorders>
              <w:top w:val="nil"/>
              <w:left w:val="single" w:sz="4" w:space="0" w:color="auto"/>
              <w:bottom w:val="single" w:sz="8" w:space="0" w:color="auto"/>
              <w:right w:val="single" w:sz="8" w:space="0" w:color="auto"/>
            </w:tcBorders>
            <w:shd w:val="clear" w:color="auto" w:fill="auto"/>
            <w:vAlign w:val="center"/>
          </w:tcPr>
          <w:p w14:paraId="4E4CCF0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B95B4F" w14:paraId="19196382"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10F11642"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14:paraId="549CDF07"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1123D40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A13</w:t>
            </w:r>
            <w:r>
              <w:rPr>
                <w:rFonts w:ascii="Times New Roman" w:eastAsia="仿宋" w:hAnsi="Times New Roman" w:cs="Times New Roman"/>
                <w:color w:val="000000"/>
                <w:kern w:val="0"/>
                <w:sz w:val="24"/>
                <w:szCs w:val="24"/>
              </w:rPr>
              <w:t>决策执行监督制衡机制</w:t>
            </w:r>
          </w:p>
        </w:tc>
        <w:tc>
          <w:tcPr>
            <w:tcW w:w="2977" w:type="dxa"/>
            <w:tcBorders>
              <w:top w:val="nil"/>
              <w:left w:val="nil"/>
              <w:bottom w:val="single" w:sz="8" w:space="0" w:color="auto"/>
              <w:right w:val="single" w:sz="8" w:space="0" w:color="auto"/>
            </w:tcBorders>
            <w:shd w:val="clear" w:color="auto" w:fill="auto"/>
            <w:vAlign w:val="center"/>
          </w:tcPr>
          <w:p w14:paraId="3A5112A3"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监督制衡机制的设置与运行</w:t>
            </w:r>
          </w:p>
        </w:tc>
        <w:tc>
          <w:tcPr>
            <w:tcW w:w="2693" w:type="dxa"/>
            <w:tcBorders>
              <w:top w:val="nil"/>
              <w:left w:val="nil"/>
              <w:bottom w:val="single" w:sz="8" w:space="0" w:color="auto"/>
              <w:right w:val="single" w:sz="4" w:space="0" w:color="auto"/>
            </w:tcBorders>
          </w:tcPr>
          <w:p w14:paraId="634CB5D2"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监督制衡机制设置有效</w:t>
            </w:r>
            <w:proofErr w:type="gramStart"/>
            <w:r>
              <w:rPr>
                <w:rFonts w:ascii="Times New Roman" w:eastAsia="仿宋" w:hAnsi="Times New Roman" w:cs="Times New Roman"/>
                <w:color w:val="000000"/>
                <w:kern w:val="0"/>
                <w:sz w:val="22"/>
              </w:rPr>
              <w:t>且正常</w:t>
            </w:r>
            <w:proofErr w:type="gramEnd"/>
            <w:r>
              <w:rPr>
                <w:rFonts w:ascii="Times New Roman" w:eastAsia="仿宋" w:hAnsi="Times New Roman" w:cs="Times New Roman"/>
                <w:color w:val="000000"/>
                <w:kern w:val="0"/>
                <w:sz w:val="22"/>
              </w:rPr>
              <w:t>运行</w:t>
            </w:r>
          </w:p>
        </w:tc>
        <w:tc>
          <w:tcPr>
            <w:tcW w:w="1560" w:type="dxa"/>
            <w:tcBorders>
              <w:top w:val="nil"/>
              <w:left w:val="single" w:sz="4" w:space="0" w:color="auto"/>
              <w:bottom w:val="single" w:sz="8" w:space="0" w:color="auto"/>
              <w:right w:val="single" w:sz="8" w:space="0" w:color="auto"/>
            </w:tcBorders>
            <w:shd w:val="clear" w:color="auto" w:fill="auto"/>
            <w:vAlign w:val="center"/>
          </w:tcPr>
          <w:p w14:paraId="7B971113" w14:textId="77777777" w:rsidR="00B95B4F" w:rsidRDefault="0025529E">
            <w:pPr>
              <w:widowControl/>
              <w:ind w:firstLineChars="100" w:firstLine="220"/>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1</w:t>
            </w:r>
          </w:p>
        </w:tc>
      </w:tr>
      <w:tr w:rsidR="00B95B4F" w14:paraId="4B1EC89F"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227CD3FF"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4D27F7E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A2</w:t>
            </w:r>
            <w:r>
              <w:rPr>
                <w:rFonts w:ascii="Times New Roman" w:eastAsia="仿宋" w:hAnsi="Times New Roman" w:cs="Times New Roman"/>
                <w:color w:val="000000"/>
                <w:kern w:val="0"/>
                <w:sz w:val="24"/>
                <w:szCs w:val="24"/>
              </w:rPr>
              <w:t>中长期规划</w:t>
            </w:r>
          </w:p>
        </w:tc>
        <w:tc>
          <w:tcPr>
            <w:tcW w:w="4110" w:type="dxa"/>
            <w:tcBorders>
              <w:top w:val="nil"/>
              <w:left w:val="nil"/>
              <w:bottom w:val="single" w:sz="8" w:space="0" w:color="auto"/>
              <w:right w:val="single" w:sz="8" w:space="0" w:color="auto"/>
            </w:tcBorders>
            <w:shd w:val="clear" w:color="auto" w:fill="auto"/>
            <w:vAlign w:val="center"/>
          </w:tcPr>
          <w:p w14:paraId="74EF833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A21</w:t>
            </w:r>
            <w:r>
              <w:rPr>
                <w:rFonts w:ascii="Times New Roman" w:eastAsia="仿宋" w:hAnsi="Times New Roman" w:cs="Times New Roman"/>
                <w:color w:val="000000"/>
                <w:kern w:val="0"/>
                <w:sz w:val="24"/>
                <w:szCs w:val="24"/>
              </w:rPr>
              <w:t>中长期规划明确性</w:t>
            </w:r>
          </w:p>
        </w:tc>
        <w:tc>
          <w:tcPr>
            <w:tcW w:w="2977" w:type="dxa"/>
            <w:tcBorders>
              <w:top w:val="nil"/>
              <w:left w:val="nil"/>
              <w:bottom w:val="single" w:sz="8" w:space="0" w:color="auto"/>
              <w:right w:val="single" w:sz="8" w:space="0" w:color="auto"/>
            </w:tcBorders>
            <w:shd w:val="clear" w:color="auto" w:fill="auto"/>
            <w:vAlign w:val="center"/>
          </w:tcPr>
          <w:p w14:paraId="4C208E5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符合国家法律法规、国民经济和社会发展规划要求</w:t>
            </w:r>
          </w:p>
        </w:tc>
        <w:tc>
          <w:tcPr>
            <w:tcW w:w="2693" w:type="dxa"/>
            <w:tcBorders>
              <w:top w:val="nil"/>
              <w:left w:val="nil"/>
              <w:bottom w:val="single" w:sz="8" w:space="0" w:color="auto"/>
              <w:right w:val="single" w:sz="4" w:space="0" w:color="auto"/>
            </w:tcBorders>
          </w:tcPr>
          <w:p w14:paraId="04642922"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具体明确可执行</w:t>
            </w:r>
          </w:p>
        </w:tc>
        <w:tc>
          <w:tcPr>
            <w:tcW w:w="1560" w:type="dxa"/>
            <w:tcBorders>
              <w:top w:val="nil"/>
              <w:left w:val="single" w:sz="4" w:space="0" w:color="auto"/>
              <w:bottom w:val="single" w:sz="8" w:space="0" w:color="auto"/>
              <w:right w:val="single" w:sz="8" w:space="0" w:color="auto"/>
            </w:tcBorders>
            <w:shd w:val="clear" w:color="auto" w:fill="auto"/>
            <w:vAlign w:val="center"/>
          </w:tcPr>
          <w:p w14:paraId="6FF5D69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B95B4F" w14:paraId="0CCF30EC"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3053752C"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0ABA5106"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5CE98DF3"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A22</w:t>
            </w:r>
            <w:r>
              <w:rPr>
                <w:rFonts w:ascii="Times New Roman" w:eastAsia="仿宋" w:hAnsi="Times New Roman" w:cs="Times New Roman"/>
                <w:color w:val="000000"/>
                <w:kern w:val="0"/>
                <w:sz w:val="24"/>
                <w:szCs w:val="24"/>
              </w:rPr>
              <w:t>中长期规划与部门职能的匹配性</w:t>
            </w:r>
          </w:p>
        </w:tc>
        <w:tc>
          <w:tcPr>
            <w:tcW w:w="2977" w:type="dxa"/>
            <w:tcBorders>
              <w:top w:val="nil"/>
              <w:left w:val="nil"/>
              <w:bottom w:val="single" w:sz="8" w:space="0" w:color="auto"/>
              <w:right w:val="single" w:sz="8" w:space="0" w:color="auto"/>
            </w:tcBorders>
            <w:shd w:val="clear" w:color="auto" w:fill="auto"/>
            <w:vAlign w:val="center"/>
          </w:tcPr>
          <w:p w14:paraId="33D39B04"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与单位职能、发展规划和工作计划密切相关</w:t>
            </w:r>
          </w:p>
        </w:tc>
        <w:tc>
          <w:tcPr>
            <w:tcW w:w="2693" w:type="dxa"/>
            <w:tcBorders>
              <w:top w:val="nil"/>
              <w:left w:val="nil"/>
              <w:bottom w:val="single" w:sz="8" w:space="0" w:color="auto"/>
              <w:right w:val="single" w:sz="4" w:space="0" w:color="auto"/>
            </w:tcBorders>
          </w:tcPr>
          <w:p w14:paraId="15394A2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部门职能相匹配</w:t>
            </w:r>
          </w:p>
        </w:tc>
        <w:tc>
          <w:tcPr>
            <w:tcW w:w="1560" w:type="dxa"/>
            <w:tcBorders>
              <w:top w:val="nil"/>
              <w:left w:val="single" w:sz="4" w:space="0" w:color="auto"/>
              <w:bottom w:val="single" w:sz="8" w:space="0" w:color="auto"/>
              <w:right w:val="single" w:sz="8" w:space="0" w:color="auto"/>
            </w:tcBorders>
            <w:shd w:val="clear" w:color="auto" w:fill="auto"/>
            <w:vAlign w:val="center"/>
          </w:tcPr>
          <w:p w14:paraId="5094CF9F"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B95B4F" w14:paraId="2454152C"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2E8E425F"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49A0A2E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w:t>
            </w:r>
            <w:proofErr w:type="gramStart"/>
            <w:r>
              <w:rPr>
                <w:rFonts w:ascii="Times New Roman" w:eastAsia="仿宋" w:hAnsi="Times New Roman" w:cs="Times New Roman"/>
                <w:color w:val="000000"/>
                <w:kern w:val="0"/>
                <w:sz w:val="24"/>
                <w:szCs w:val="24"/>
              </w:rPr>
              <w:t>3</w:t>
            </w:r>
            <w:proofErr w:type="gramEnd"/>
            <w:r>
              <w:rPr>
                <w:rFonts w:ascii="Times New Roman" w:eastAsia="仿宋" w:hAnsi="Times New Roman" w:cs="Times New Roman"/>
                <w:color w:val="000000"/>
                <w:kern w:val="0"/>
                <w:sz w:val="24"/>
                <w:szCs w:val="24"/>
              </w:rPr>
              <w:t>年度工作计划</w:t>
            </w:r>
          </w:p>
        </w:tc>
        <w:tc>
          <w:tcPr>
            <w:tcW w:w="4110" w:type="dxa"/>
            <w:tcBorders>
              <w:top w:val="nil"/>
              <w:left w:val="nil"/>
              <w:bottom w:val="single" w:sz="8" w:space="0" w:color="auto"/>
              <w:right w:val="single" w:sz="8" w:space="0" w:color="auto"/>
            </w:tcBorders>
            <w:shd w:val="clear" w:color="auto" w:fill="auto"/>
            <w:vAlign w:val="center"/>
          </w:tcPr>
          <w:p w14:paraId="4C82342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w:t>
            </w:r>
            <w:proofErr w:type="gramStart"/>
            <w:r>
              <w:rPr>
                <w:rFonts w:ascii="Times New Roman" w:eastAsia="仿宋" w:hAnsi="Times New Roman" w:cs="Times New Roman"/>
                <w:color w:val="000000"/>
                <w:kern w:val="0"/>
                <w:sz w:val="24"/>
                <w:szCs w:val="24"/>
              </w:rPr>
              <w:t>31</w:t>
            </w:r>
            <w:proofErr w:type="gramEnd"/>
            <w:r>
              <w:rPr>
                <w:rFonts w:ascii="Times New Roman" w:eastAsia="仿宋" w:hAnsi="Times New Roman" w:cs="Times New Roman"/>
                <w:color w:val="000000"/>
                <w:kern w:val="0"/>
                <w:sz w:val="24"/>
                <w:szCs w:val="24"/>
              </w:rPr>
              <w:t>年度工作计划明确性</w:t>
            </w:r>
          </w:p>
        </w:tc>
        <w:tc>
          <w:tcPr>
            <w:tcW w:w="2977" w:type="dxa"/>
            <w:tcBorders>
              <w:top w:val="nil"/>
              <w:left w:val="nil"/>
              <w:bottom w:val="single" w:sz="8" w:space="0" w:color="auto"/>
              <w:right w:val="single" w:sz="8" w:space="0" w:color="auto"/>
            </w:tcBorders>
            <w:shd w:val="clear" w:color="auto" w:fill="auto"/>
            <w:vAlign w:val="center"/>
          </w:tcPr>
          <w:p w14:paraId="049C32FA"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年度工作计划明确可行</w:t>
            </w:r>
          </w:p>
        </w:tc>
        <w:tc>
          <w:tcPr>
            <w:tcW w:w="2693" w:type="dxa"/>
            <w:tcBorders>
              <w:top w:val="nil"/>
              <w:left w:val="nil"/>
              <w:bottom w:val="single" w:sz="8" w:space="0" w:color="auto"/>
              <w:right w:val="single" w:sz="4" w:space="0" w:color="auto"/>
            </w:tcBorders>
          </w:tcPr>
          <w:p w14:paraId="39D47C1F"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评价年度工作计划是否明确可执行</w:t>
            </w:r>
          </w:p>
        </w:tc>
        <w:tc>
          <w:tcPr>
            <w:tcW w:w="1560" w:type="dxa"/>
            <w:tcBorders>
              <w:top w:val="nil"/>
              <w:left w:val="single" w:sz="4" w:space="0" w:color="auto"/>
              <w:bottom w:val="single" w:sz="8" w:space="0" w:color="auto"/>
              <w:right w:val="single" w:sz="8" w:space="0" w:color="auto"/>
            </w:tcBorders>
            <w:shd w:val="clear" w:color="auto" w:fill="auto"/>
            <w:vAlign w:val="center"/>
          </w:tcPr>
          <w:p w14:paraId="45FDEB94"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B95B4F" w14:paraId="6C55F56D"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2EE9FC44"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2D464799"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3DE170B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w:t>
            </w:r>
            <w:proofErr w:type="gramStart"/>
            <w:r>
              <w:rPr>
                <w:rFonts w:ascii="Times New Roman" w:eastAsia="仿宋" w:hAnsi="Times New Roman" w:cs="Times New Roman"/>
                <w:color w:val="000000"/>
                <w:kern w:val="0"/>
                <w:sz w:val="24"/>
                <w:szCs w:val="24"/>
              </w:rPr>
              <w:t>32</w:t>
            </w:r>
            <w:proofErr w:type="gramEnd"/>
            <w:r>
              <w:rPr>
                <w:rFonts w:ascii="Times New Roman" w:eastAsia="仿宋" w:hAnsi="Times New Roman" w:cs="Times New Roman"/>
                <w:color w:val="000000"/>
                <w:kern w:val="0"/>
                <w:sz w:val="24"/>
                <w:szCs w:val="24"/>
              </w:rPr>
              <w:t>年度工作计划与部门职能的匹配性</w:t>
            </w:r>
          </w:p>
        </w:tc>
        <w:tc>
          <w:tcPr>
            <w:tcW w:w="2977" w:type="dxa"/>
            <w:tcBorders>
              <w:top w:val="nil"/>
              <w:left w:val="nil"/>
              <w:bottom w:val="single" w:sz="8" w:space="0" w:color="auto"/>
              <w:right w:val="single" w:sz="8" w:space="0" w:color="auto"/>
            </w:tcBorders>
            <w:shd w:val="clear" w:color="auto" w:fill="auto"/>
            <w:vAlign w:val="center"/>
          </w:tcPr>
          <w:p w14:paraId="7C72DB07"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与部门职能密切相关</w:t>
            </w:r>
          </w:p>
        </w:tc>
        <w:tc>
          <w:tcPr>
            <w:tcW w:w="2693" w:type="dxa"/>
            <w:tcBorders>
              <w:top w:val="nil"/>
              <w:left w:val="nil"/>
              <w:bottom w:val="single" w:sz="8" w:space="0" w:color="auto"/>
              <w:right w:val="single" w:sz="4" w:space="0" w:color="auto"/>
            </w:tcBorders>
          </w:tcPr>
          <w:p w14:paraId="1027B7B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评价其与部门职能相匹配</w:t>
            </w:r>
          </w:p>
        </w:tc>
        <w:tc>
          <w:tcPr>
            <w:tcW w:w="1560" w:type="dxa"/>
            <w:tcBorders>
              <w:top w:val="nil"/>
              <w:left w:val="single" w:sz="4" w:space="0" w:color="auto"/>
              <w:bottom w:val="single" w:sz="8" w:space="0" w:color="auto"/>
              <w:right w:val="single" w:sz="8" w:space="0" w:color="auto"/>
            </w:tcBorders>
            <w:shd w:val="clear" w:color="auto" w:fill="auto"/>
            <w:vAlign w:val="center"/>
          </w:tcPr>
          <w:p w14:paraId="1BCA4DE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B95B4F" w14:paraId="4931A179"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2F6BB380"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49866BED"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A4</w:t>
            </w:r>
            <w:r>
              <w:rPr>
                <w:rFonts w:ascii="Times New Roman" w:eastAsia="仿宋" w:hAnsi="Times New Roman" w:cs="Times New Roman"/>
                <w:color w:val="000000"/>
                <w:kern w:val="0"/>
                <w:sz w:val="24"/>
                <w:szCs w:val="24"/>
              </w:rPr>
              <w:t>部门预算编制</w:t>
            </w:r>
          </w:p>
        </w:tc>
        <w:tc>
          <w:tcPr>
            <w:tcW w:w="4110" w:type="dxa"/>
            <w:tcBorders>
              <w:top w:val="nil"/>
              <w:left w:val="nil"/>
              <w:bottom w:val="single" w:sz="8" w:space="0" w:color="auto"/>
              <w:right w:val="single" w:sz="8" w:space="0" w:color="auto"/>
            </w:tcBorders>
            <w:shd w:val="clear" w:color="auto" w:fill="auto"/>
            <w:vAlign w:val="center"/>
          </w:tcPr>
          <w:p w14:paraId="7500387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A41</w:t>
            </w:r>
            <w:r>
              <w:rPr>
                <w:rFonts w:ascii="Times New Roman" w:eastAsia="仿宋" w:hAnsi="Times New Roman" w:cs="Times New Roman"/>
                <w:color w:val="000000"/>
                <w:kern w:val="0"/>
                <w:sz w:val="24"/>
                <w:szCs w:val="24"/>
              </w:rPr>
              <w:t>预算编制科学规范</w:t>
            </w:r>
          </w:p>
        </w:tc>
        <w:tc>
          <w:tcPr>
            <w:tcW w:w="2977" w:type="dxa"/>
            <w:tcBorders>
              <w:top w:val="nil"/>
              <w:left w:val="nil"/>
              <w:bottom w:val="single" w:sz="8" w:space="0" w:color="auto"/>
              <w:right w:val="single" w:sz="8" w:space="0" w:color="auto"/>
            </w:tcBorders>
            <w:shd w:val="clear" w:color="auto" w:fill="auto"/>
            <w:vAlign w:val="center"/>
          </w:tcPr>
          <w:p w14:paraId="026A26D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预算编制指</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内部预算编制</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科学</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衡量制度设计，</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规范</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衡量流程执行</w:t>
            </w:r>
          </w:p>
        </w:tc>
        <w:tc>
          <w:tcPr>
            <w:tcW w:w="2693" w:type="dxa"/>
            <w:tcBorders>
              <w:top w:val="nil"/>
              <w:left w:val="nil"/>
              <w:bottom w:val="single" w:sz="8" w:space="0" w:color="auto"/>
              <w:right w:val="single" w:sz="4" w:space="0" w:color="auto"/>
            </w:tcBorders>
          </w:tcPr>
          <w:p w14:paraId="1CEA1B2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检查相关的预算制度文件</w:t>
            </w:r>
          </w:p>
        </w:tc>
        <w:tc>
          <w:tcPr>
            <w:tcW w:w="1560" w:type="dxa"/>
            <w:tcBorders>
              <w:top w:val="nil"/>
              <w:left w:val="single" w:sz="4" w:space="0" w:color="auto"/>
              <w:bottom w:val="single" w:sz="8" w:space="0" w:color="auto"/>
              <w:right w:val="single" w:sz="8" w:space="0" w:color="auto"/>
            </w:tcBorders>
            <w:shd w:val="clear" w:color="auto" w:fill="auto"/>
            <w:vAlign w:val="center"/>
          </w:tcPr>
          <w:p w14:paraId="08E63C7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B95B4F" w14:paraId="7A100519" w14:textId="77777777">
        <w:trPr>
          <w:trHeight w:val="600"/>
        </w:trPr>
        <w:tc>
          <w:tcPr>
            <w:tcW w:w="1242" w:type="dxa"/>
            <w:vMerge/>
            <w:tcBorders>
              <w:top w:val="nil"/>
              <w:left w:val="single" w:sz="8" w:space="0" w:color="auto"/>
              <w:bottom w:val="single" w:sz="8" w:space="0" w:color="000000"/>
              <w:right w:val="single" w:sz="8" w:space="0" w:color="auto"/>
            </w:tcBorders>
            <w:vAlign w:val="center"/>
          </w:tcPr>
          <w:p w14:paraId="768B0115"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4FFD9E7A"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7223E60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A42</w:t>
            </w:r>
            <w:r>
              <w:rPr>
                <w:rFonts w:ascii="Times New Roman" w:eastAsia="仿宋" w:hAnsi="Times New Roman" w:cs="Times New Roman"/>
                <w:color w:val="000000"/>
                <w:kern w:val="0"/>
                <w:sz w:val="24"/>
                <w:szCs w:val="24"/>
              </w:rPr>
              <w:t>预算编制与重点工作任务的匹配性</w:t>
            </w:r>
          </w:p>
        </w:tc>
        <w:tc>
          <w:tcPr>
            <w:tcW w:w="2977" w:type="dxa"/>
            <w:tcBorders>
              <w:top w:val="nil"/>
              <w:left w:val="nil"/>
              <w:bottom w:val="single" w:sz="8" w:space="0" w:color="auto"/>
              <w:right w:val="single" w:sz="8" w:space="0" w:color="auto"/>
            </w:tcBorders>
            <w:shd w:val="clear" w:color="auto" w:fill="auto"/>
            <w:vAlign w:val="center"/>
          </w:tcPr>
          <w:p w14:paraId="0452C07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预算编制指</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内部预算编制</w:t>
            </w:r>
            <w:r>
              <w:rPr>
                <w:rFonts w:ascii="Times New Roman" w:eastAsia="仿宋" w:hAnsi="Times New Roman" w:cs="Times New Roman" w:hint="eastAsia"/>
                <w:color w:val="000000"/>
                <w:kern w:val="0"/>
                <w:sz w:val="24"/>
                <w:szCs w:val="24"/>
              </w:rPr>
              <w:t>”</w:t>
            </w:r>
          </w:p>
        </w:tc>
        <w:tc>
          <w:tcPr>
            <w:tcW w:w="2693" w:type="dxa"/>
            <w:tcBorders>
              <w:top w:val="nil"/>
              <w:left w:val="nil"/>
              <w:bottom w:val="single" w:sz="8" w:space="0" w:color="auto"/>
              <w:right w:val="single" w:sz="4" w:space="0" w:color="auto"/>
            </w:tcBorders>
          </w:tcPr>
          <w:p w14:paraId="0794A53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工作任务分解表</w:t>
            </w:r>
          </w:p>
        </w:tc>
        <w:tc>
          <w:tcPr>
            <w:tcW w:w="1560" w:type="dxa"/>
            <w:tcBorders>
              <w:top w:val="nil"/>
              <w:left w:val="single" w:sz="4" w:space="0" w:color="auto"/>
              <w:bottom w:val="single" w:sz="8" w:space="0" w:color="auto"/>
              <w:right w:val="single" w:sz="8" w:space="0" w:color="auto"/>
            </w:tcBorders>
            <w:shd w:val="clear" w:color="auto" w:fill="auto"/>
            <w:vAlign w:val="center"/>
          </w:tcPr>
          <w:p w14:paraId="54F4FD4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B95B4F" w14:paraId="7FA313B7" w14:textId="77777777">
        <w:trPr>
          <w:trHeight w:val="600"/>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14:paraId="78B357B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w:t>
            </w:r>
            <w:r>
              <w:rPr>
                <w:rFonts w:ascii="Times New Roman" w:eastAsia="仿宋" w:hAnsi="Times New Roman" w:cs="Times New Roman"/>
                <w:color w:val="000000"/>
                <w:kern w:val="0"/>
                <w:sz w:val="24"/>
                <w:szCs w:val="24"/>
              </w:rPr>
              <w:t>单位管理（</w:t>
            </w:r>
            <w:r>
              <w:rPr>
                <w:rFonts w:ascii="Times New Roman" w:eastAsia="仿宋" w:hAnsi="Times New Roman" w:cs="Times New Roman"/>
                <w:color w:val="000000"/>
                <w:kern w:val="0"/>
                <w:sz w:val="24"/>
                <w:szCs w:val="24"/>
              </w:rPr>
              <w:t>20</w:t>
            </w:r>
            <w:r>
              <w:rPr>
                <w:rFonts w:ascii="Times New Roman" w:eastAsia="仿宋" w:hAnsi="Times New Roman" w:cs="Times New Roman"/>
                <w:color w:val="000000"/>
                <w:kern w:val="0"/>
                <w:sz w:val="24"/>
                <w:szCs w:val="24"/>
              </w:rPr>
              <w:t>分）</w:t>
            </w: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0C350A6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B1</w:t>
            </w:r>
            <w:r>
              <w:rPr>
                <w:rFonts w:ascii="Times New Roman" w:eastAsia="仿宋" w:hAnsi="Times New Roman" w:cs="Times New Roman"/>
                <w:color w:val="000000"/>
                <w:kern w:val="0"/>
                <w:sz w:val="24"/>
                <w:szCs w:val="24"/>
              </w:rPr>
              <w:t>预算执行</w:t>
            </w:r>
          </w:p>
        </w:tc>
        <w:tc>
          <w:tcPr>
            <w:tcW w:w="4110" w:type="dxa"/>
            <w:tcBorders>
              <w:top w:val="nil"/>
              <w:left w:val="nil"/>
              <w:bottom w:val="single" w:sz="8" w:space="0" w:color="auto"/>
              <w:right w:val="single" w:sz="8" w:space="0" w:color="auto"/>
            </w:tcBorders>
            <w:shd w:val="clear" w:color="auto" w:fill="auto"/>
            <w:vAlign w:val="center"/>
          </w:tcPr>
          <w:p w14:paraId="668E5D6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B11</w:t>
            </w:r>
            <w:r>
              <w:rPr>
                <w:rFonts w:ascii="Times New Roman" w:eastAsia="仿宋" w:hAnsi="Times New Roman" w:cs="Times New Roman"/>
                <w:color w:val="000000"/>
                <w:kern w:val="0"/>
                <w:sz w:val="24"/>
                <w:szCs w:val="24"/>
              </w:rPr>
              <w:t>部门预算执行率</w:t>
            </w:r>
          </w:p>
        </w:tc>
        <w:tc>
          <w:tcPr>
            <w:tcW w:w="2977" w:type="dxa"/>
            <w:tcBorders>
              <w:top w:val="nil"/>
              <w:left w:val="nil"/>
              <w:bottom w:val="single" w:sz="8" w:space="0" w:color="auto"/>
              <w:right w:val="single" w:sz="8" w:space="0" w:color="auto"/>
            </w:tcBorders>
            <w:shd w:val="clear" w:color="auto" w:fill="auto"/>
            <w:vAlign w:val="center"/>
          </w:tcPr>
          <w:p w14:paraId="42ACFACA"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与市财政局预算处考核口径一致</w:t>
            </w:r>
          </w:p>
        </w:tc>
        <w:tc>
          <w:tcPr>
            <w:tcW w:w="2693" w:type="dxa"/>
            <w:tcBorders>
              <w:top w:val="nil"/>
              <w:left w:val="nil"/>
              <w:bottom w:val="single" w:sz="8" w:space="0" w:color="auto"/>
              <w:right w:val="single" w:sz="4" w:space="0" w:color="auto"/>
            </w:tcBorders>
          </w:tcPr>
          <w:p w14:paraId="667B30E8"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4"/>
                <w:szCs w:val="24"/>
              </w:rPr>
              <w:t>与市财政局预算处考核口径一致</w:t>
            </w:r>
          </w:p>
        </w:tc>
        <w:tc>
          <w:tcPr>
            <w:tcW w:w="1560" w:type="dxa"/>
            <w:tcBorders>
              <w:top w:val="nil"/>
              <w:left w:val="single" w:sz="4" w:space="0" w:color="auto"/>
              <w:bottom w:val="single" w:sz="8" w:space="0" w:color="auto"/>
              <w:right w:val="single" w:sz="8" w:space="0" w:color="auto"/>
            </w:tcBorders>
            <w:shd w:val="clear" w:color="auto" w:fill="auto"/>
            <w:vAlign w:val="center"/>
          </w:tcPr>
          <w:p w14:paraId="15746B9D"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 xml:space="preserve">　</w:t>
            </w:r>
            <w:r>
              <w:rPr>
                <w:rFonts w:ascii="Times New Roman" w:eastAsia="仿宋" w:hAnsi="Times New Roman" w:cs="Times New Roman"/>
                <w:color w:val="000000"/>
                <w:kern w:val="0"/>
                <w:sz w:val="22"/>
              </w:rPr>
              <w:t>1</w:t>
            </w:r>
          </w:p>
        </w:tc>
      </w:tr>
      <w:tr w:rsidR="00B95B4F" w14:paraId="38CE3D53"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37AE2B1"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57479468"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58723CF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B12</w:t>
            </w:r>
            <w:r>
              <w:rPr>
                <w:rFonts w:ascii="Times New Roman" w:eastAsia="仿宋" w:hAnsi="Times New Roman" w:cs="Times New Roman"/>
                <w:color w:val="000000"/>
                <w:kern w:val="0"/>
                <w:sz w:val="24"/>
                <w:szCs w:val="24"/>
              </w:rPr>
              <w:t>专项资金执行率</w:t>
            </w:r>
          </w:p>
        </w:tc>
        <w:tc>
          <w:tcPr>
            <w:tcW w:w="2977" w:type="dxa"/>
            <w:tcBorders>
              <w:top w:val="nil"/>
              <w:left w:val="nil"/>
              <w:bottom w:val="single" w:sz="8" w:space="0" w:color="auto"/>
              <w:right w:val="single" w:sz="8" w:space="0" w:color="auto"/>
            </w:tcBorders>
            <w:shd w:val="clear" w:color="auto" w:fill="auto"/>
            <w:vAlign w:val="center"/>
          </w:tcPr>
          <w:p w14:paraId="5E67334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与市财政局预算处考核口径一致</w:t>
            </w:r>
          </w:p>
        </w:tc>
        <w:tc>
          <w:tcPr>
            <w:tcW w:w="2693" w:type="dxa"/>
            <w:tcBorders>
              <w:top w:val="nil"/>
              <w:left w:val="nil"/>
              <w:bottom w:val="single" w:sz="8" w:space="0" w:color="auto"/>
              <w:right w:val="single" w:sz="4" w:space="0" w:color="auto"/>
            </w:tcBorders>
          </w:tcPr>
          <w:p w14:paraId="41E42B1D"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4"/>
                <w:szCs w:val="24"/>
              </w:rPr>
              <w:t>与市财政局预算处考核口径一致</w:t>
            </w:r>
          </w:p>
        </w:tc>
        <w:tc>
          <w:tcPr>
            <w:tcW w:w="1560" w:type="dxa"/>
            <w:tcBorders>
              <w:top w:val="nil"/>
              <w:left w:val="single" w:sz="4" w:space="0" w:color="auto"/>
              <w:bottom w:val="single" w:sz="8" w:space="0" w:color="auto"/>
              <w:right w:val="single" w:sz="8" w:space="0" w:color="auto"/>
            </w:tcBorders>
            <w:shd w:val="clear" w:color="auto" w:fill="auto"/>
            <w:vAlign w:val="center"/>
          </w:tcPr>
          <w:p w14:paraId="5A36F7DB"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 xml:space="preserve">　</w:t>
            </w:r>
            <w:r>
              <w:rPr>
                <w:rFonts w:ascii="Times New Roman" w:eastAsia="仿宋" w:hAnsi="Times New Roman" w:cs="Times New Roman"/>
                <w:color w:val="000000"/>
                <w:kern w:val="0"/>
                <w:sz w:val="22"/>
              </w:rPr>
              <w:t>1</w:t>
            </w:r>
          </w:p>
        </w:tc>
      </w:tr>
      <w:tr w:rsidR="00B95B4F" w14:paraId="0BCF09A7"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CE56893"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09DC3E81"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56EE31C4"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B13</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三公</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经费控制率</w:t>
            </w:r>
          </w:p>
        </w:tc>
        <w:tc>
          <w:tcPr>
            <w:tcW w:w="2977" w:type="dxa"/>
            <w:tcBorders>
              <w:top w:val="nil"/>
              <w:left w:val="nil"/>
              <w:bottom w:val="single" w:sz="8" w:space="0" w:color="auto"/>
              <w:right w:val="single" w:sz="8" w:space="0" w:color="auto"/>
            </w:tcBorders>
            <w:shd w:val="clear" w:color="auto" w:fill="auto"/>
            <w:vAlign w:val="center"/>
          </w:tcPr>
          <w:p w14:paraId="5E7D291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三公</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经费使用超支扣分，若不超支则不扣分</w:t>
            </w:r>
          </w:p>
        </w:tc>
        <w:tc>
          <w:tcPr>
            <w:tcW w:w="2693" w:type="dxa"/>
            <w:tcBorders>
              <w:top w:val="nil"/>
              <w:left w:val="nil"/>
              <w:bottom w:val="single" w:sz="8" w:space="0" w:color="auto"/>
              <w:right w:val="single" w:sz="4" w:space="0" w:color="auto"/>
            </w:tcBorders>
          </w:tcPr>
          <w:p w14:paraId="56AE8C3E"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三</w:t>
            </w:r>
            <w:proofErr w:type="gramStart"/>
            <w:r>
              <w:rPr>
                <w:rFonts w:ascii="Times New Roman" w:eastAsia="仿宋" w:hAnsi="Times New Roman" w:cs="Times New Roman"/>
                <w:color w:val="000000"/>
                <w:kern w:val="0"/>
                <w:sz w:val="22"/>
              </w:rPr>
              <w:t>公经费</w:t>
            </w:r>
            <w:proofErr w:type="gramEnd"/>
            <w:r>
              <w:rPr>
                <w:rFonts w:ascii="Times New Roman" w:eastAsia="仿宋" w:hAnsi="Times New Roman" w:cs="Times New Roman"/>
                <w:color w:val="000000"/>
                <w:kern w:val="0"/>
                <w:sz w:val="22"/>
              </w:rPr>
              <w:t>使用情况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318DEF91"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 xml:space="preserve">　</w:t>
            </w:r>
            <w:r>
              <w:rPr>
                <w:rFonts w:ascii="Times New Roman" w:eastAsia="仿宋" w:hAnsi="Times New Roman" w:cs="Times New Roman"/>
                <w:color w:val="000000"/>
                <w:kern w:val="0"/>
                <w:sz w:val="22"/>
              </w:rPr>
              <w:t>2</w:t>
            </w:r>
          </w:p>
        </w:tc>
      </w:tr>
      <w:tr w:rsidR="00B95B4F" w14:paraId="42E02708"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79FF2C77"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7A1C6404"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7B8CB932"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B14</w:t>
            </w:r>
            <w:r>
              <w:rPr>
                <w:rFonts w:ascii="Times New Roman" w:eastAsia="仿宋" w:hAnsi="Times New Roman" w:cs="Times New Roman"/>
                <w:color w:val="000000"/>
                <w:kern w:val="0"/>
                <w:sz w:val="24"/>
                <w:szCs w:val="24"/>
              </w:rPr>
              <w:t>预决算信息公开情况</w:t>
            </w:r>
            <w:r>
              <w:rPr>
                <w:rFonts w:ascii="Times New Roman" w:eastAsia="仿宋" w:hAnsi="Times New Roman" w:cs="Times New Roman"/>
                <w:color w:val="000000"/>
                <w:kern w:val="0"/>
                <w:sz w:val="24"/>
                <w:szCs w:val="24"/>
              </w:rPr>
              <w:t xml:space="preserve"> </w:t>
            </w:r>
          </w:p>
        </w:tc>
        <w:tc>
          <w:tcPr>
            <w:tcW w:w="2977" w:type="dxa"/>
            <w:tcBorders>
              <w:top w:val="nil"/>
              <w:left w:val="nil"/>
              <w:bottom w:val="single" w:sz="8" w:space="0" w:color="auto"/>
              <w:right w:val="single" w:sz="8" w:space="0" w:color="auto"/>
            </w:tcBorders>
            <w:shd w:val="clear" w:color="auto" w:fill="auto"/>
            <w:vAlign w:val="center"/>
          </w:tcPr>
          <w:p w14:paraId="652B3813"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预决算是否在</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双平台</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进行公开，内容和时限是否符合要求</w:t>
            </w:r>
          </w:p>
        </w:tc>
        <w:tc>
          <w:tcPr>
            <w:tcW w:w="2693" w:type="dxa"/>
            <w:tcBorders>
              <w:top w:val="nil"/>
              <w:left w:val="nil"/>
              <w:bottom w:val="single" w:sz="8" w:space="0" w:color="auto"/>
              <w:right w:val="single" w:sz="4" w:space="0" w:color="auto"/>
            </w:tcBorders>
          </w:tcPr>
          <w:p w14:paraId="2E57CCDE"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积极配合主管部门完成预决算信息公开工作</w:t>
            </w:r>
          </w:p>
        </w:tc>
        <w:tc>
          <w:tcPr>
            <w:tcW w:w="1560" w:type="dxa"/>
            <w:tcBorders>
              <w:top w:val="nil"/>
              <w:left w:val="single" w:sz="4" w:space="0" w:color="auto"/>
              <w:bottom w:val="single" w:sz="8" w:space="0" w:color="auto"/>
              <w:right w:val="single" w:sz="8" w:space="0" w:color="auto"/>
            </w:tcBorders>
            <w:shd w:val="clear" w:color="auto" w:fill="auto"/>
            <w:vAlign w:val="center"/>
          </w:tcPr>
          <w:p w14:paraId="7F06654C" w14:textId="77777777" w:rsidR="00B95B4F" w:rsidRDefault="0025529E">
            <w:pPr>
              <w:widowControl/>
              <w:ind w:firstLineChars="100" w:firstLine="220"/>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2</w:t>
            </w:r>
          </w:p>
        </w:tc>
      </w:tr>
      <w:tr w:rsidR="00B95B4F" w14:paraId="3A4D00B4"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0A679C53"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53C92DBA"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B2</w:t>
            </w:r>
            <w:r>
              <w:rPr>
                <w:rFonts w:ascii="Times New Roman" w:eastAsia="仿宋" w:hAnsi="Times New Roman" w:cs="Times New Roman"/>
                <w:color w:val="000000"/>
                <w:kern w:val="0"/>
                <w:sz w:val="24"/>
                <w:szCs w:val="24"/>
              </w:rPr>
              <w:t>收支管理</w:t>
            </w:r>
          </w:p>
        </w:tc>
        <w:tc>
          <w:tcPr>
            <w:tcW w:w="4110" w:type="dxa"/>
            <w:tcBorders>
              <w:top w:val="nil"/>
              <w:left w:val="nil"/>
              <w:bottom w:val="single" w:sz="8" w:space="0" w:color="auto"/>
              <w:right w:val="single" w:sz="8" w:space="0" w:color="auto"/>
            </w:tcBorders>
            <w:shd w:val="clear" w:color="auto" w:fill="auto"/>
            <w:vAlign w:val="center"/>
          </w:tcPr>
          <w:p w14:paraId="48936B4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B21</w:t>
            </w:r>
            <w:r>
              <w:rPr>
                <w:rFonts w:ascii="Times New Roman" w:eastAsia="仿宋" w:hAnsi="Times New Roman" w:cs="Times New Roman"/>
                <w:color w:val="000000"/>
                <w:kern w:val="0"/>
                <w:sz w:val="24"/>
                <w:szCs w:val="24"/>
              </w:rPr>
              <w:t>收支管理制度健全性</w:t>
            </w:r>
          </w:p>
        </w:tc>
        <w:tc>
          <w:tcPr>
            <w:tcW w:w="2977" w:type="dxa"/>
            <w:tcBorders>
              <w:top w:val="nil"/>
              <w:left w:val="nil"/>
              <w:bottom w:val="single" w:sz="8" w:space="0" w:color="auto"/>
              <w:right w:val="single" w:sz="8" w:space="0" w:color="auto"/>
            </w:tcBorders>
            <w:shd w:val="clear" w:color="auto" w:fill="auto"/>
            <w:vAlign w:val="center"/>
          </w:tcPr>
          <w:p w14:paraId="46B8E57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制度建立健全</w:t>
            </w:r>
          </w:p>
        </w:tc>
        <w:tc>
          <w:tcPr>
            <w:tcW w:w="2693" w:type="dxa"/>
            <w:tcBorders>
              <w:top w:val="nil"/>
              <w:left w:val="nil"/>
              <w:bottom w:val="single" w:sz="8" w:space="0" w:color="auto"/>
              <w:right w:val="single" w:sz="4" w:space="0" w:color="auto"/>
            </w:tcBorders>
          </w:tcPr>
          <w:p w14:paraId="4D37640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制度建立健全</w:t>
            </w:r>
          </w:p>
        </w:tc>
        <w:tc>
          <w:tcPr>
            <w:tcW w:w="1560" w:type="dxa"/>
            <w:tcBorders>
              <w:top w:val="nil"/>
              <w:left w:val="single" w:sz="4" w:space="0" w:color="auto"/>
              <w:bottom w:val="single" w:sz="8" w:space="0" w:color="auto"/>
              <w:right w:val="single" w:sz="8" w:space="0" w:color="auto"/>
            </w:tcBorders>
            <w:shd w:val="clear" w:color="auto" w:fill="auto"/>
            <w:vAlign w:val="center"/>
          </w:tcPr>
          <w:p w14:paraId="314DDD8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B95B4F" w14:paraId="5FADE5FC"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19834AA0"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14:paraId="2F6CBF31"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5E6F84B4"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B22</w:t>
            </w:r>
            <w:r>
              <w:rPr>
                <w:rFonts w:ascii="Times New Roman" w:eastAsia="仿宋" w:hAnsi="Times New Roman" w:cs="Times New Roman"/>
                <w:color w:val="000000"/>
                <w:kern w:val="0"/>
                <w:sz w:val="24"/>
                <w:szCs w:val="24"/>
              </w:rPr>
              <w:t>收支管理是否按制度执行</w:t>
            </w:r>
          </w:p>
        </w:tc>
        <w:tc>
          <w:tcPr>
            <w:tcW w:w="2977" w:type="dxa"/>
            <w:tcBorders>
              <w:top w:val="nil"/>
              <w:left w:val="nil"/>
              <w:bottom w:val="single" w:sz="8" w:space="0" w:color="auto"/>
              <w:right w:val="single" w:sz="8" w:space="0" w:color="auto"/>
            </w:tcBorders>
            <w:shd w:val="clear" w:color="auto" w:fill="auto"/>
            <w:vAlign w:val="center"/>
          </w:tcPr>
          <w:p w14:paraId="4FCD093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制度执行并运行有效</w:t>
            </w:r>
          </w:p>
        </w:tc>
        <w:tc>
          <w:tcPr>
            <w:tcW w:w="2693" w:type="dxa"/>
            <w:tcBorders>
              <w:top w:val="nil"/>
              <w:left w:val="nil"/>
              <w:bottom w:val="single" w:sz="8" w:space="0" w:color="auto"/>
              <w:right w:val="single" w:sz="4" w:space="0" w:color="auto"/>
            </w:tcBorders>
          </w:tcPr>
          <w:p w14:paraId="73FCFDB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制度执行并运行有效</w:t>
            </w:r>
          </w:p>
        </w:tc>
        <w:tc>
          <w:tcPr>
            <w:tcW w:w="1560" w:type="dxa"/>
            <w:tcBorders>
              <w:top w:val="nil"/>
              <w:left w:val="single" w:sz="4" w:space="0" w:color="auto"/>
              <w:bottom w:val="single" w:sz="8" w:space="0" w:color="auto"/>
              <w:right w:val="single" w:sz="8" w:space="0" w:color="auto"/>
            </w:tcBorders>
            <w:shd w:val="clear" w:color="auto" w:fill="auto"/>
            <w:vAlign w:val="center"/>
          </w:tcPr>
          <w:p w14:paraId="5FB9CC0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B95B4F" w14:paraId="58A8DD02"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5EF71301"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3DED436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B3</w:t>
            </w:r>
            <w:r>
              <w:rPr>
                <w:rFonts w:ascii="Times New Roman" w:eastAsia="仿宋" w:hAnsi="Times New Roman" w:cs="Times New Roman"/>
                <w:color w:val="000000"/>
                <w:kern w:val="0"/>
                <w:sz w:val="24"/>
                <w:szCs w:val="24"/>
              </w:rPr>
              <w:t>资产管理</w:t>
            </w:r>
          </w:p>
        </w:tc>
        <w:tc>
          <w:tcPr>
            <w:tcW w:w="4110" w:type="dxa"/>
            <w:tcBorders>
              <w:top w:val="nil"/>
              <w:left w:val="nil"/>
              <w:bottom w:val="single" w:sz="8" w:space="0" w:color="auto"/>
              <w:right w:val="single" w:sz="8" w:space="0" w:color="auto"/>
            </w:tcBorders>
            <w:shd w:val="clear" w:color="auto" w:fill="auto"/>
            <w:vAlign w:val="center"/>
          </w:tcPr>
          <w:p w14:paraId="7CE19B2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B31</w:t>
            </w:r>
            <w:r>
              <w:rPr>
                <w:rFonts w:ascii="Times New Roman" w:eastAsia="仿宋" w:hAnsi="Times New Roman" w:cs="Times New Roman"/>
                <w:color w:val="000000"/>
                <w:kern w:val="0"/>
                <w:sz w:val="24"/>
                <w:szCs w:val="24"/>
              </w:rPr>
              <w:t>资产管理制度健全性</w:t>
            </w:r>
          </w:p>
        </w:tc>
        <w:tc>
          <w:tcPr>
            <w:tcW w:w="2977" w:type="dxa"/>
            <w:tcBorders>
              <w:top w:val="nil"/>
              <w:left w:val="nil"/>
              <w:bottom w:val="single" w:sz="8" w:space="0" w:color="auto"/>
              <w:right w:val="single" w:sz="8" w:space="0" w:color="auto"/>
            </w:tcBorders>
            <w:shd w:val="clear" w:color="auto" w:fill="auto"/>
            <w:vAlign w:val="center"/>
          </w:tcPr>
          <w:p w14:paraId="42472E8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制度建立健全</w:t>
            </w:r>
          </w:p>
        </w:tc>
        <w:tc>
          <w:tcPr>
            <w:tcW w:w="2693" w:type="dxa"/>
            <w:tcBorders>
              <w:top w:val="nil"/>
              <w:left w:val="nil"/>
              <w:bottom w:val="single" w:sz="8" w:space="0" w:color="auto"/>
              <w:right w:val="single" w:sz="4" w:space="0" w:color="auto"/>
            </w:tcBorders>
          </w:tcPr>
          <w:p w14:paraId="431588CA"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制度是否建立健全</w:t>
            </w:r>
          </w:p>
        </w:tc>
        <w:tc>
          <w:tcPr>
            <w:tcW w:w="1560" w:type="dxa"/>
            <w:tcBorders>
              <w:top w:val="nil"/>
              <w:left w:val="single" w:sz="4" w:space="0" w:color="auto"/>
              <w:bottom w:val="single" w:sz="8" w:space="0" w:color="auto"/>
              <w:right w:val="single" w:sz="8" w:space="0" w:color="auto"/>
            </w:tcBorders>
            <w:shd w:val="clear" w:color="auto" w:fill="auto"/>
            <w:vAlign w:val="center"/>
          </w:tcPr>
          <w:p w14:paraId="48ADC1DD"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B95B4F" w14:paraId="6AB6290B"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50885A76"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14:paraId="4CB48E1B"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07314AC4"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B32</w:t>
            </w:r>
            <w:r>
              <w:rPr>
                <w:rFonts w:ascii="Times New Roman" w:eastAsia="仿宋" w:hAnsi="Times New Roman" w:cs="Times New Roman"/>
                <w:color w:val="000000"/>
                <w:kern w:val="0"/>
                <w:sz w:val="24"/>
                <w:szCs w:val="24"/>
              </w:rPr>
              <w:t>资产管理是否按制度执行</w:t>
            </w:r>
          </w:p>
        </w:tc>
        <w:tc>
          <w:tcPr>
            <w:tcW w:w="2977" w:type="dxa"/>
            <w:tcBorders>
              <w:top w:val="nil"/>
              <w:left w:val="nil"/>
              <w:bottom w:val="single" w:sz="8" w:space="0" w:color="auto"/>
              <w:right w:val="single" w:sz="8" w:space="0" w:color="auto"/>
            </w:tcBorders>
            <w:shd w:val="clear" w:color="auto" w:fill="auto"/>
            <w:vAlign w:val="center"/>
          </w:tcPr>
          <w:p w14:paraId="1E39939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制度执行并运行有效</w:t>
            </w:r>
          </w:p>
        </w:tc>
        <w:tc>
          <w:tcPr>
            <w:tcW w:w="2693" w:type="dxa"/>
            <w:tcBorders>
              <w:top w:val="nil"/>
              <w:left w:val="nil"/>
              <w:bottom w:val="single" w:sz="8" w:space="0" w:color="auto"/>
              <w:right w:val="single" w:sz="4" w:space="0" w:color="auto"/>
            </w:tcBorders>
          </w:tcPr>
          <w:p w14:paraId="740A12F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制度是否执行并运行有效</w:t>
            </w:r>
          </w:p>
        </w:tc>
        <w:tc>
          <w:tcPr>
            <w:tcW w:w="1560" w:type="dxa"/>
            <w:tcBorders>
              <w:top w:val="nil"/>
              <w:left w:val="single" w:sz="4" w:space="0" w:color="auto"/>
              <w:bottom w:val="single" w:sz="8" w:space="0" w:color="auto"/>
              <w:right w:val="single" w:sz="8" w:space="0" w:color="auto"/>
            </w:tcBorders>
            <w:shd w:val="clear" w:color="auto" w:fill="auto"/>
            <w:vAlign w:val="center"/>
          </w:tcPr>
          <w:p w14:paraId="198A0EC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B95B4F" w14:paraId="7F94D76F"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943392A"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094ABE07"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B4</w:t>
            </w:r>
            <w:r>
              <w:rPr>
                <w:rFonts w:ascii="Times New Roman" w:eastAsia="仿宋" w:hAnsi="Times New Roman" w:cs="Times New Roman"/>
                <w:color w:val="000000"/>
                <w:kern w:val="0"/>
                <w:sz w:val="24"/>
                <w:szCs w:val="24"/>
              </w:rPr>
              <w:t>政府采购管理</w:t>
            </w:r>
          </w:p>
        </w:tc>
        <w:tc>
          <w:tcPr>
            <w:tcW w:w="4110" w:type="dxa"/>
            <w:tcBorders>
              <w:top w:val="nil"/>
              <w:left w:val="nil"/>
              <w:bottom w:val="single" w:sz="8" w:space="0" w:color="auto"/>
              <w:right w:val="single" w:sz="8" w:space="0" w:color="auto"/>
            </w:tcBorders>
            <w:shd w:val="clear" w:color="auto" w:fill="auto"/>
            <w:vAlign w:val="center"/>
          </w:tcPr>
          <w:p w14:paraId="64A798C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B41</w:t>
            </w:r>
            <w:r>
              <w:rPr>
                <w:rFonts w:ascii="Times New Roman" w:eastAsia="仿宋" w:hAnsi="Times New Roman" w:cs="Times New Roman"/>
                <w:color w:val="000000"/>
                <w:kern w:val="0"/>
                <w:sz w:val="24"/>
                <w:szCs w:val="24"/>
              </w:rPr>
              <w:t>政府采购管理制度健全性</w:t>
            </w:r>
          </w:p>
        </w:tc>
        <w:tc>
          <w:tcPr>
            <w:tcW w:w="2977" w:type="dxa"/>
            <w:tcBorders>
              <w:top w:val="nil"/>
              <w:left w:val="nil"/>
              <w:bottom w:val="single" w:sz="8" w:space="0" w:color="auto"/>
              <w:right w:val="single" w:sz="8" w:space="0" w:color="auto"/>
            </w:tcBorders>
            <w:shd w:val="clear" w:color="auto" w:fill="auto"/>
            <w:vAlign w:val="center"/>
          </w:tcPr>
          <w:p w14:paraId="37888C8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制度建立健全</w:t>
            </w:r>
          </w:p>
        </w:tc>
        <w:tc>
          <w:tcPr>
            <w:tcW w:w="2693" w:type="dxa"/>
            <w:tcBorders>
              <w:top w:val="nil"/>
              <w:left w:val="nil"/>
              <w:bottom w:val="single" w:sz="8" w:space="0" w:color="auto"/>
              <w:right w:val="single" w:sz="4" w:space="0" w:color="auto"/>
            </w:tcBorders>
          </w:tcPr>
          <w:p w14:paraId="2D8CA8D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制度是否建立健全</w:t>
            </w:r>
          </w:p>
        </w:tc>
        <w:tc>
          <w:tcPr>
            <w:tcW w:w="1560" w:type="dxa"/>
            <w:tcBorders>
              <w:top w:val="nil"/>
              <w:left w:val="single" w:sz="4" w:space="0" w:color="auto"/>
              <w:bottom w:val="single" w:sz="8" w:space="0" w:color="auto"/>
              <w:right w:val="single" w:sz="8" w:space="0" w:color="auto"/>
            </w:tcBorders>
            <w:shd w:val="clear" w:color="auto" w:fill="auto"/>
            <w:vAlign w:val="center"/>
          </w:tcPr>
          <w:p w14:paraId="16F832FF"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B95B4F" w14:paraId="4E8A2A54"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B84475F"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14:paraId="4A050AB9"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08DF9A7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B42</w:t>
            </w:r>
            <w:r>
              <w:rPr>
                <w:rFonts w:ascii="Times New Roman" w:eastAsia="仿宋" w:hAnsi="Times New Roman" w:cs="Times New Roman"/>
                <w:color w:val="000000"/>
                <w:kern w:val="0"/>
                <w:sz w:val="24"/>
                <w:szCs w:val="24"/>
              </w:rPr>
              <w:t>政府采购管理是否按制度执行</w:t>
            </w:r>
          </w:p>
        </w:tc>
        <w:tc>
          <w:tcPr>
            <w:tcW w:w="2977" w:type="dxa"/>
            <w:tcBorders>
              <w:top w:val="nil"/>
              <w:left w:val="nil"/>
              <w:bottom w:val="single" w:sz="8" w:space="0" w:color="auto"/>
              <w:right w:val="single" w:sz="8" w:space="0" w:color="auto"/>
            </w:tcBorders>
            <w:shd w:val="clear" w:color="auto" w:fill="auto"/>
            <w:vAlign w:val="center"/>
          </w:tcPr>
          <w:p w14:paraId="537681C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制度执行并运行有效</w:t>
            </w:r>
          </w:p>
        </w:tc>
        <w:tc>
          <w:tcPr>
            <w:tcW w:w="2693" w:type="dxa"/>
            <w:tcBorders>
              <w:top w:val="nil"/>
              <w:left w:val="nil"/>
              <w:bottom w:val="single" w:sz="8" w:space="0" w:color="auto"/>
              <w:right w:val="single" w:sz="4" w:space="0" w:color="auto"/>
            </w:tcBorders>
          </w:tcPr>
          <w:p w14:paraId="664A6C9D"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制度是否执行并运行有效</w:t>
            </w:r>
          </w:p>
        </w:tc>
        <w:tc>
          <w:tcPr>
            <w:tcW w:w="1560" w:type="dxa"/>
            <w:tcBorders>
              <w:top w:val="nil"/>
              <w:left w:val="single" w:sz="4" w:space="0" w:color="auto"/>
              <w:bottom w:val="single" w:sz="8" w:space="0" w:color="auto"/>
              <w:right w:val="single" w:sz="8" w:space="0" w:color="auto"/>
            </w:tcBorders>
            <w:shd w:val="clear" w:color="auto" w:fill="auto"/>
            <w:vAlign w:val="center"/>
          </w:tcPr>
          <w:p w14:paraId="0EBD650A"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B95B4F" w14:paraId="1CE19FA4"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53E4F285"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14:paraId="11CC81A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B5</w:t>
            </w:r>
            <w:r>
              <w:rPr>
                <w:rFonts w:ascii="Times New Roman" w:eastAsia="仿宋" w:hAnsi="Times New Roman" w:cs="Times New Roman"/>
                <w:color w:val="000000"/>
                <w:kern w:val="0"/>
                <w:sz w:val="24"/>
                <w:szCs w:val="24"/>
              </w:rPr>
              <w:t>建设项目管理（适用）</w:t>
            </w:r>
          </w:p>
        </w:tc>
        <w:tc>
          <w:tcPr>
            <w:tcW w:w="4110" w:type="dxa"/>
            <w:tcBorders>
              <w:top w:val="nil"/>
              <w:left w:val="nil"/>
              <w:bottom w:val="single" w:sz="8" w:space="0" w:color="auto"/>
              <w:right w:val="single" w:sz="8" w:space="0" w:color="auto"/>
            </w:tcBorders>
            <w:shd w:val="clear" w:color="auto" w:fill="auto"/>
            <w:vAlign w:val="center"/>
          </w:tcPr>
          <w:p w14:paraId="1E84F7FD"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B51</w:t>
            </w:r>
            <w:r>
              <w:rPr>
                <w:rFonts w:ascii="Times New Roman" w:eastAsia="仿宋" w:hAnsi="Times New Roman" w:cs="Times New Roman"/>
                <w:color w:val="000000"/>
                <w:kern w:val="0"/>
                <w:sz w:val="24"/>
                <w:szCs w:val="24"/>
              </w:rPr>
              <w:t>建设项目管理制度健全性</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tcPr>
          <w:p w14:paraId="117358D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此项指标根据各个单位具体职能选择是否适用</w:t>
            </w:r>
          </w:p>
        </w:tc>
        <w:tc>
          <w:tcPr>
            <w:tcW w:w="2693" w:type="dxa"/>
            <w:tcBorders>
              <w:top w:val="nil"/>
              <w:left w:val="nil"/>
              <w:bottom w:val="single" w:sz="8" w:space="0" w:color="auto"/>
              <w:right w:val="single" w:sz="4" w:space="0" w:color="auto"/>
            </w:tcBorders>
          </w:tcPr>
          <w:p w14:paraId="0F96605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如不适用得满分</w:t>
            </w:r>
          </w:p>
        </w:tc>
        <w:tc>
          <w:tcPr>
            <w:tcW w:w="1560" w:type="dxa"/>
            <w:tcBorders>
              <w:top w:val="nil"/>
              <w:left w:val="single" w:sz="4" w:space="0" w:color="auto"/>
              <w:bottom w:val="single" w:sz="8" w:space="0" w:color="auto"/>
              <w:right w:val="single" w:sz="8" w:space="0" w:color="auto"/>
            </w:tcBorders>
            <w:shd w:val="clear" w:color="auto" w:fill="auto"/>
            <w:vAlign w:val="center"/>
          </w:tcPr>
          <w:p w14:paraId="6690A93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B95B4F" w14:paraId="1336B8C3"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829F615"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000000"/>
              <w:right w:val="single" w:sz="8" w:space="0" w:color="auto"/>
            </w:tcBorders>
            <w:vAlign w:val="center"/>
          </w:tcPr>
          <w:p w14:paraId="12BCD409"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06FEF7E2"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B52</w:t>
            </w:r>
            <w:r>
              <w:rPr>
                <w:rFonts w:ascii="Times New Roman" w:eastAsia="仿宋" w:hAnsi="Times New Roman" w:cs="Times New Roman"/>
                <w:color w:val="000000"/>
                <w:kern w:val="0"/>
                <w:sz w:val="24"/>
                <w:szCs w:val="24"/>
              </w:rPr>
              <w:t>建设项目管理是否按制度执行</w:t>
            </w:r>
          </w:p>
        </w:tc>
        <w:tc>
          <w:tcPr>
            <w:tcW w:w="2977" w:type="dxa"/>
            <w:vMerge/>
            <w:tcBorders>
              <w:top w:val="nil"/>
              <w:left w:val="single" w:sz="8" w:space="0" w:color="auto"/>
              <w:bottom w:val="single" w:sz="8" w:space="0" w:color="000000"/>
              <w:right w:val="single" w:sz="8" w:space="0" w:color="auto"/>
            </w:tcBorders>
            <w:vAlign w:val="center"/>
          </w:tcPr>
          <w:p w14:paraId="1EBF005C" w14:textId="77777777" w:rsidR="00B95B4F" w:rsidRDefault="00B95B4F">
            <w:pPr>
              <w:widowControl/>
              <w:jc w:val="left"/>
              <w:rPr>
                <w:rFonts w:ascii="Times New Roman" w:eastAsia="仿宋" w:hAnsi="Times New Roman" w:cs="Times New Roman"/>
                <w:color w:val="000000"/>
                <w:kern w:val="0"/>
                <w:sz w:val="24"/>
                <w:szCs w:val="24"/>
              </w:rPr>
            </w:pPr>
          </w:p>
        </w:tc>
        <w:tc>
          <w:tcPr>
            <w:tcW w:w="2693" w:type="dxa"/>
            <w:tcBorders>
              <w:top w:val="single" w:sz="4" w:space="0" w:color="auto"/>
              <w:left w:val="nil"/>
              <w:bottom w:val="single" w:sz="8" w:space="0" w:color="auto"/>
              <w:right w:val="single" w:sz="4" w:space="0" w:color="auto"/>
            </w:tcBorders>
          </w:tcPr>
          <w:p w14:paraId="638DFBC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如不适用得满分</w:t>
            </w:r>
          </w:p>
        </w:tc>
        <w:tc>
          <w:tcPr>
            <w:tcW w:w="1560" w:type="dxa"/>
            <w:tcBorders>
              <w:top w:val="nil"/>
              <w:left w:val="single" w:sz="4" w:space="0" w:color="auto"/>
              <w:bottom w:val="single" w:sz="8" w:space="0" w:color="auto"/>
              <w:right w:val="single" w:sz="8" w:space="0" w:color="auto"/>
            </w:tcBorders>
            <w:shd w:val="clear" w:color="auto" w:fill="auto"/>
            <w:vAlign w:val="center"/>
          </w:tcPr>
          <w:p w14:paraId="69E601C7"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B95B4F" w14:paraId="05CD0A88"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67A2F972"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3A80790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B6</w:t>
            </w:r>
            <w:r>
              <w:rPr>
                <w:rFonts w:ascii="Times New Roman" w:eastAsia="仿宋" w:hAnsi="Times New Roman" w:cs="Times New Roman"/>
                <w:color w:val="000000"/>
                <w:kern w:val="0"/>
                <w:sz w:val="24"/>
                <w:szCs w:val="24"/>
              </w:rPr>
              <w:t>内部控制管理</w:t>
            </w:r>
          </w:p>
        </w:tc>
        <w:tc>
          <w:tcPr>
            <w:tcW w:w="4110" w:type="dxa"/>
            <w:tcBorders>
              <w:top w:val="nil"/>
              <w:left w:val="nil"/>
              <w:bottom w:val="single" w:sz="8" w:space="0" w:color="auto"/>
              <w:right w:val="single" w:sz="8" w:space="0" w:color="auto"/>
            </w:tcBorders>
            <w:shd w:val="clear" w:color="auto" w:fill="auto"/>
            <w:vAlign w:val="center"/>
          </w:tcPr>
          <w:p w14:paraId="2D86FEED"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B61</w:t>
            </w:r>
            <w:r>
              <w:rPr>
                <w:rFonts w:ascii="Times New Roman" w:eastAsia="仿宋" w:hAnsi="Times New Roman" w:cs="Times New Roman"/>
                <w:color w:val="000000"/>
                <w:kern w:val="0"/>
                <w:sz w:val="24"/>
                <w:szCs w:val="24"/>
              </w:rPr>
              <w:t>内部控制建设情况</w:t>
            </w:r>
          </w:p>
        </w:tc>
        <w:tc>
          <w:tcPr>
            <w:tcW w:w="2977" w:type="dxa"/>
            <w:tcBorders>
              <w:top w:val="nil"/>
              <w:left w:val="nil"/>
              <w:bottom w:val="single" w:sz="8" w:space="0" w:color="auto"/>
              <w:right w:val="single" w:sz="8" w:space="0" w:color="auto"/>
            </w:tcBorders>
            <w:shd w:val="clear" w:color="auto" w:fill="auto"/>
            <w:vAlign w:val="center"/>
          </w:tcPr>
          <w:p w14:paraId="44182B2F"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内部控制领导小组、工作小组的成立、内控制度设计、手册编制等</w:t>
            </w:r>
          </w:p>
        </w:tc>
        <w:tc>
          <w:tcPr>
            <w:tcW w:w="2693" w:type="dxa"/>
            <w:tcBorders>
              <w:top w:val="nil"/>
              <w:left w:val="nil"/>
              <w:bottom w:val="single" w:sz="8" w:space="0" w:color="auto"/>
              <w:right w:val="single" w:sz="4" w:space="0" w:color="auto"/>
            </w:tcBorders>
            <w:vAlign w:val="center"/>
          </w:tcPr>
          <w:p w14:paraId="16190EBA"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是否成立内控领导小组、工作小组，是否有内部控制制度落实在手册等文本上</w:t>
            </w:r>
          </w:p>
        </w:tc>
        <w:tc>
          <w:tcPr>
            <w:tcW w:w="1560" w:type="dxa"/>
            <w:tcBorders>
              <w:top w:val="nil"/>
              <w:left w:val="single" w:sz="4" w:space="0" w:color="auto"/>
              <w:bottom w:val="single" w:sz="8" w:space="0" w:color="auto"/>
              <w:right w:val="single" w:sz="8" w:space="0" w:color="auto"/>
            </w:tcBorders>
            <w:shd w:val="clear" w:color="auto" w:fill="auto"/>
            <w:vAlign w:val="center"/>
          </w:tcPr>
          <w:p w14:paraId="2C1B51FC"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B95B4F" w14:paraId="70945A36"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7A7F3857"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7BCAAB6B"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68C1D62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B62</w:t>
            </w:r>
            <w:r>
              <w:rPr>
                <w:rFonts w:ascii="Times New Roman" w:eastAsia="仿宋" w:hAnsi="Times New Roman" w:cs="Times New Roman"/>
                <w:color w:val="000000"/>
                <w:kern w:val="0"/>
                <w:sz w:val="24"/>
                <w:szCs w:val="24"/>
              </w:rPr>
              <w:t>内部控制执行情况</w:t>
            </w:r>
          </w:p>
        </w:tc>
        <w:tc>
          <w:tcPr>
            <w:tcW w:w="2977" w:type="dxa"/>
            <w:tcBorders>
              <w:top w:val="nil"/>
              <w:left w:val="nil"/>
              <w:bottom w:val="single" w:sz="8" w:space="0" w:color="auto"/>
              <w:right w:val="single" w:sz="8" w:space="0" w:color="auto"/>
            </w:tcBorders>
            <w:shd w:val="clear" w:color="auto" w:fill="auto"/>
            <w:vAlign w:val="center"/>
          </w:tcPr>
          <w:p w14:paraId="2B0A0C47"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内部控制执行并一贯执行</w:t>
            </w:r>
          </w:p>
        </w:tc>
        <w:tc>
          <w:tcPr>
            <w:tcW w:w="2693" w:type="dxa"/>
            <w:tcBorders>
              <w:top w:val="nil"/>
              <w:left w:val="nil"/>
              <w:bottom w:val="single" w:sz="8" w:space="0" w:color="auto"/>
              <w:right w:val="single" w:sz="4" w:space="0" w:color="auto"/>
            </w:tcBorders>
            <w:vAlign w:val="center"/>
          </w:tcPr>
          <w:p w14:paraId="2CD3210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通过重新执行程序评价内控是否有效</w:t>
            </w:r>
          </w:p>
        </w:tc>
        <w:tc>
          <w:tcPr>
            <w:tcW w:w="1560" w:type="dxa"/>
            <w:tcBorders>
              <w:top w:val="nil"/>
              <w:left w:val="single" w:sz="4" w:space="0" w:color="auto"/>
              <w:bottom w:val="single" w:sz="8" w:space="0" w:color="auto"/>
              <w:right w:val="single" w:sz="8" w:space="0" w:color="auto"/>
            </w:tcBorders>
            <w:shd w:val="clear" w:color="auto" w:fill="auto"/>
            <w:vAlign w:val="center"/>
          </w:tcPr>
          <w:p w14:paraId="33210F2C"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B95B4F" w14:paraId="4790E3C9"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423456C1"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5D907280"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382DCFB3"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B63</w:t>
            </w:r>
            <w:r>
              <w:rPr>
                <w:rFonts w:ascii="Times New Roman" w:eastAsia="仿宋" w:hAnsi="Times New Roman" w:cs="Times New Roman"/>
                <w:color w:val="000000"/>
                <w:kern w:val="0"/>
                <w:sz w:val="24"/>
                <w:szCs w:val="24"/>
              </w:rPr>
              <w:t>内部控制监督评价</w:t>
            </w:r>
          </w:p>
        </w:tc>
        <w:tc>
          <w:tcPr>
            <w:tcW w:w="2977" w:type="dxa"/>
            <w:tcBorders>
              <w:top w:val="nil"/>
              <w:left w:val="nil"/>
              <w:bottom w:val="single" w:sz="8" w:space="0" w:color="auto"/>
              <w:right w:val="single" w:sz="8" w:space="0" w:color="auto"/>
            </w:tcBorders>
            <w:shd w:val="clear" w:color="auto" w:fill="auto"/>
            <w:vAlign w:val="center"/>
          </w:tcPr>
          <w:p w14:paraId="65266D9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内部控制监督设计评价和运行评价</w:t>
            </w:r>
          </w:p>
        </w:tc>
        <w:tc>
          <w:tcPr>
            <w:tcW w:w="2693" w:type="dxa"/>
            <w:tcBorders>
              <w:top w:val="nil"/>
              <w:left w:val="nil"/>
              <w:bottom w:val="single" w:sz="8" w:space="0" w:color="auto"/>
              <w:right w:val="single" w:sz="4" w:space="0" w:color="auto"/>
            </w:tcBorders>
            <w:vAlign w:val="center"/>
          </w:tcPr>
          <w:p w14:paraId="04DAC114"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是否有单位内部内控评价报告</w:t>
            </w:r>
          </w:p>
        </w:tc>
        <w:tc>
          <w:tcPr>
            <w:tcW w:w="1560" w:type="dxa"/>
            <w:tcBorders>
              <w:top w:val="nil"/>
              <w:left w:val="single" w:sz="4" w:space="0" w:color="auto"/>
              <w:bottom w:val="single" w:sz="8" w:space="0" w:color="auto"/>
              <w:right w:val="single" w:sz="8" w:space="0" w:color="auto"/>
            </w:tcBorders>
            <w:shd w:val="clear" w:color="auto" w:fill="auto"/>
            <w:vAlign w:val="center"/>
          </w:tcPr>
          <w:p w14:paraId="6F6E0933"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B95B4F" w14:paraId="691B3ABF"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311EE27E"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14:paraId="19CCF8D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B7</w:t>
            </w:r>
            <w:r>
              <w:rPr>
                <w:rFonts w:ascii="Times New Roman" w:eastAsia="仿宋" w:hAnsi="Times New Roman" w:cs="Times New Roman"/>
                <w:color w:val="000000"/>
                <w:kern w:val="0"/>
                <w:sz w:val="24"/>
                <w:szCs w:val="24"/>
              </w:rPr>
              <w:t>预算绩效管理</w:t>
            </w:r>
          </w:p>
        </w:tc>
        <w:tc>
          <w:tcPr>
            <w:tcW w:w="4110" w:type="dxa"/>
            <w:tcBorders>
              <w:top w:val="nil"/>
              <w:left w:val="nil"/>
              <w:bottom w:val="single" w:sz="8" w:space="0" w:color="auto"/>
              <w:right w:val="single" w:sz="8" w:space="0" w:color="auto"/>
            </w:tcBorders>
            <w:shd w:val="clear" w:color="auto" w:fill="auto"/>
            <w:vAlign w:val="center"/>
          </w:tcPr>
          <w:p w14:paraId="237DC96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B71</w:t>
            </w:r>
            <w:r>
              <w:rPr>
                <w:rFonts w:ascii="Times New Roman" w:eastAsia="仿宋" w:hAnsi="Times New Roman" w:cs="Times New Roman"/>
                <w:color w:val="000000"/>
                <w:kern w:val="0"/>
                <w:sz w:val="24"/>
                <w:szCs w:val="24"/>
              </w:rPr>
              <w:t>组织管理情况</w:t>
            </w:r>
          </w:p>
        </w:tc>
        <w:tc>
          <w:tcPr>
            <w:tcW w:w="2977" w:type="dxa"/>
            <w:tcBorders>
              <w:top w:val="nil"/>
              <w:left w:val="nil"/>
              <w:bottom w:val="single" w:sz="8" w:space="0" w:color="auto"/>
              <w:right w:val="single" w:sz="8" w:space="0" w:color="auto"/>
            </w:tcBorders>
            <w:shd w:val="clear" w:color="auto" w:fill="auto"/>
            <w:vAlign w:val="center"/>
          </w:tcPr>
          <w:p w14:paraId="3A5DEBA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主要包含制度建设、职能配置、分行业的指标体系</w:t>
            </w:r>
          </w:p>
        </w:tc>
        <w:tc>
          <w:tcPr>
            <w:tcW w:w="2693" w:type="dxa"/>
            <w:tcBorders>
              <w:top w:val="nil"/>
              <w:left w:val="nil"/>
              <w:bottom w:val="single" w:sz="8" w:space="0" w:color="auto"/>
              <w:right w:val="single" w:sz="4" w:space="0" w:color="auto"/>
            </w:tcBorders>
            <w:vAlign w:val="center"/>
          </w:tcPr>
          <w:p w14:paraId="5F740F9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是否有制度建设，与职能配置情况，指标体系构成</w:t>
            </w:r>
          </w:p>
        </w:tc>
        <w:tc>
          <w:tcPr>
            <w:tcW w:w="1560" w:type="dxa"/>
            <w:tcBorders>
              <w:top w:val="nil"/>
              <w:left w:val="single" w:sz="4" w:space="0" w:color="auto"/>
              <w:bottom w:val="single" w:sz="8" w:space="0" w:color="auto"/>
              <w:right w:val="single" w:sz="8" w:space="0" w:color="auto"/>
            </w:tcBorders>
            <w:shd w:val="clear" w:color="auto" w:fill="auto"/>
            <w:vAlign w:val="center"/>
          </w:tcPr>
          <w:p w14:paraId="7BB05AE2"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B95B4F" w14:paraId="1EDDCBE2"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294EF735"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256BF697"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57D1670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B72</w:t>
            </w:r>
            <w:r>
              <w:rPr>
                <w:rFonts w:ascii="Times New Roman" w:eastAsia="仿宋" w:hAnsi="Times New Roman" w:cs="Times New Roman"/>
                <w:color w:val="000000"/>
                <w:kern w:val="0"/>
                <w:sz w:val="24"/>
                <w:szCs w:val="24"/>
              </w:rPr>
              <w:t>工作开展情况</w:t>
            </w:r>
          </w:p>
        </w:tc>
        <w:tc>
          <w:tcPr>
            <w:tcW w:w="2977" w:type="dxa"/>
            <w:tcBorders>
              <w:top w:val="nil"/>
              <w:left w:val="nil"/>
              <w:bottom w:val="single" w:sz="8" w:space="0" w:color="auto"/>
              <w:right w:val="single" w:sz="8" w:space="0" w:color="auto"/>
            </w:tcBorders>
            <w:shd w:val="clear" w:color="auto" w:fill="auto"/>
            <w:vAlign w:val="center"/>
          </w:tcPr>
          <w:p w14:paraId="75719C4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包含事前评估、目标管理、跟踪评价、</w:t>
            </w:r>
            <w:proofErr w:type="gramStart"/>
            <w:r>
              <w:rPr>
                <w:rFonts w:ascii="Times New Roman" w:eastAsia="仿宋" w:hAnsi="Times New Roman" w:cs="Times New Roman"/>
                <w:color w:val="000000"/>
                <w:kern w:val="0"/>
                <w:sz w:val="24"/>
                <w:szCs w:val="24"/>
              </w:rPr>
              <w:t>自评价</w:t>
            </w:r>
            <w:proofErr w:type="gramEnd"/>
            <w:r>
              <w:rPr>
                <w:rFonts w:ascii="Times New Roman" w:eastAsia="仿宋" w:hAnsi="Times New Roman" w:cs="Times New Roman"/>
                <w:color w:val="000000"/>
                <w:kern w:val="0"/>
                <w:sz w:val="24"/>
                <w:szCs w:val="24"/>
              </w:rPr>
              <w:t>和整改落实</w:t>
            </w:r>
          </w:p>
        </w:tc>
        <w:tc>
          <w:tcPr>
            <w:tcW w:w="2693" w:type="dxa"/>
            <w:tcBorders>
              <w:top w:val="nil"/>
              <w:left w:val="nil"/>
              <w:bottom w:val="single" w:sz="8" w:space="0" w:color="auto"/>
              <w:right w:val="single" w:sz="4" w:space="0" w:color="auto"/>
            </w:tcBorders>
            <w:vAlign w:val="center"/>
          </w:tcPr>
          <w:p w14:paraId="5B36173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考察政策（项目）是否有</w:t>
            </w:r>
            <w:r>
              <w:rPr>
                <w:rFonts w:ascii="Times New Roman" w:eastAsia="仿宋" w:hAnsi="Times New Roman" w:cs="Times New Roman"/>
                <w:color w:val="000000"/>
                <w:kern w:val="0"/>
                <w:sz w:val="24"/>
                <w:szCs w:val="24"/>
              </w:rPr>
              <w:t>5</w:t>
            </w:r>
            <w:r>
              <w:rPr>
                <w:rFonts w:ascii="Times New Roman" w:eastAsia="仿宋" w:hAnsi="Times New Roman" w:cs="Times New Roman"/>
                <w:color w:val="000000"/>
                <w:kern w:val="0"/>
                <w:sz w:val="24"/>
                <w:szCs w:val="24"/>
              </w:rPr>
              <w:t>个报告</w:t>
            </w:r>
          </w:p>
        </w:tc>
        <w:tc>
          <w:tcPr>
            <w:tcW w:w="1560" w:type="dxa"/>
            <w:tcBorders>
              <w:top w:val="nil"/>
              <w:left w:val="single" w:sz="4" w:space="0" w:color="auto"/>
              <w:bottom w:val="single" w:sz="8" w:space="0" w:color="auto"/>
              <w:right w:val="single" w:sz="8" w:space="0" w:color="auto"/>
            </w:tcBorders>
            <w:shd w:val="clear" w:color="auto" w:fill="auto"/>
            <w:vAlign w:val="center"/>
          </w:tcPr>
          <w:p w14:paraId="379DAF56"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B95B4F" w14:paraId="0579AD1D" w14:textId="77777777">
        <w:trPr>
          <w:trHeight w:val="600"/>
        </w:trPr>
        <w:tc>
          <w:tcPr>
            <w:tcW w:w="1242" w:type="dxa"/>
            <w:vMerge/>
            <w:tcBorders>
              <w:top w:val="nil"/>
              <w:left w:val="single" w:sz="8" w:space="0" w:color="auto"/>
              <w:bottom w:val="single" w:sz="8" w:space="0" w:color="auto"/>
              <w:right w:val="single" w:sz="8" w:space="0" w:color="auto"/>
            </w:tcBorders>
            <w:vAlign w:val="center"/>
          </w:tcPr>
          <w:p w14:paraId="58496497"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vMerge/>
            <w:tcBorders>
              <w:top w:val="nil"/>
              <w:left w:val="single" w:sz="8" w:space="0" w:color="auto"/>
              <w:bottom w:val="single" w:sz="8" w:space="0" w:color="auto"/>
              <w:right w:val="single" w:sz="8" w:space="0" w:color="auto"/>
            </w:tcBorders>
            <w:vAlign w:val="center"/>
          </w:tcPr>
          <w:p w14:paraId="7A5D0E4D"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8" w:space="0" w:color="auto"/>
              <w:right w:val="single" w:sz="8" w:space="0" w:color="auto"/>
            </w:tcBorders>
            <w:shd w:val="clear" w:color="auto" w:fill="auto"/>
            <w:vAlign w:val="center"/>
          </w:tcPr>
          <w:p w14:paraId="1911AD1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B73</w:t>
            </w:r>
            <w:r>
              <w:rPr>
                <w:rFonts w:ascii="Times New Roman" w:eastAsia="仿宋" w:hAnsi="Times New Roman" w:cs="Times New Roman"/>
                <w:color w:val="000000"/>
                <w:kern w:val="0"/>
                <w:sz w:val="24"/>
                <w:szCs w:val="24"/>
              </w:rPr>
              <w:t>绩效信息公开</w:t>
            </w:r>
          </w:p>
        </w:tc>
        <w:tc>
          <w:tcPr>
            <w:tcW w:w="2977" w:type="dxa"/>
            <w:tcBorders>
              <w:top w:val="nil"/>
              <w:left w:val="nil"/>
              <w:bottom w:val="single" w:sz="8" w:space="0" w:color="auto"/>
              <w:right w:val="single" w:sz="8" w:space="0" w:color="auto"/>
            </w:tcBorders>
            <w:shd w:val="clear" w:color="auto" w:fill="auto"/>
            <w:vAlign w:val="center"/>
          </w:tcPr>
          <w:p w14:paraId="2EB4853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绩效信息是否按照规定的内容和时限在</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双平台</w:t>
            </w:r>
            <w:r>
              <w:rPr>
                <w:rFonts w:ascii="Times New Roman" w:eastAsia="仿宋" w:hAnsi="Times New Roman" w:cs="Times New Roman" w:hint="eastAsia"/>
                <w:color w:val="000000"/>
                <w:kern w:val="0"/>
                <w:sz w:val="24"/>
                <w:szCs w:val="24"/>
              </w:rPr>
              <w:t>”</w:t>
            </w:r>
            <w:r>
              <w:rPr>
                <w:rFonts w:ascii="Times New Roman" w:eastAsia="仿宋" w:hAnsi="Times New Roman" w:cs="Times New Roman"/>
                <w:color w:val="000000"/>
                <w:kern w:val="0"/>
                <w:sz w:val="24"/>
                <w:szCs w:val="24"/>
              </w:rPr>
              <w:t>进行公开</w:t>
            </w:r>
          </w:p>
        </w:tc>
        <w:tc>
          <w:tcPr>
            <w:tcW w:w="2693" w:type="dxa"/>
            <w:tcBorders>
              <w:top w:val="nil"/>
              <w:left w:val="nil"/>
              <w:bottom w:val="single" w:sz="8" w:space="0" w:color="auto"/>
              <w:right w:val="single" w:sz="4" w:space="0" w:color="auto"/>
            </w:tcBorders>
            <w:vAlign w:val="center"/>
          </w:tcPr>
          <w:p w14:paraId="7F65F96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积极配合主管部门完成相关数据的提供</w:t>
            </w:r>
          </w:p>
        </w:tc>
        <w:tc>
          <w:tcPr>
            <w:tcW w:w="1560" w:type="dxa"/>
            <w:tcBorders>
              <w:top w:val="nil"/>
              <w:left w:val="single" w:sz="4" w:space="0" w:color="auto"/>
              <w:bottom w:val="single" w:sz="8" w:space="0" w:color="auto"/>
              <w:right w:val="single" w:sz="8" w:space="0" w:color="auto"/>
            </w:tcBorders>
            <w:shd w:val="clear" w:color="auto" w:fill="auto"/>
            <w:vAlign w:val="center"/>
          </w:tcPr>
          <w:p w14:paraId="087518D1"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B95B4F" w14:paraId="2D5D07DE" w14:textId="77777777">
        <w:trPr>
          <w:trHeight w:val="1162"/>
        </w:trPr>
        <w:tc>
          <w:tcPr>
            <w:tcW w:w="1242" w:type="dxa"/>
            <w:vMerge w:val="restart"/>
            <w:tcBorders>
              <w:top w:val="nil"/>
              <w:left w:val="single" w:sz="8" w:space="0" w:color="auto"/>
              <w:bottom w:val="single" w:sz="8" w:space="0" w:color="auto"/>
              <w:right w:val="single" w:sz="8" w:space="0" w:color="auto"/>
            </w:tcBorders>
            <w:shd w:val="clear" w:color="auto" w:fill="auto"/>
            <w:vAlign w:val="center"/>
          </w:tcPr>
          <w:p w14:paraId="04427F5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C</w:t>
            </w:r>
            <w:r>
              <w:rPr>
                <w:rFonts w:ascii="Times New Roman" w:eastAsia="仿宋" w:hAnsi="Times New Roman" w:cs="Times New Roman"/>
                <w:color w:val="000000"/>
                <w:kern w:val="0"/>
                <w:sz w:val="24"/>
                <w:szCs w:val="24"/>
              </w:rPr>
              <w:t>单位履职</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可选方式</w:t>
            </w:r>
            <w:r>
              <w:rPr>
                <w:rFonts w:ascii="Times New Roman" w:eastAsia="仿宋" w:hAnsi="Times New Roman" w:cs="Times New Roman"/>
                <w:color w:val="000000"/>
                <w:kern w:val="0"/>
                <w:sz w:val="24"/>
                <w:szCs w:val="24"/>
              </w:rPr>
              <w:t>1</w:t>
            </w:r>
            <w:r>
              <w:rPr>
                <w:rFonts w:ascii="Times New Roman" w:eastAsia="仿宋" w:hAnsi="Times New Roman" w:cs="Times New Roman"/>
                <w:color w:val="000000"/>
                <w:kern w:val="0"/>
                <w:sz w:val="24"/>
                <w:szCs w:val="24"/>
              </w:rPr>
              <w:t>：重点工作完成情况</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30</w:t>
            </w:r>
            <w:r>
              <w:rPr>
                <w:rFonts w:ascii="Times New Roman" w:eastAsia="仿宋" w:hAnsi="Times New Roman" w:cs="Times New Roman"/>
                <w:color w:val="000000"/>
                <w:kern w:val="0"/>
                <w:sz w:val="24"/>
                <w:szCs w:val="24"/>
              </w:rPr>
              <w:t>分）</w:t>
            </w:r>
          </w:p>
        </w:tc>
        <w:tc>
          <w:tcPr>
            <w:tcW w:w="1560" w:type="dxa"/>
            <w:tcBorders>
              <w:top w:val="nil"/>
              <w:left w:val="nil"/>
              <w:bottom w:val="single" w:sz="8" w:space="0" w:color="auto"/>
              <w:right w:val="single" w:sz="8" w:space="0" w:color="auto"/>
            </w:tcBorders>
            <w:shd w:val="clear" w:color="auto" w:fill="auto"/>
            <w:vAlign w:val="center"/>
          </w:tcPr>
          <w:p w14:paraId="2A6EA0C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C1</w:t>
            </w:r>
            <w:r>
              <w:rPr>
                <w:rFonts w:ascii="Times New Roman" w:eastAsia="仿宋" w:hAnsi="Times New Roman" w:cs="Times New Roman"/>
                <w:color w:val="000000"/>
                <w:kern w:val="0"/>
                <w:sz w:val="24"/>
                <w:szCs w:val="24"/>
              </w:rPr>
              <w:t>重点工作数量完成率</w:t>
            </w:r>
          </w:p>
        </w:tc>
        <w:tc>
          <w:tcPr>
            <w:tcW w:w="4110" w:type="dxa"/>
            <w:tcBorders>
              <w:top w:val="nil"/>
              <w:left w:val="nil"/>
              <w:bottom w:val="single" w:sz="8" w:space="0" w:color="auto"/>
              <w:right w:val="single" w:sz="8" w:space="0" w:color="auto"/>
            </w:tcBorders>
            <w:shd w:val="clear" w:color="auto" w:fill="auto"/>
            <w:vAlign w:val="center"/>
          </w:tcPr>
          <w:p w14:paraId="5716D38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0CB8633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与年初计划相比较</w:t>
            </w:r>
          </w:p>
        </w:tc>
        <w:tc>
          <w:tcPr>
            <w:tcW w:w="2693" w:type="dxa"/>
            <w:tcBorders>
              <w:top w:val="nil"/>
              <w:left w:val="nil"/>
              <w:bottom w:val="single" w:sz="8" w:space="0" w:color="auto"/>
              <w:right w:val="single" w:sz="4" w:space="0" w:color="auto"/>
            </w:tcBorders>
            <w:vAlign w:val="center"/>
          </w:tcPr>
          <w:p w14:paraId="5963A46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检查数量完成情况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06E95374"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B95B4F" w14:paraId="65BE4441" w14:textId="77777777">
        <w:trPr>
          <w:trHeight w:val="980"/>
        </w:trPr>
        <w:tc>
          <w:tcPr>
            <w:tcW w:w="1242" w:type="dxa"/>
            <w:vMerge/>
            <w:tcBorders>
              <w:top w:val="nil"/>
              <w:left w:val="single" w:sz="8" w:space="0" w:color="auto"/>
              <w:bottom w:val="single" w:sz="8" w:space="0" w:color="auto"/>
              <w:right w:val="single" w:sz="8" w:space="0" w:color="auto"/>
            </w:tcBorders>
            <w:vAlign w:val="center"/>
          </w:tcPr>
          <w:p w14:paraId="37CC6545"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14:paraId="5DFF844A"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C2</w:t>
            </w:r>
            <w:r>
              <w:rPr>
                <w:rFonts w:ascii="Times New Roman" w:eastAsia="仿宋" w:hAnsi="Times New Roman" w:cs="Times New Roman"/>
                <w:color w:val="000000"/>
                <w:kern w:val="0"/>
                <w:sz w:val="24"/>
                <w:szCs w:val="24"/>
              </w:rPr>
              <w:t>重点工作质量达标率</w:t>
            </w:r>
          </w:p>
        </w:tc>
        <w:tc>
          <w:tcPr>
            <w:tcW w:w="4110" w:type="dxa"/>
            <w:tcBorders>
              <w:top w:val="nil"/>
              <w:left w:val="nil"/>
              <w:bottom w:val="single" w:sz="8" w:space="0" w:color="auto"/>
              <w:right w:val="single" w:sz="8" w:space="0" w:color="auto"/>
            </w:tcBorders>
            <w:shd w:val="clear" w:color="auto" w:fill="auto"/>
            <w:vAlign w:val="center"/>
          </w:tcPr>
          <w:p w14:paraId="61BCE9A2"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357F1AE3"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与年初自定的绩效目标相比较</w:t>
            </w:r>
          </w:p>
        </w:tc>
        <w:tc>
          <w:tcPr>
            <w:tcW w:w="2693" w:type="dxa"/>
            <w:tcBorders>
              <w:top w:val="nil"/>
              <w:left w:val="nil"/>
              <w:bottom w:val="single" w:sz="8" w:space="0" w:color="auto"/>
              <w:right w:val="single" w:sz="4" w:space="0" w:color="auto"/>
            </w:tcBorders>
            <w:vAlign w:val="center"/>
          </w:tcPr>
          <w:p w14:paraId="18CB15B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检查质量完成情况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4A0572C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B95B4F" w14:paraId="7F4C1660" w14:textId="77777777">
        <w:trPr>
          <w:trHeight w:val="1779"/>
        </w:trPr>
        <w:tc>
          <w:tcPr>
            <w:tcW w:w="1242" w:type="dxa"/>
            <w:vMerge/>
            <w:tcBorders>
              <w:top w:val="nil"/>
              <w:left w:val="single" w:sz="8" w:space="0" w:color="auto"/>
              <w:bottom w:val="single" w:sz="8" w:space="0" w:color="auto"/>
              <w:right w:val="single" w:sz="8" w:space="0" w:color="auto"/>
            </w:tcBorders>
            <w:vAlign w:val="center"/>
          </w:tcPr>
          <w:p w14:paraId="66A4A800"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14:paraId="7E24E841"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C3</w:t>
            </w:r>
            <w:r>
              <w:rPr>
                <w:rFonts w:ascii="Times New Roman" w:eastAsia="仿宋" w:hAnsi="Times New Roman" w:cs="Times New Roman"/>
                <w:color w:val="000000"/>
                <w:kern w:val="0"/>
                <w:sz w:val="24"/>
                <w:szCs w:val="24"/>
              </w:rPr>
              <w:t>重点工作完成及时率</w:t>
            </w:r>
          </w:p>
        </w:tc>
        <w:tc>
          <w:tcPr>
            <w:tcW w:w="4110" w:type="dxa"/>
            <w:tcBorders>
              <w:top w:val="nil"/>
              <w:left w:val="nil"/>
              <w:bottom w:val="single" w:sz="8" w:space="0" w:color="auto"/>
              <w:right w:val="single" w:sz="8" w:space="0" w:color="auto"/>
            </w:tcBorders>
            <w:shd w:val="clear" w:color="auto" w:fill="auto"/>
            <w:vAlign w:val="center"/>
          </w:tcPr>
          <w:p w14:paraId="7AE94EAD"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76BBB97F"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参照财政部门及主管部门规定的要求</w:t>
            </w:r>
          </w:p>
        </w:tc>
        <w:tc>
          <w:tcPr>
            <w:tcW w:w="2693" w:type="dxa"/>
            <w:tcBorders>
              <w:top w:val="nil"/>
              <w:left w:val="nil"/>
              <w:bottom w:val="single" w:sz="8" w:space="0" w:color="auto"/>
              <w:right w:val="single" w:sz="4" w:space="0" w:color="auto"/>
            </w:tcBorders>
          </w:tcPr>
          <w:p w14:paraId="498255D7"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检查比如资金的使用，审计报告、验收报告等完成情况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5D55527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B95B4F" w14:paraId="377F79D6" w14:textId="77777777">
        <w:trPr>
          <w:trHeight w:val="600"/>
        </w:trPr>
        <w:tc>
          <w:tcPr>
            <w:tcW w:w="1242" w:type="dxa"/>
            <w:vMerge w:val="restart"/>
            <w:tcBorders>
              <w:top w:val="nil"/>
              <w:left w:val="single" w:sz="8" w:space="0" w:color="auto"/>
              <w:right w:val="single" w:sz="8" w:space="0" w:color="auto"/>
            </w:tcBorders>
            <w:shd w:val="clear" w:color="auto" w:fill="auto"/>
            <w:noWrap/>
            <w:vAlign w:val="center"/>
          </w:tcPr>
          <w:p w14:paraId="318CEE2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lastRenderedPageBreak/>
              <w:t>D</w:t>
            </w:r>
            <w:r>
              <w:rPr>
                <w:rFonts w:ascii="Times New Roman" w:eastAsia="仿宋" w:hAnsi="Times New Roman" w:cs="Times New Roman"/>
                <w:color w:val="000000"/>
                <w:kern w:val="0"/>
                <w:sz w:val="24"/>
                <w:szCs w:val="24"/>
              </w:rPr>
              <w:t>履职绩效（</w:t>
            </w:r>
            <w:r>
              <w:rPr>
                <w:rFonts w:ascii="Times New Roman" w:eastAsia="仿宋" w:hAnsi="Times New Roman" w:cs="Times New Roman"/>
                <w:color w:val="000000"/>
                <w:kern w:val="0"/>
                <w:sz w:val="24"/>
                <w:szCs w:val="24"/>
              </w:rPr>
              <w:t>30</w:t>
            </w:r>
            <w:r>
              <w:rPr>
                <w:rFonts w:ascii="Times New Roman" w:eastAsia="仿宋" w:hAnsi="Times New Roman" w:cs="Times New Roman"/>
                <w:color w:val="000000"/>
                <w:kern w:val="0"/>
                <w:sz w:val="24"/>
                <w:szCs w:val="24"/>
              </w:rPr>
              <w:t>分）</w:t>
            </w:r>
          </w:p>
        </w:tc>
        <w:tc>
          <w:tcPr>
            <w:tcW w:w="1560" w:type="dxa"/>
            <w:tcBorders>
              <w:top w:val="nil"/>
              <w:left w:val="nil"/>
              <w:bottom w:val="single" w:sz="8" w:space="0" w:color="auto"/>
              <w:right w:val="single" w:sz="8" w:space="0" w:color="auto"/>
            </w:tcBorders>
            <w:shd w:val="clear" w:color="auto" w:fill="auto"/>
            <w:vAlign w:val="center"/>
          </w:tcPr>
          <w:p w14:paraId="1A075FF5"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D1</w:t>
            </w:r>
            <w:r>
              <w:rPr>
                <w:rFonts w:ascii="Times New Roman" w:eastAsia="仿宋" w:hAnsi="Times New Roman" w:cs="Times New Roman"/>
                <w:color w:val="000000"/>
                <w:kern w:val="0"/>
                <w:sz w:val="24"/>
                <w:szCs w:val="24"/>
              </w:rPr>
              <w:t>经济效益</w:t>
            </w:r>
          </w:p>
        </w:tc>
        <w:tc>
          <w:tcPr>
            <w:tcW w:w="4110" w:type="dxa"/>
            <w:tcBorders>
              <w:top w:val="nil"/>
              <w:left w:val="nil"/>
              <w:bottom w:val="single" w:sz="8" w:space="0" w:color="auto"/>
              <w:right w:val="single" w:sz="8" w:space="0" w:color="auto"/>
            </w:tcBorders>
            <w:shd w:val="clear" w:color="auto" w:fill="auto"/>
            <w:vAlign w:val="center"/>
          </w:tcPr>
          <w:p w14:paraId="5066D89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6E4D3603"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经济活动中取得的收益性成果</w:t>
            </w:r>
          </w:p>
        </w:tc>
        <w:tc>
          <w:tcPr>
            <w:tcW w:w="2693" w:type="dxa"/>
            <w:tcBorders>
              <w:top w:val="nil"/>
              <w:left w:val="nil"/>
              <w:bottom w:val="single" w:sz="8" w:space="0" w:color="auto"/>
              <w:right w:val="single" w:sz="4" w:space="0" w:color="auto"/>
            </w:tcBorders>
          </w:tcPr>
          <w:p w14:paraId="5854B722"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计算经济性成果</w:t>
            </w:r>
          </w:p>
        </w:tc>
        <w:tc>
          <w:tcPr>
            <w:tcW w:w="1560" w:type="dxa"/>
            <w:tcBorders>
              <w:top w:val="nil"/>
              <w:left w:val="single" w:sz="4" w:space="0" w:color="auto"/>
              <w:bottom w:val="single" w:sz="8" w:space="0" w:color="auto"/>
              <w:right w:val="single" w:sz="8" w:space="0" w:color="auto"/>
            </w:tcBorders>
            <w:shd w:val="clear" w:color="auto" w:fill="auto"/>
            <w:vAlign w:val="center"/>
          </w:tcPr>
          <w:p w14:paraId="58A80E7E"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0</w:t>
            </w:r>
          </w:p>
        </w:tc>
      </w:tr>
      <w:tr w:rsidR="00B95B4F" w14:paraId="1ECF69E7" w14:textId="77777777">
        <w:trPr>
          <w:trHeight w:val="600"/>
        </w:trPr>
        <w:tc>
          <w:tcPr>
            <w:tcW w:w="1242" w:type="dxa"/>
            <w:vMerge/>
            <w:tcBorders>
              <w:left w:val="single" w:sz="8" w:space="0" w:color="auto"/>
              <w:right w:val="single" w:sz="8" w:space="0" w:color="auto"/>
            </w:tcBorders>
            <w:vAlign w:val="center"/>
          </w:tcPr>
          <w:p w14:paraId="7C20D016"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14:paraId="35196EA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D2</w:t>
            </w:r>
            <w:r>
              <w:rPr>
                <w:rFonts w:ascii="Times New Roman" w:eastAsia="仿宋" w:hAnsi="Times New Roman" w:cs="Times New Roman"/>
                <w:color w:val="000000"/>
                <w:kern w:val="0"/>
                <w:sz w:val="24"/>
                <w:szCs w:val="24"/>
              </w:rPr>
              <w:t>社会效益</w:t>
            </w:r>
          </w:p>
        </w:tc>
        <w:tc>
          <w:tcPr>
            <w:tcW w:w="4110" w:type="dxa"/>
            <w:tcBorders>
              <w:top w:val="nil"/>
              <w:left w:val="nil"/>
              <w:bottom w:val="single" w:sz="8" w:space="0" w:color="auto"/>
              <w:right w:val="single" w:sz="8" w:space="0" w:color="auto"/>
            </w:tcBorders>
            <w:shd w:val="clear" w:color="auto" w:fill="auto"/>
            <w:vAlign w:val="center"/>
          </w:tcPr>
          <w:p w14:paraId="66F3EBE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644C0187"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经济效益之外的对社会有益的效果</w:t>
            </w:r>
            <w:r>
              <w:rPr>
                <w:rFonts w:ascii="Times New Roman" w:eastAsia="仿宋" w:hAnsi="Times New Roman" w:cs="Times New Roman"/>
                <w:color w:val="000000"/>
                <w:kern w:val="0"/>
                <w:sz w:val="24"/>
                <w:szCs w:val="24"/>
              </w:rPr>
              <w:t xml:space="preserve"> </w:t>
            </w:r>
          </w:p>
        </w:tc>
        <w:tc>
          <w:tcPr>
            <w:tcW w:w="2693" w:type="dxa"/>
            <w:tcBorders>
              <w:top w:val="nil"/>
              <w:left w:val="nil"/>
              <w:bottom w:val="single" w:sz="8" w:space="0" w:color="auto"/>
              <w:right w:val="single" w:sz="4" w:space="0" w:color="auto"/>
            </w:tcBorders>
          </w:tcPr>
          <w:p w14:paraId="2AED7822"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评价社会性有益效果</w:t>
            </w:r>
            <w:r>
              <w:rPr>
                <w:rFonts w:ascii="Times New Roman" w:eastAsia="仿宋" w:hAnsi="Times New Roman" w:cs="Times New Roman"/>
                <w:color w:val="000000"/>
                <w:kern w:val="0"/>
                <w:sz w:val="24"/>
                <w:szCs w:val="24"/>
              </w:rPr>
              <w:t xml:space="preserve"> </w:t>
            </w:r>
          </w:p>
        </w:tc>
        <w:tc>
          <w:tcPr>
            <w:tcW w:w="1560" w:type="dxa"/>
            <w:tcBorders>
              <w:top w:val="nil"/>
              <w:left w:val="single" w:sz="4" w:space="0" w:color="auto"/>
              <w:bottom w:val="single" w:sz="8" w:space="0" w:color="auto"/>
              <w:right w:val="single" w:sz="8" w:space="0" w:color="auto"/>
            </w:tcBorders>
            <w:shd w:val="clear" w:color="auto" w:fill="auto"/>
            <w:vAlign w:val="center"/>
          </w:tcPr>
          <w:p w14:paraId="2C02110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B95B4F" w14:paraId="105F8CF8" w14:textId="77777777">
        <w:trPr>
          <w:trHeight w:val="600"/>
        </w:trPr>
        <w:tc>
          <w:tcPr>
            <w:tcW w:w="1242" w:type="dxa"/>
            <w:vMerge/>
            <w:tcBorders>
              <w:left w:val="single" w:sz="8" w:space="0" w:color="auto"/>
              <w:right w:val="single" w:sz="8" w:space="0" w:color="auto"/>
            </w:tcBorders>
            <w:vAlign w:val="center"/>
          </w:tcPr>
          <w:p w14:paraId="621BCAFA"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14:paraId="465B8E2D"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D3</w:t>
            </w:r>
            <w:r>
              <w:rPr>
                <w:rFonts w:ascii="Times New Roman" w:eastAsia="仿宋" w:hAnsi="Times New Roman" w:cs="Times New Roman"/>
                <w:color w:val="000000"/>
                <w:kern w:val="0"/>
                <w:sz w:val="24"/>
                <w:szCs w:val="24"/>
              </w:rPr>
              <w:t>生态效益</w:t>
            </w:r>
          </w:p>
        </w:tc>
        <w:tc>
          <w:tcPr>
            <w:tcW w:w="4110" w:type="dxa"/>
            <w:tcBorders>
              <w:top w:val="nil"/>
              <w:left w:val="nil"/>
              <w:bottom w:val="single" w:sz="8" w:space="0" w:color="auto"/>
              <w:right w:val="single" w:sz="8" w:space="0" w:color="auto"/>
            </w:tcBorders>
            <w:shd w:val="clear" w:color="auto" w:fill="auto"/>
            <w:vAlign w:val="center"/>
          </w:tcPr>
          <w:p w14:paraId="2EC9107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7F7291AF"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生态平衡和生态系统的良性高效循环</w:t>
            </w:r>
          </w:p>
        </w:tc>
        <w:tc>
          <w:tcPr>
            <w:tcW w:w="2693" w:type="dxa"/>
            <w:tcBorders>
              <w:top w:val="nil"/>
              <w:left w:val="nil"/>
              <w:bottom w:val="single" w:sz="8" w:space="0" w:color="auto"/>
              <w:right w:val="single" w:sz="4" w:space="0" w:color="auto"/>
            </w:tcBorders>
          </w:tcPr>
          <w:p w14:paraId="4ABBC62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评价生态平衡及系统循环情况</w:t>
            </w:r>
          </w:p>
        </w:tc>
        <w:tc>
          <w:tcPr>
            <w:tcW w:w="1560" w:type="dxa"/>
            <w:tcBorders>
              <w:top w:val="nil"/>
              <w:left w:val="single" w:sz="4" w:space="0" w:color="auto"/>
              <w:bottom w:val="single" w:sz="8" w:space="0" w:color="auto"/>
              <w:right w:val="single" w:sz="8" w:space="0" w:color="auto"/>
            </w:tcBorders>
            <w:shd w:val="clear" w:color="auto" w:fill="auto"/>
            <w:vAlign w:val="center"/>
          </w:tcPr>
          <w:p w14:paraId="26E9B7D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B95B4F" w14:paraId="74228475" w14:textId="77777777">
        <w:trPr>
          <w:trHeight w:val="915"/>
        </w:trPr>
        <w:tc>
          <w:tcPr>
            <w:tcW w:w="1242" w:type="dxa"/>
            <w:vMerge/>
            <w:tcBorders>
              <w:left w:val="single" w:sz="8" w:space="0" w:color="auto"/>
              <w:bottom w:val="single" w:sz="4" w:space="0" w:color="auto"/>
              <w:right w:val="single" w:sz="8" w:space="0" w:color="auto"/>
            </w:tcBorders>
            <w:vAlign w:val="center"/>
          </w:tcPr>
          <w:p w14:paraId="73DB9C40"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tcPr>
          <w:p w14:paraId="435D5961"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D4</w:t>
            </w:r>
            <w:r>
              <w:rPr>
                <w:rFonts w:ascii="Times New Roman" w:eastAsia="仿宋" w:hAnsi="Times New Roman" w:cs="Times New Roman"/>
                <w:color w:val="000000"/>
                <w:kern w:val="0"/>
                <w:sz w:val="24"/>
                <w:szCs w:val="24"/>
              </w:rPr>
              <w:t>满意度</w:t>
            </w:r>
          </w:p>
        </w:tc>
        <w:tc>
          <w:tcPr>
            <w:tcW w:w="4110" w:type="dxa"/>
            <w:tcBorders>
              <w:top w:val="nil"/>
              <w:left w:val="nil"/>
              <w:bottom w:val="single" w:sz="4" w:space="0" w:color="auto"/>
              <w:right w:val="single" w:sz="8" w:space="0" w:color="auto"/>
            </w:tcBorders>
            <w:shd w:val="clear" w:color="auto" w:fill="auto"/>
            <w:vAlign w:val="center"/>
          </w:tcPr>
          <w:p w14:paraId="78DF54A2"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不设三级指标</w:t>
            </w:r>
          </w:p>
        </w:tc>
        <w:tc>
          <w:tcPr>
            <w:tcW w:w="2977" w:type="dxa"/>
            <w:tcBorders>
              <w:top w:val="nil"/>
              <w:left w:val="nil"/>
              <w:bottom w:val="single" w:sz="4" w:space="0" w:color="auto"/>
              <w:right w:val="single" w:sz="8" w:space="0" w:color="auto"/>
            </w:tcBorders>
            <w:shd w:val="clear" w:color="auto" w:fill="auto"/>
            <w:vAlign w:val="center"/>
          </w:tcPr>
          <w:p w14:paraId="5EE0E770"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包含服务对象（可选）、管理对象（可选）、间接受益对象（可选）等</w:t>
            </w:r>
          </w:p>
        </w:tc>
        <w:tc>
          <w:tcPr>
            <w:tcW w:w="2693" w:type="dxa"/>
            <w:tcBorders>
              <w:top w:val="nil"/>
              <w:left w:val="nil"/>
              <w:bottom w:val="single" w:sz="4" w:space="0" w:color="auto"/>
              <w:right w:val="single" w:sz="4" w:space="0" w:color="auto"/>
            </w:tcBorders>
            <w:vAlign w:val="center"/>
          </w:tcPr>
          <w:p w14:paraId="522EFDB1"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涉及检查服务对象、管理对象、间接受益对象评价表；未涉及可得满分</w:t>
            </w:r>
          </w:p>
        </w:tc>
        <w:tc>
          <w:tcPr>
            <w:tcW w:w="1560" w:type="dxa"/>
            <w:tcBorders>
              <w:top w:val="nil"/>
              <w:left w:val="single" w:sz="4" w:space="0" w:color="auto"/>
              <w:bottom w:val="single" w:sz="4" w:space="0" w:color="auto"/>
              <w:right w:val="single" w:sz="8" w:space="0" w:color="auto"/>
            </w:tcBorders>
            <w:shd w:val="clear" w:color="auto" w:fill="auto"/>
            <w:vAlign w:val="center"/>
          </w:tcPr>
          <w:p w14:paraId="416D59E3"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10</w:t>
            </w:r>
          </w:p>
        </w:tc>
      </w:tr>
      <w:tr w:rsidR="00B95B4F" w14:paraId="41A804E5" w14:textId="77777777">
        <w:trPr>
          <w:trHeight w:val="600"/>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10B2267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E</w:t>
            </w:r>
            <w:r>
              <w:rPr>
                <w:rFonts w:ascii="Times New Roman" w:eastAsia="仿宋" w:hAnsi="Times New Roman" w:cs="Times New Roman"/>
                <w:color w:val="000000"/>
                <w:kern w:val="0"/>
                <w:sz w:val="24"/>
                <w:szCs w:val="24"/>
              </w:rPr>
              <w:t>可持续发展能力（</w:t>
            </w:r>
            <w:r>
              <w:rPr>
                <w:rFonts w:ascii="Times New Roman" w:eastAsia="仿宋" w:hAnsi="Times New Roman" w:cs="Times New Roman"/>
                <w:color w:val="000000"/>
                <w:kern w:val="0"/>
                <w:sz w:val="24"/>
                <w:szCs w:val="24"/>
              </w:rPr>
              <w:t>5</w:t>
            </w:r>
            <w:r>
              <w:rPr>
                <w:rFonts w:ascii="Times New Roman" w:eastAsia="仿宋" w:hAnsi="Times New Roman" w:cs="Times New Roman"/>
                <w:color w:val="000000"/>
                <w:kern w:val="0"/>
                <w:sz w:val="24"/>
                <w:szCs w:val="24"/>
              </w:rPr>
              <w:t>分）</w:t>
            </w:r>
          </w:p>
        </w:tc>
        <w:tc>
          <w:tcPr>
            <w:tcW w:w="1560" w:type="dxa"/>
            <w:tcBorders>
              <w:top w:val="single" w:sz="8" w:space="0" w:color="auto"/>
              <w:left w:val="nil"/>
              <w:bottom w:val="single" w:sz="8" w:space="0" w:color="auto"/>
              <w:right w:val="single" w:sz="8" w:space="0" w:color="auto"/>
            </w:tcBorders>
            <w:shd w:val="clear" w:color="auto" w:fill="auto"/>
            <w:vAlign w:val="center"/>
          </w:tcPr>
          <w:p w14:paraId="696C967F"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E1</w:t>
            </w:r>
            <w:r>
              <w:rPr>
                <w:rFonts w:ascii="Times New Roman" w:eastAsia="仿宋" w:hAnsi="Times New Roman" w:cs="Times New Roman"/>
                <w:color w:val="000000"/>
                <w:kern w:val="0"/>
                <w:sz w:val="24"/>
                <w:szCs w:val="24"/>
              </w:rPr>
              <w:t>信息化建设情况（可选）</w:t>
            </w:r>
          </w:p>
        </w:tc>
        <w:tc>
          <w:tcPr>
            <w:tcW w:w="4110" w:type="dxa"/>
            <w:tcBorders>
              <w:top w:val="single" w:sz="8" w:space="0" w:color="auto"/>
              <w:left w:val="nil"/>
              <w:bottom w:val="single" w:sz="8" w:space="0" w:color="auto"/>
              <w:right w:val="single" w:sz="8" w:space="0" w:color="auto"/>
            </w:tcBorders>
            <w:shd w:val="clear" w:color="auto" w:fill="auto"/>
            <w:vAlign w:val="center"/>
          </w:tcPr>
          <w:p w14:paraId="3FE3192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不设三级指标</w:t>
            </w:r>
          </w:p>
        </w:tc>
        <w:tc>
          <w:tcPr>
            <w:tcW w:w="2977" w:type="dxa"/>
            <w:tcBorders>
              <w:top w:val="single" w:sz="8" w:space="0" w:color="auto"/>
              <w:left w:val="nil"/>
              <w:bottom w:val="single" w:sz="8" w:space="0" w:color="auto"/>
              <w:right w:val="single" w:sz="8" w:space="0" w:color="auto"/>
            </w:tcBorders>
            <w:shd w:val="clear" w:color="auto" w:fill="auto"/>
            <w:vAlign w:val="center"/>
          </w:tcPr>
          <w:p w14:paraId="4B605528"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办公流程、业务开展是否能通过单位的信息系统实现</w:t>
            </w:r>
          </w:p>
        </w:tc>
        <w:tc>
          <w:tcPr>
            <w:tcW w:w="2693" w:type="dxa"/>
            <w:tcBorders>
              <w:top w:val="single" w:sz="8" w:space="0" w:color="auto"/>
              <w:left w:val="nil"/>
              <w:bottom w:val="single" w:sz="8" w:space="0" w:color="auto"/>
              <w:right w:val="single" w:sz="4" w:space="0" w:color="auto"/>
            </w:tcBorders>
          </w:tcPr>
          <w:p w14:paraId="081FE7B3"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检查或进行穿行测试</w:t>
            </w:r>
          </w:p>
        </w:tc>
        <w:tc>
          <w:tcPr>
            <w:tcW w:w="1560" w:type="dxa"/>
            <w:tcBorders>
              <w:top w:val="single" w:sz="8" w:space="0" w:color="auto"/>
              <w:left w:val="single" w:sz="4" w:space="0" w:color="auto"/>
              <w:bottom w:val="single" w:sz="8" w:space="0" w:color="auto"/>
              <w:right w:val="single" w:sz="8" w:space="0" w:color="auto"/>
            </w:tcBorders>
            <w:shd w:val="clear" w:color="auto" w:fill="auto"/>
            <w:vAlign w:val="center"/>
          </w:tcPr>
          <w:p w14:paraId="013D7774"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0</w:t>
            </w:r>
          </w:p>
        </w:tc>
      </w:tr>
      <w:tr w:rsidR="00B95B4F" w14:paraId="04029EBF" w14:textId="77777777">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14:paraId="797CBEEC"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14:paraId="0659A401"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E2</w:t>
            </w:r>
            <w:r>
              <w:rPr>
                <w:rFonts w:ascii="Times New Roman" w:eastAsia="仿宋" w:hAnsi="Times New Roman" w:cs="Times New Roman"/>
                <w:color w:val="000000"/>
                <w:kern w:val="0"/>
                <w:sz w:val="24"/>
                <w:szCs w:val="24"/>
              </w:rPr>
              <w:t>人力资源建设情况（可选）</w:t>
            </w:r>
          </w:p>
        </w:tc>
        <w:tc>
          <w:tcPr>
            <w:tcW w:w="4110" w:type="dxa"/>
            <w:tcBorders>
              <w:top w:val="nil"/>
              <w:left w:val="nil"/>
              <w:bottom w:val="single" w:sz="8" w:space="0" w:color="auto"/>
              <w:right w:val="single" w:sz="8" w:space="0" w:color="auto"/>
            </w:tcBorders>
            <w:shd w:val="clear" w:color="auto" w:fill="auto"/>
            <w:noWrap/>
            <w:vAlign w:val="center"/>
          </w:tcPr>
          <w:p w14:paraId="657108C3" w14:textId="77777777" w:rsidR="00B95B4F" w:rsidRDefault="0025529E">
            <w:pPr>
              <w:widowControl/>
              <w:jc w:val="left"/>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r>
              <w:rPr>
                <w:rFonts w:ascii="Times New Roman" w:eastAsia="仿宋" w:hAnsi="Times New Roman" w:cs="Times New Roman"/>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vAlign w:val="center"/>
          </w:tcPr>
          <w:p w14:paraId="4C532B2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包含人才培养计划、人才选拔运用、激励措施等</w:t>
            </w:r>
          </w:p>
        </w:tc>
        <w:tc>
          <w:tcPr>
            <w:tcW w:w="2693" w:type="dxa"/>
            <w:tcBorders>
              <w:top w:val="nil"/>
              <w:left w:val="nil"/>
              <w:bottom w:val="single" w:sz="8" w:space="0" w:color="auto"/>
              <w:right w:val="single" w:sz="4" w:space="0" w:color="auto"/>
            </w:tcBorders>
          </w:tcPr>
          <w:p w14:paraId="0014EB77"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适用检查是否有人才培养计划、人才选拔运用及激励措施方面形成的文件；不适用可得满分</w:t>
            </w:r>
          </w:p>
        </w:tc>
        <w:tc>
          <w:tcPr>
            <w:tcW w:w="1560" w:type="dxa"/>
            <w:tcBorders>
              <w:top w:val="nil"/>
              <w:left w:val="single" w:sz="4" w:space="0" w:color="auto"/>
              <w:bottom w:val="single" w:sz="8" w:space="0" w:color="auto"/>
              <w:right w:val="single" w:sz="8" w:space="0" w:color="auto"/>
            </w:tcBorders>
            <w:shd w:val="clear" w:color="auto" w:fill="auto"/>
            <w:noWrap/>
            <w:vAlign w:val="center"/>
          </w:tcPr>
          <w:p w14:paraId="3E65E025" w14:textId="77777777" w:rsidR="00B95B4F" w:rsidRDefault="0025529E">
            <w:pPr>
              <w:widowControl/>
              <w:ind w:firstLineChars="100" w:firstLine="220"/>
              <w:jc w:val="left"/>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w:t>
            </w:r>
          </w:p>
        </w:tc>
      </w:tr>
      <w:tr w:rsidR="00B95B4F" w14:paraId="09F65C2A" w14:textId="77777777">
        <w:trPr>
          <w:trHeight w:val="600"/>
        </w:trPr>
        <w:tc>
          <w:tcPr>
            <w:tcW w:w="1242" w:type="dxa"/>
            <w:vMerge/>
            <w:tcBorders>
              <w:top w:val="single" w:sz="8" w:space="0" w:color="auto"/>
              <w:left w:val="single" w:sz="8" w:space="0" w:color="auto"/>
              <w:bottom w:val="single" w:sz="8" w:space="0" w:color="auto"/>
              <w:right w:val="single" w:sz="8" w:space="0" w:color="auto"/>
            </w:tcBorders>
            <w:vAlign w:val="center"/>
          </w:tcPr>
          <w:p w14:paraId="32F54ADB"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nil"/>
              <w:bottom w:val="single" w:sz="8" w:space="0" w:color="auto"/>
              <w:right w:val="single" w:sz="8" w:space="0" w:color="auto"/>
            </w:tcBorders>
            <w:shd w:val="clear" w:color="auto" w:fill="auto"/>
            <w:vAlign w:val="center"/>
          </w:tcPr>
          <w:p w14:paraId="77811596"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E3</w:t>
            </w:r>
            <w:r>
              <w:rPr>
                <w:rFonts w:ascii="Times New Roman" w:eastAsia="仿宋" w:hAnsi="Times New Roman" w:cs="Times New Roman"/>
                <w:color w:val="000000"/>
                <w:kern w:val="0"/>
                <w:sz w:val="24"/>
                <w:szCs w:val="24"/>
              </w:rPr>
              <w:t>部门创新情况（可选）</w:t>
            </w:r>
          </w:p>
        </w:tc>
        <w:tc>
          <w:tcPr>
            <w:tcW w:w="4110" w:type="dxa"/>
            <w:tcBorders>
              <w:top w:val="nil"/>
              <w:left w:val="nil"/>
              <w:bottom w:val="single" w:sz="8" w:space="0" w:color="auto"/>
              <w:right w:val="single" w:sz="8" w:space="0" w:color="auto"/>
            </w:tcBorders>
            <w:shd w:val="clear" w:color="auto" w:fill="auto"/>
            <w:noWrap/>
            <w:vAlign w:val="center"/>
          </w:tcPr>
          <w:p w14:paraId="14E58788"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 xml:space="preserve">　</w:t>
            </w:r>
            <w:r>
              <w:rPr>
                <w:rFonts w:ascii="Times New Roman" w:eastAsia="仿宋" w:hAnsi="Times New Roman" w:cs="Times New Roman"/>
                <w:color w:val="000000"/>
                <w:kern w:val="0"/>
                <w:sz w:val="24"/>
                <w:szCs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14:paraId="335DFD8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包含制度创新、方法创新等</w:t>
            </w:r>
          </w:p>
        </w:tc>
        <w:tc>
          <w:tcPr>
            <w:tcW w:w="2693" w:type="dxa"/>
            <w:tcBorders>
              <w:top w:val="nil"/>
              <w:left w:val="nil"/>
              <w:bottom w:val="single" w:sz="8" w:space="0" w:color="auto"/>
              <w:right w:val="single" w:sz="4" w:space="0" w:color="auto"/>
            </w:tcBorders>
            <w:vAlign w:val="center"/>
          </w:tcPr>
          <w:p w14:paraId="68F5E571" w14:textId="77777777" w:rsidR="00B95B4F" w:rsidRDefault="0025529E">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部门（单位）需提供创新案例被官方媒体报道的佐证材料</w:t>
            </w:r>
          </w:p>
        </w:tc>
        <w:tc>
          <w:tcPr>
            <w:tcW w:w="1560" w:type="dxa"/>
            <w:tcBorders>
              <w:top w:val="nil"/>
              <w:left w:val="single" w:sz="4" w:space="0" w:color="auto"/>
              <w:bottom w:val="single" w:sz="8" w:space="0" w:color="auto"/>
              <w:right w:val="single" w:sz="8" w:space="0" w:color="auto"/>
            </w:tcBorders>
            <w:shd w:val="clear" w:color="auto" w:fill="auto"/>
            <w:noWrap/>
            <w:vAlign w:val="center"/>
          </w:tcPr>
          <w:p w14:paraId="3A6D0209" w14:textId="77777777" w:rsidR="00B95B4F" w:rsidRDefault="0025529E">
            <w:pPr>
              <w:widowControl/>
              <w:ind w:firstLineChars="100" w:firstLine="220"/>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2</w:t>
            </w:r>
          </w:p>
        </w:tc>
      </w:tr>
      <w:tr w:rsidR="00B95B4F" w14:paraId="0842387F" w14:textId="77777777">
        <w:trPr>
          <w:trHeight w:val="923"/>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14:paraId="736C163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F</w:t>
            </w:r>
            <w:r>
              <w:rPr>
                <w:rFonts w:ascii="Times New Roman" w:eastAsia="仿宋" w:hAnsi="Times New Roman" w:cs="Times New Roman"/>
                <w:color w:val="000000"/>
                <w:kern w:val="0"/>
                <w:sz w:val="24"/>
                <w:szCs w:val="24"/>
              </w:rPr>
              <w:t>加减分项（</w:t>
            </w:r>
            <w:r>
              <w:rPr>
                <w:rFonts w:ascii="Times New Roman" w:eastAsia="仿宋" w:hAnsi="Times New Roman" w:cs="Times New Roman"/>
                <w:color w:val="000000"/>
                <w:kern w:val="0"/>
                <w:sz w:val="24"/>
                <w:szCs w:val="24"/>
              </w:rPr>
              <w:t>≤5</w:t>
            </w:r>
            <w:r>
              <w:rPr>
                <w:rFonts w:ascii="Times New Roman" w:eastAsia="仿宋" w:hAnsi="Times New Roman" w:cs="Times New Roman"/>
                <w:color w:val="000000"/>
                <w:kern w:val="0"/>
                <w:sz w:val="24"/>
                <w:szCs w:val="24"/>
              </w:rPr>
              <w:t>分）</w:t>
            </w:r>
          </w:p>
        </w:tc>
        <w:tc>
          <w:tcPr>
            <w:tcW w:w="1560" w:type="dxa"/>
            <w:tcBorders>
              <w:top w:val="nil"/>
              <w:left w:val="nil"/>
              <w:bottom w:val="single" w:sz="8" w:space="0" w:color="auto"/>
              <w:right w:val="single" w:sz="8" w:space="0" w:color="auto"/>
            </w:tcBorders>
            <w:shd w:val="clear" w:color="auto" w:fill="auto"/>
            <w:vAlign w:val="center"/>
          </w:tcPr>
          <w:p w14:paraId="4BD7564A"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F1</w:t>
            </w:r>
            <w:r>
              <w:rPr>
                <w:rFonts w:ascii="Times New Roman" w:eastAsia="仿宋" w:hAnsi="Times New Roman" w:cs="Times New Roman"/>
                <w:color w:val="000000"/>
                <w:kern w:val="0"/>
                <w:sz w:val="24"/>
                <w:szCs w:val="24"/>
              </w:rPr>
              <w:t>加分项</w:t>
            </w:r>
          </w:p>
        </w:tc>
        <w:tc>
          <w:tcPr>
            <w:tcW w:w="4110" w:type="dxa"/>
            <w:tcBorders>
              <w:top w:val="nil"/>
              <w:left w:val="nil"/>
              <w:bottom w:val="single" w:sz="8" w:space="0" w:color="auto"/>
              <w:right w:val="single" w:sz="8" w:space="0" w:color="auto"/>
            </w:tcBorders>
            <w:shd w:val="clear" w:color="auto" w:fill="auto"/>
            <w:vAlign w:val="center"/>
          </w:tcPr>
          <w:p w14:paraId="0AF81ED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不设三级指标</w:t>
            </w:r>
          </w:p>
        </w:tc>
        <w:tc>
          <w:tcPr>
            <w:tcW w:w="2977" w:type="dxa"/>
            <w:tcBorders>
              <w:top w:val="nil"/>
              <w:left w:val="nil"/>
              <w:bottom w:val="single" w:sz="8" w:space="0" w:color="auto"/>
              <w:right w:val="single" w:sz="8" w:space="0" w:color="auto"/>
            </w:tcBorders>
            <w:shd w:val="clear" w:color="auto" w:fill="auto"/>
            <w:vAlign w:val="center"/>
          </w:tcPr>
          <w:p w14:paraId="57967329"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部门（单位）受到国务院、省级、市级嘉奖</w:t>
            </w:r>
          </w:p>
        </w:tc>
        <w:tc>
          <w:tcPr>
            <w:tcW w:w="2693" w:type="dxa"/>
            <w:tcBorders>
              <w:top w:val="nil"/>
              <w:left w:val="nil"/>
              <w:bottom w:val="single" w:sz="8" w:space="0" w:color="auto"/>
              <w:right w:val="single" w:sz="4" w:space="0" w:color="auto"/>
            </w:tcBorders>
            <w:vAlign w:val="center"/>
          </w:tcPr>
          <w:p w14:paraId="5FBEC4FB"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受到国务院嘉奖加</w:t>
            </w:r>
            <w:r>
              <w:rPr>
                <w:rFonts w:ascii="Times New Roman" w:eastAsia="仿宋" w:hAnsi="Times New Roman" w:cs="Times New Roman"/>
                <w:color w:val="000000"/>
                <w:kern w:val="0"/>
                <w:sz w:val="24"/>
                <w:szCs w:val="24"/>
              </w:rPr>
              <w:t>3</w:t>
            </w:r>
            <w:r>
              <w:rPr>
                <w:rFonts w:ascii="Times New Roman" w:eastAsia="仿宋" w:hAnsi="Times New Roman" w:cs="Times New Roman"/>
                <w:color w:val="000000"/>
                <w:kern w:val="0"/>
                <w:sz w:val="24"/>
                <w:szCs w:val="24"/>
              </w:rPr>
              <w:t>分，受到省级嘉奖加</w:t>
            </w:r>
            <w:r>
              <w:rPr>
                <w:rFonts w:ascii="Times New Roman" w:eastAsia="仿宋" w:hAnsi="Times New Roman" w:cs="Times New Roman"/>
                <w:color w:val="000000"/>
                <w:kern w:val="0"/>
                <w:sz w:val="24"/>
                <w:szCs w:val="24"/>
              </w:rPr>
              <w:t>2</w:t>
            </w:r>
            <w:r>
              <w:rPr>
                <w:rFonts w:ascii="Times New Roman" w:eastAsia="仿宋" w:hAnsi="Times New Roman" w:cs="Times New Roman"/>
                <w:color w:val="000000"/>
                <w:kern w:val="0"/>
                <w:sz w:val="24"/>
                <w:szCs w:val="24"/>
              </w:rPr>
              <w:t>分，得到市级考核一等奖加</w:t>
            </w:r>
            <w:r>
              <w:rPr>
                <w:rFonts w:ascii="Times New Roman" w:eastAsia="仿宋" w:hAnsi="Times New Roman" w:cs="Times New Roman"/>
                <w:color w:val="000000"/>
                <w:kern w:val="0"/>
                <w:sz w:val="24"/>
                <w:szCs w:val="24"/>
              </w:rPr>
              <w:t>1</w:t>
            </w:r>
            <w:r>
              <w:rPr>
                <w:rFonts w:ascii="Times New Roman" w:eastAsia="仿宋" w:hAnsi="Times New Roman" w:cs="Times New Roman"/>
                <w:color w:val="000000"/>
                <w:kern w:val="0"/>
                <w:sz w:val="24"/>
                <w:szCs w:val="24"/>
              </w:rPr>
              <w:t>分，得到市级考核二等奖加</w:t>
            </w:r>
            <w:r>
              <w:rPr>
                <w:rFonts w:ascii="Times New Roman" w:eastAsia="仿宋" w:hAnsi="Times New Roman" w:cs="Times New Roman"/>
                <w:color w:val="000000"/>
                <w:kern w:val="0"/>
                <w:sz w:val="24"/>
                <w:szCs w:val="24"/>
              </w:rPr>
              <w:t>0.5</w:t>
            </w:r>
            <w:r>
              <w:rPr>
                <w:rFonts w:ascii="Times New Roman" w:eastAsia="仿宋" w:hAnsi="Times New Roman" w:cs="Times New Roman"/>
                <w:color w:val="000000"/>
                <w:kern w:val="0"/>
                <w:sz w:val="24"/>
                <w:szCs w:val="24"/>
              </w:rPr>
              <w:t>分；同一项工作</w:t>
            </w:r>
            <w:proofErr w:type="gramStart"/>
            <w:r>
              <w:rPr>
                <w:rFonts w:ascii="Times New Roman" w:eastAsia="仿宋" w:hAnsi="Times New Roman" w:cs="Times New Roman"/>
                <w:color w:val="000000"/>
                <w:kern w:val="0"/>
                <w:sz w:val="24"/>
                <w:szCs w:val="24"/>
              </w:rPr>
              <w:t>不</w:t>
            </w:r>
            <w:proofErr w:type="gramEnd"/>
            <w:r>
              <w:rPr>
                <w:rFonts w:ascii="Times New Roman" w:eastAsia="仿宋" w:hAnsi="Times New Roman" w:cs="Times New Roman"/>
                <w:color w:val="000000"/>
                <w:kern w:val="0"/>
                <w:sz w:val="24"/>
                <w:szCs w:val="24"/>
              </w:rPr>
              <w:t>累计加分</w:t>
            </w:r>
          </w:p>
        </w:tc>
        <w:tc>
          <w:tcPr>
            <w:tcW w:w="1560" w:type="dxa"/>
            <w:tcBorders>
              <w:top w:val="nil"/>
              <w:left w:val="single" w:sz="4" w:space="0" w:color="auto"/>
              <w:bottom w:val="single" w:sz="8" w:space="0" w:color="auto"/>
              <w:right w:val="single" w:sz="8" w:space="0" w:color="auto"/>
            </w:tcBorders>
            <w:shd w:val="clear" w:color="auto" w:fill="auto"/>
            <w:vAlign w:val="center"/>
          </w:tcPr>
          <w:p w14:paraId="7D570E17" w14:textId="77777777" w:rsidR="00B95B4F" w:rsidRDefault="0025529E">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2</w:t>
            </w:r>
          </w:p>
        </w:tc>
      </w:tr>
      <w:tr w:rsidR="00B95B4F" w14:paraId="436B851B" w14:textId="77777777">
        <w:trPr>
          <w:trHeight w:val="600"/>
        </w:trPr>
        <w:tc>
          <w:tcPr>
            <w:tcW w:w="1242" w:type="dxa"/>
            <w:vMerge/>
            <w:tcBorders>
              <w:top w:val="nil"/>
              <w:left w:val="single" w:sz="8" w:space="0" w:color="auto"/>
              <w:bottom w:val="nil"/>
              <w:right w:val="single" w:sz="8" w:space="0" w:color="auto"/>
            </w:tcBorders>
            <w:vAlign w:val="center"/>
          </w:tcPr>
          <w:p w14:paraId="2F5283A6"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nil"/>
              <w:bottom w:val="nil"/>
              <w:right w:val="single" w:sz="8" w:space="0" w:color="auto"/>
            </w:tcBorders>
            <w:shd w:val="clear" w:color="auto" w:fill="auto"/>
            <w:vAlign w:val="center"/>
          </w:tcPr>
          <w:p w14:paraId="40DCF21C"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F2</w:t>
            </w:r>
            <w:r>
              <w:rPr>
                <w:rFonts w:ascii="Times New Roman" w:eastAsia="仿宋" w:hAnsi="Times New Roman" w:cs="Times New Roman"/>
                <w:color w:val="000000"/>
                <w:kern w:val="0"/>
                <w:sz w:val="24"/>
                <w:szCs w:val="24"/>
              </w:rPr>
              <w:t>减分项</w:t>
            </w:r>
          </w:p>
        </w:tc>
        <w:tc>
          <w:tcPr>
            <w:tcW w:w="4110" w:type="dxa"/>
            <w:tcBorders>
              <w:top w:val="nil"/>
              <w:left w:val="nil"/>
              <w:bottom w:val="nil"/>
              <w:right w:val="single" w:sz="8" w:space="0" w:color="auto"/>
            </w:tcBorders>
            <w:shd w:val="clear" w:color="auto" w:fill="auto"/>
            <w:noWrap/>
            <w:vAlign w:val="center"/>
          </w:tcPr>
          <w:p w14:paraId="618C6B95" w14:textId="77777777" w:rsidR="00B95B4F" w:rsidRDefault="0025529E">
            <w:pPr>
              <w:widowControl/>
              <w:jc w:val="left"/>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 xml:space="preserve">　</w:t>
            </w:r>
            <w:r>
              <w:rPr>
                <w:rFonts w:ascii="Times New Roman" w:eastAsia="仿宋" w:hAnsi="Times New Roman" w:cs="Times New Roman"/>
                <w:color w:val="000000"/>
                <w:kern w:val="0"/>
                <w:sz w:val="24"/>
                <w:szCs w:val="24"/>
              </w:rPr>
              <w:t>不设三级指标</w:t>
            </w:r>
          </w:p>
        </w:tc>
        <w:tc>
          <w:tcPr>
            <w:tcW w:w="2977" w:type="dxa"/>
            <w:tcBorders>
              <w:top w:val="nil"/>
              <w:left w:val="nil"/>
              <w:bottom w:val="nil"/>
              <w:right w:val="single" w:sz="8" w:space="0" w:color="auto"/>
            </w:tcBorders>
            <w:shd w:val="clear" w:color="auto" w:fill="auto"/>
            <w:vAlign w:val="center"/>
          </w:tcPr>
          <w:p w14:paraId="5E2665FF"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部门（单位）或工作人员违法违纪</w:t>
            </w:r>
          </w:p>
        </w:tc>
        <w:tc>
          <w:tcPr>
            <w:tcW w:w="2693" w:type="dxa"/>
            <w:tcBorders>
              <w:top w:val="nil"/>
              <w:left w:val="nil"/>
              <w:bottom w:val="nil"/>
              <w:right w:val="single" w:sz="4" w:space="0" w:color="auto"/>
            </w:tcBorders>
            <w:vAlign w:val="center"/>
          </w:tcPr>
          <w:p w14:paraId="672ACF33"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酌情扣分</w:t>
            </w:r>
          </w:p>
        </w:tc>
        <w:tc>
          <w:tcPr>
            <w:tcW w:w="1560" w:type="dxa"/>
            <w:tcBorders>
              <w:top w:val="nil"/>
              <w:left w:val="single" w:sz="4" w:space="0" w:color="auto"/>
              <w:bottom w:val="nil"/>
              <w:right w:val="single" w:sz="8" w:space="0" w:color="auto"/>
            </w:tcBorders>
            <w:shd w:val="clear" w:color="auto" w:fill="auto"/>
            <w:vAlign w:val="center"/>
          </w:tcPr>
          <w:p w14:paraId="208C8C8E" w14:textId="77777777" w:rsidR="00B95B4F" w:rsidRDefault="0025529E">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0</w:t>
            </w:r>
          </w:p>
        </w:tc>
      </w:tr>
      <w:tr w:rsidR="00B95B4F" w14:paraId="16C3ADA2" w14:textId="77777777">
        <w:trPr>
          <w:trHeight w:val="203"/>
        </w:trPr>
        <w:tc>
          <w:tcPr>
            <w:tcW w:w="1242" w:type="dxa"/>
            <w:tcBorders>
              <w:top w:val="nil"/>
              <w:left w:val="single" w:sz="8" w:space="0" w:color="auto"/>
              <w:bottom w:val="single" w:sz="4" w:space="0" w:color="auto"/>
              <w:right w:val="single" w:sz="8" w:space="0" w:color="auto"/>
            </w:tcBorders>
            <w:vAlign w:val="center"/>
          </w:tcPr>
          <w:p w14:paraId="3B5CC1A7"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nil"/>
              <w:bottom w:val="single" w:sz="4" w:space="0" w:color="auto"/>
              <w:right w:val="single" w:sz="8" w:space="0" w:color="auto"/>
            </w:tcBorders>
            <w:shd w:val="clear" w:color="auto" w:fill="auto"/>
            <w:vAlign w:val="center"/>
          </w:tcPr>
          <w:p w14:paraId="433C5A9E"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nil"/>
              <w:left w:val="nil"/>
              <w:bottom w:val="single" w:sz="4" w:space="0" w:color="auto"/>
              <w:right w:val="single" w:sz="8" w:space="0" w:color="auto"/>
            </w:tcBorders>
            <w:shd w:val="clear" w:color="auto" w:fill="auto"/>
            <w:noWrap/>
            <w:vAlign w:val="center"/>
          </w:tcPr>
          <w:p w14:paraId="6E0561B1" w14:textId="77777777" w:rsidR="00B95B4F" w:rsidRDefault="00B95B4F">
            <w:pPr>
              <w:widowControl/>
              <w:jc w:val="left"/>
              <w:rPr>
                <w:rFonts w:ascii="Times New Roman" w:eastAsia="等线" w:hAnsi="Times New Roman" w:cs="Times New Roman"/>
                <w:color w:val="000000"/>
                <w:kern w:val="0"/>
                <w:sz w:val="22"/>
              </w:rPr>
            </w:pPr>
          </w:p>
        </w:tc>
        <w:tc>
          <w:tcPr>
            <w:tcW w:w="2977" w:type="dxa"/>
            <w:tcBorders>
              <w:top w:val="nil"/>
              <w:left w:val="nil"/>
              <w:bottom w:val="single" w:sz="4" w:space="0" w:color="auto"/>
              <w:right w:val="single" w:sz="8" w:space="0" w:color="auto"/>
            </w:tcBorders>
            <w:shd w:val="clear" w:color="auto" w:fill="auto"/>
            <w:vAlign w:val="center"/>
          </w:tcPr>
          <w:p w14:paraId="28AF51B2" w14:textId="77777777" w:rsidR="00B95B4F" w:rsidRDefault="00B95B4F">
            <w:pPr>
              <w:widowControl/>
              <w:jc w:val="left"/>
              <w:rPr>
                <w:rFonts w:ascii="Times New Roman" w:eastAsia="仿宋" w:hAnsi="Times New Roman" w:cs="Times New Roman"/>
                <w:color w:val="000000"/>
                <w:kern w:val="0"/>
                <w:sz w:val="24"/>
                <w:szCs w:val="24"/>
              </w:rPr>
            </w:pPr>
          </w:p>
        </w:tc>
        <w:tc>
          <w:tcPr>
            <w:tcW w:w="2693" w:type="dxa"/>
            <w:tcBorders>
              <w:top w:val="nil"/>
              <w:left w:val="nil"/>
              <w:bottom w:val="single" w:sz="4" w:space="0" w:color="auto"/>
              <w:right w:val="single" w:sz="4" w:space="0" w:color="auto"/>
            </w:tcBorders>
            <w:vAlign w:val="center"/>
          </w:tcPr>
          <w:p w14:paraId="0B5BB8F0"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nil"/>
              <w:left w:val="single" w:sz="4" w:space="0" w:color="auto"/>
              <w:bottom w:val="single" w:sz="4" w:space="0" w:color="auto"/>
              <w:right w:val="single" w:sz="8" w:space="0" w:color="auto"/>
            </w:tcBorders>
            <w:shd w:val="clear" w:color="auto" w:fill="auto"/>
            <w:vAlign w:val="center"/>
          </w:tcPr>
          <w:p w14:paraId="3BC7A75A" w14:textId="77777777" w:rsidR="00B95B4F" w:rsidRDefault="00B95B4F">
            <w:pPr>
              <w:widowControl/>
              <w:jc w:val="left"/>
              <w:rPr>
                <w:rFonts w:ascii="Times New Roman" w:eastAsia="仿宋" w:hAnsi="Times New Roman" w:cs="Times New Roman"/>
                <w:color w:val="000000"/>
                <w:kern w:val="0"/>
                <w:sz w:val="24"/>
                <w:szCs w:val="24"/>
              </w:rPr>
            </w:pPr>
          </w:p>
        </w:tc>
      </w:tr>
      <w:tr w:rsidR="00B95B4F" w14:paraId="0B32C3E2" w14:textId="77777777">
        <w:trPr>
          <w:trHeight w:val="423"/>
        </w:trPr>
        <w:tc>
          <w:tcPr>
            <w:tcW w:w="1242" w:type="dxa"/>
            <w:tcBorders>
              <w:top w:val="single" w:sz="4" w:space="0" w:color="auto"/>
              <w:left w:val="single" w:sz="8" w:space="0" w:color="auto"/>
              <w:bottom w:val="single" w:sz="8" w:space="0" w:color="auto"/>
              <w:right w:val="single" w:sz="8" w:space="0" w:color="auto"/>
            </w:tcBorders>
            <w:vAlign w:val="center"/>
          </w:tcPr>
          <w:p w14:paraId="41F406F9" w14:textId="77FDF2DB" w:rsidR="00B95B4F" w:rsidRDefault="00606B7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合计</w:t>
            </w:r>
          </w:p>
        </w:tc>
        <w:tc>
          <w:tcPr>
            <w:tcW w:w="1560" w:type="dxa"/>
            <w:tcBorders>
              <w:top w:val="single" w:sz="4" w:space="0" w:color="auto"/>
              <w:left w:val="nil"/>
              <w:bottom w:val="single" w:sz="8" w:space="0" w:color="auto"/>
              <w:right w:val="single" w:sz="8" w:space="0" w:color="auto"/>
            </w:tcBorders>
            <w:shd w:val="clear" w:color="auto" w:fill="auto"/>
            <w:vAlign w:val="center"/>
          </w:tcPr>
          <w:p w14:paraId="44E29F49" w14:textId="77777777" w:rsidR="00B95B4F" w:rsidRDefault="00B95B4F">
            <w:pPr>
              <w:widowControl/>
              <w:jc w:val="left"/>
              <w:rPr>
                <w:rFonts w:ascii="Times New Roman" w:eastAsia="仿宋" w:hAnsi="Times New Roman" w:cs="Times New Roman"/>
                <w:color w:val="000000"/>
                <w:kern w:val="0"/>
                <w:sz w:val="24"/>
                <w:szCs w:val="24"/>
              </w:rPr>
            </w:pPr>
          </w:p>
        </w:tc>
        <w:tc>
          <w:tcPr>
            <w:tcW w:w="4110" w:type="dxa"/>
            <w:tcBorders>
              <w:top w:val="single" w:sz="4" w:space="0" w:color="auto"/>
              <w:left w:val="nil"/>
              <w:bottom w:val="single" w:sz="8" w:space="0" w:color="auto"/>
              <w:right w:val="single" w:sz="8" w:space="0" w:color="auto"/>
            </w:tcBorders>
            <w:shd w:val="clear" w:color="auto" w:fill="auto"/>
            <w:noWrap/>
            <w:vAlign w:val="center"/>
          </w:tcPr>
          <w:p w14:paraId="7BC83EC9" w14:textId="77777777" w:rsidR="00B95B4F" w:rsidRDefault="00B95B4F">
            <w:pPr>
              <w:widowControl/>
              <w:jc w:val="left"/>
              <w:rPr>
                <w:rFonts w:ascii="Times New Roman" w:eastAsia="等线" w:hAnsi="Times New Roman" w:cs="Times New Roman"/>
                <w:color w:val="000000"/>
                <w:kern w:val="0"/>
                <w:sz w:val="22"/>
              </w:rPr>
            </w:pPr>
          </w:p>
        </w:tc>
        <w:tc>
          <w:tcPr>
            <w:tcW w:w="2977" w:type="dxa"/>
            <w:tcBorders>
              <w:top w:val="single" w:sz="4" w:space="0" w:color="auto"/>
              <w:left w:val="nil"/>
              <w:bottom w:val="single" w:sz="8" w:space="0" w:color="auto"/>
              <w:right w:val="single" w:sz="8" w:space="0" w:color="auto"/>
            </w:tcBorders>
            <w:shd w:val="clear" w:color="auto" w:fill="auto"/>
            <w:vAlign w:val="center"/>
          </w:tcPr>
          <w:p w14:paraId="3F1AAF21" w14:textId="77777777" w:rsidR="00B95B4F" w:rsidRDefault="00B95B4F">
            <w:pPr>
              <w:widowControl/>
              <w:jc w:val="left"/>
              <w:rPr>
                <w:rFonts w:ascii="Times New Roman" w:eastAsia="仿宋" w:hAnsi="Times New Roman" w:cs="Times New Roman"/>
                <w:color w:val="000000"/>
                <w:kern w:val="0"/>
                <w:sz w:val="24"/>
                <w:szCs w:val="24"/>
              </w:rPr>
            </w:pPr>
          </w:p>
        </w:tc>
        <w:tc>
          <w:tcPr>
            <w:tcW w:w="2693" w:type="dxa"/>
            <w:tcBorders>
              <w:top w:val="single" w:sz="4" w:space="0" w:color="auto"/>
              <w:left w:val="nil"/>
              <w:bottom w:val="single" w:sz="8" w:space="0" w:color="auto"/>
              <w:right w:val="single" w:sz="4" w:space="0" w:color="auto"/>
            </w:tcBorders>
            <w:vAlign w:val="center"/>
          </w:tcPr>
          <w:p w14:paraId="210678A6" w14:textId="77777777" w:rsidR="00B95B4F" w:rsidRDefault="00B95B4F">
            <w:pPr>
              <w:widowControl/>
              <w:jc w:val="left"/>
              <w:rPr>
                <w:rFonts w:ascii="Times New Roman" w:eastAsia="仿宋" w:hAnsi="Times New Roman" w:cs="Times New Roman"/>
                <w:color w:val="000000"/>
                <w:kern w:val="0"/>
                <w:sz w:val="24"/>
                <w:szCs w:val="24"/>
              </w:rPr>
            </w:pPr>
          </w:p>
        </w:tc>
        <w:tc>
          <w:tcPr>
            <w:tcW w:w="1560" w:type="dxa"/>
            <w:tcBorders>
              <w:top w:val="single" w:sz="4" w:space="0" w:color="auto"/>
              <w:left w:val="single" w:sz="4" w:space="0" w:color="auto"/>
              <w:bottom w:val="single" w:sz="8" w:space="0" w:color="auto"/>
              <w:right w:val="single" w:sz="8" w:space="0" w:color="auto"/>
            </w:tcBorders>
            <w:shd w:val="clear" w:color="auto" w:fill="auto"/>
            <w:vAlign w:val="center"/>
          </w:tcPr>
          <w:p w14:paraId="4DF0293C" w14:textId="77777777" w:rsidR="00B95B4F" w:rsidRDefault="0025529E">
            <w:pPr>
              <w:widowControl/>
              <w:jc w:val="left"/>
              <w:rPr>
                <w:rFonts w:ascii="Times New Roman" w:eastAsia="仿宋" w:hAnsi="Times New Roman" w:cs="Times New Roman"/>
                <w:b/>
                <w:color w:val="000000"/>
                <w:kern w:val="0"/>
                <w:sz w:val="24"/>
                <w:szCs w:val="24"/>
              </w:rPr>
            </w:pPr>
            <w:r>
              <w:rPr>
                <w:rFonts w:ascii="Times New Roman" w:eastAsia="仿宋" w:hAnsi="Times New Roman" w:cs="Times New Roman" w:hint="eastAsia"/>
                <w:b/>
                <w:color w:val="000000"/>
                <w:kern w:val="0"/>
                <w:sz w:val="24"/>
                <w:szCs w:val="24"/>
              </w:rPr>
              <w:t>100</w:t>
            </w:r>
            <w:r>
              <w:rPr>
                <w:rFonts w:ascii="Times New Roman" w:eastAsia="仿宋" w:hAnsi="Times New Roman" w:cs="Times New Roman"/>
                <w:b/>
                <w:color w:val="000000"/>
                <w:kern w:val="0"/>
                <w:sz w:val="24"/>
                <w:szCs w:val="24"/>
              </w:rPr>
              <w:t>分</w:t>
            </w:r>
          </w:p>
        </w:tc>
      </w:tr>
    </w:tbl>
    <w:p w14:paraId="16A845A6" w14:textId="77777777" w:rsidR="00B95B4F" w:rsidRDefault="00B95B4F">
      <w:pPr>
        <w:rPr>
          <w:rFonts w:ascii="Times New Roman" w:hAnsi="Times New Roman" w:cs="Times New Roman"/>
        </w:rPr>
      </w:pPr>
    </w:p>
    <w:p w14:paraId="4168D05F" w14:textId="77777777" w:rsidR="00B95B4F" w:rsidRDefault="00B95B4F">
      <w:pPr>
        <w:spacing w:line="520" w:lineRule="exact"/>
        <w:ind w:right="300" w:firstLineChars="200" w:firstLine="600"/>
        <w:jc w:val="right"/>
        <w:rPr>
          <w:rFonts w:ascii="Times New Roman" w:hAnsi="Times New Roman" w:cs="Times New Roman"/>
          <w:color w:val="000000"/>
          <w:kern w:val="0"/>
          <w:sz w:val="30"/>
          <w:szCs w:val="30"/>
        </w:rPr>
      </w:pPr>
    </w:p>
    <w:sectPr w:rsidR="00B95B4F">
      <w:pgSz w:w="16838" w:h="11906" w:orient="landscape"/>
      <w:pgMar w:top="1474" w:right="1440" w:bottom="147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1BFD4" w14:textId="77777777" w:rsidR="00120B4A" w:rsidRDefault="00120B4A">
      <w:r>
        <w:separator/>
      </w:r>
    </w:p>
  </w:endnote>
  <w:endnote w:type="continuationSeparator" w:id="0">
    <w:p w14:paraId="1D411F37" w14:textId="77777777" w:rsidR="00120B4A" w:rsidRDefault="0012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08"/>
    </w:sdtPr>
    <w:sdtEndPr/>
    <w:sdtContent>
      <w:p w14:paraId="7FE3E3FE" w14:textId="77777777" w:rsidR="00B95B4F" w:rsidRDefault="0025529E">
        <w:pPr>
          <w:pStyle w:val="a5"/>
          <w:jc w:val="center"/>
        </w:pPr>
        <w:r>
          <w:fldChar w:fldCharType="begin"/>
        </w:r>
        <w:r>
          <w:instrText xml:space="preserve"> PAGE   \* MERGEFORMAT </w:instrText>
        </w:r>
        <w:r>
          <w:fldChar w:fldCharType="separate"/>
        </w:r>
        <w:r w:rsidR="00FE2620" w:rsidRPr="00FE2620">
          <w:rPr>
            <w:noProof/>
            <w:lang w:val="zh-CN"/>
          </w:rPr>
          <w:t>3</w:t>
        </w:r>
        <w:r>
          <w:rPr>
            <w:lang w:val="zh-CN"/>
          </w:rPr>
          <w:fldChar w:fldCharType="end"/>
        </w:r>
      </w:p>
    </w:sdtContent>
  </w:sdt>
  <w:p w14:paraId="6475792C" w14:textId="77777777" w:rsidR="00B95B4F" w:rsidRDefault="00B95B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8236D" w14:textId="77777777" w:rsidR="00120B4A" w:rsidRDefault="00120B4A">
      <w:r>
        <w:separator/>
      </w:r>
    </w:p>
  </w:footnote>
  <w:footnote w:type="continuationSeparator" w:id="0">
    <w:p w14:paraId="66828FFD" w14:textId="77777777" w:rsidR="00120B4A" w:rsidRDefault="00120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WEzNWZjZGI2NzhhNjljODdhMTAyODg3MmU4MTkifQ=="/>
  </w:docVars>
  <w:rsids>
    <w:rsidRoot w:val="001A3475"/>
    <w:rsid w:val="0000383C"/>
    <w:rsid w:val="000245F5"/>
    <w:rsid w:val="0004182B"/>
    <w:rsid w:val="0004344F"/>
    <w:rsid w:val="00045084"/>
    <w:rsid w:val="000575DC"/>
    <w:rsid w:val="0006629B"/>
    <w:rsid w:val="0007318B"/>
    <w:rsid w:val="000775A7"/>
    <w:rsid w:val="000874FF"/>
    <w:rsid w:val="000A03C1"/>
    <w:rsid w:val="000B1E93"/>
    <w:rsid w:val="000D0CC4"/>
    <w:rsid w:val="000D267B"/>
    <w:rsid w:val="000D70B9"/>
    <w:rsid w:val="000D7878"/>
    <w:rsid w:val="000D7F42"/>
    <w:rsid w:val="000E01FE"/>
    <w:rsid w:val="000E24C4"/>
    <w:rsid w:val="000F1A92"/>
    <w:rsid w:val="001065B6"/>
    <w:rsid w:val="00116F73"/>
    <w:rsid w:val="00120B4A"/>
    <w:rsid w:val="0013001B"/>
    <w:rsid w:val="001303D1"/>
    <w:rsid w:val="00133121"/>
    <w:rsid w:val="00136A23"/>
    <w:rsid w:val="001420EF"/>
    <w:rsid w:val="00142BCD"/>
    <w:rsid w:val="00146568"/>
    <w:rsid w:val="00146CB3"/>
    <w:rsid w:val="00147C9F"/>
    <w:rsid w:val="001552CC"/>
    <w:rsid w:val="00155DB4"/>
    <w:rsid w:val="001A2B1C"/>
    <w:rsid w:val="001A3475"/>
    <w:rsid w:val="001A4CBD"/>
    <w:rsid w:val="001B5064"/>
    <w:rsid w:val="001B6300"/>
    <w:rsid w:val="001B776A"/>
    <w:rsid w:val="001C790E"/>
    <w:rsid w:val="001D17ED"/>
    <w:rsid w:val="001D519F"/>
    <w:rsid w:val="001D6738"/>
    <w:rsid w:val="001E283A"/>
    <w:rsid w:val="001E6FE8"/>
    <w:rsid w:val="001E7688"/>
    <w:rsid w:val="001E7901"/>
    <w:rsid w:val="0020162A"/>
    <w:rsid w:val="00204ABB"/>
    <w:rsid w:val="00204B33"/>
    <w:rsid w:val="00214749"/>
    <w:rsid w:val="002365EA"/>
    <w:rsid w:val="0025076E"/>
    <w:rsid w:val="0025529E"/>
    <w:rsid w:val="0025551D"/>
    <w:rsid w:val="00262DBE"/>
    <w:rsid w:val="0026555C"/>
    <w:rsid w:val="00271B20"/>
    <w:rsid w:val="00274E1B"/>
    <w:rsid w:val="00282DD6"/>
    <w:rsid w:val="0028698E"/>
    <w:rsid w:val="00297E0F"/>
    <w:rsid w:val="002A13A2"/>
    <w:rsid w:val="002B720B"/>
    <w:rsid w:val="002C0785"/>
    <w:rsid w:val="002C1A4C"/>
    <w:rsid w:val="002C4D2F"/>
    <w:rsid w:val="002D3457"/>
    <w:rsid w:val="002E7A2C"/>
    <w:rsid w:val="002F5990"/>
    <w:rsid w:val="00306469"/>
    <w:rsid w:val="00320245"/>
    <w:rsid w:val="0032351A"/>
    <w:rsid w:val="00337EA9"/>
    <w:rsid w:val="00347BA4"/>
    <w:rsid w:val="003510B9"/>
    <w:rsid w:val="00357152"/>
    <w:rsid w:val="00357456"/>
    <w:rsid w:val="003666C3"/>
    <w:rsid w:val="003667C8"/>
    <w:rsid w:val="00375C32"/>
    <w:rsid w:val="0039479D"/>
    <w:rsid w:val="003A7442"/>
    <w:rsid w:val="003B5D0C"/>
    <w:rsid w:val="003B68E0"/>
    <w:rsid w:val="003C15F4"/>
    <w:rsid w:val="003C2AAE"/>
    <w:rsid w:val="003C3EE8"/>
    <w:rsid w:val="003C4EFC"/>
    <w:rsid w:val="003D3BF9"/>
    <w:rsid w:val="003D68AF"/>
    <w:rsid w:val="003E3B09"/>
    <w:rsid w:val="004040D6"/>
    <w:rsid w:val="00411AC8"/>
    <w:rsid w:val="004213FB"/>
    <w:rsid w:val="00432A68"/>
    <w:rsid w:val="00434BD6"/>
    <w:rsid w:val="004353FB"/>
    <w:rsid w:val="00436B6A"/>
    <w:rsid w:val="0044288E"/>
    <w:rsid w:val="004430A5"/>
    <w:rsid w:val="0045375F"/>
    <w:rsid w:val="0046119F"/>
    <w:rsid w:val="00461F1C"/>
    <w:rsid w:val="00463911"/>
    <w:rsid w:val="0046703B"/>
    <w:rsid w:val="004823E7"/>
    <w:rsid w:val="00482A53"/>
    <w:rsid w:val="004B3FDC"/>
    <w:rsid w:val="004D20CD"/>
    <w:rsid w:val="004E35F3"/>
    <w:rsid w:val="004E56E4"/>
    <w:rsid w:val="00514D76"/>
    <w:rsid w:val="00533B8D"/>
    <w:rsid w:val="0053413E"/>
    <w:rsid w:val="0054098A"/>
    <w:rsid w:val="0054409C"/>
    <w:rsid w:val="005546EE"/>
    <w:rsid w:val="0055560A"/>
    <w:rsid w:val="0055679E"/>
    <w:rsid w:val="005633C3"/>
    <w:rsid w:val="00564CFD"/>
    <w:rsid w:val="00567C0A"/>
    <w:rsid w:val="005A4AFB"/>
    <w:rsid w:val="005B5BD8"/>
    <w:rsid w:val="005D2494"/>
    <w:rsid w:val="005E4CB5"/>
    <w:rsid w:val="006027AE"/>
    <w:rsid w:val="00606B7D"/>
    <w:rsid w:val="00607098"/>
    <w:rsid w:val="00610719"/>
    <w:rsid w:val="00610F18"/>
    <w:rsid w:val="00627661"/>
    <w:rsid w:val="00645D8A"/>
    <w:rsid w:val="00665A30"/>
    <w:rsid w:val="0067013F"/>
    <w:rsid w:val="00672D13"/>
    <w:rsid w:val="0067543D"/>
    <w:rsid w:val="006802E1"/>
    <w:rsid w:val="00684CEF"/>
    <w:rsid w:val="006971F2"/>
    <w:rsid w:val="00697659"/>
    <w:rsid w:val="006B07D2"/>
    <w:rsid w:val="006B3CEE"/>
    <w:rsid w:val="006B5DFA"/>
    <w:rsid w:val="006B76DB"/>
    <w:rsid w:val="006D1BA1"/>
    <w:rsid w:val="006F045A"/>
    <w:rsid w:val="00702B5C"/>
    <w:rsid w:val="007079B8"/>
    <w:rsid w:val="00710104"/>
    <w:rsid w:val="007329EF"/>
    <w:rsid w:val="00741A74"/>
    <w:rsid w:val="00766419"/>
    <w:rsid w:val="00767864"/>
    <w:rsid w:val="0079377D"/>
    <w:rsid w:val="007A055A"/>
    <w:rsid w:val="007C2D77"/>
    <w:rsid w:val="007C33D5"/>
    <w:rsid w:val="007C44BE"/>
    <w:rsid w:val="007D0421"/>
    <w:rsid w:val="007D43AE"/>
    <w:rsid w:val="007E54EE"/>
    <w:rsid w:val="007F0398"/>
    <w:rsid w:val="007F3DC6"/>
    <w:rsid w:val="0081278A"/>
    <w:rsid w:val="00817189"/>
    <w:rsid w:val="008236E5"/>
    <w:rsid w:val="0084661E"/>
    <w:rsid w:val="00852037"/>
    <w:rsid w:val="008576FF"/>
    <w:rsid w:val="00860FD8"/>
    <w:rsid w:val="008613CB"/>
    <w:rsid w:val="00862F9B"/>
    <w:rsid w:val="00867C1C"/>
    <w:rsid w:val="0087094D"/>
    <w:rsid w:val="0089496E"/>
    <w:rsid w:val="008951A5"/>
    <w:rsid w:val="008B3FF5"/>
    <w:rsid w:val="008C0461"/>
    <w:rsid w:val="008C0D73"/>
    <w:rsid w:val="008C7A3B"/>
    <w:rsid w:val="008D1C0A"/>
    <w:rsid w:val="008E2D17"/>
    <w:rsid w:val="008E45AA"/>
    <w:rsid w:val="008F0CCB"/>
    <w:rsid w:val="00905E15"/>
    <w:rsid w:val="00942958"/>
    <w:rsid w:val="00946C9B"/>
    <w:rsid w:val="0096035E"/>
    <w:rsid w:val="00987C78"/>
    <w:rsid w:val="00993E38"/>
    <w:rsid w:val="009C0B1E"/>
    <w:rsid w:val="009C0D2F"/>
    <w:rsid w:val="009C1655"/>
    <w:rsid w:val="009E2B01"/>
    <w:rsid w:val="009F1B1B"/>
    <w:rsid w:val="00A05FB2"/>
    <w:rsid w:val="00A134D5"/>
    <w:rsid w:val="00A1357F"/>
    <w:rsid w:val="00A13C41"/>
    <w:rsid w:val="00A16A7F"/>
    <w:rsid w:val="00A1793E"/>
    <w:rsid w:val="00A21C8F"/>
    <w:rsid w:val="00A41166"/>
    <w:rsid w:val="00A4626C"/>
    <w:rsid w:val="00A537E1"/>
    <w:rsid w:val="00A66122"/>
    <w:rsid w:val="00A7351B"/>
    <w:rsid w:val="00A73683"/>
    <w:rsid w:val="00A8439A"/>
    <w:rsid w:val="00AA0AE7"/>
    <w:rsid w:val="00AB0EDB"/>
    <w:rsid w:val="00AC3650"/>
    <w:rsid w:val="00AD3648"/>
    <w:rsid w:val="00B12027"/>
    <w:rsid w:val="00B20CAD"/>
    <w:rsid w:val="00B23A40"/>
    <w:rsid w:val="00B27D21"/>
    <w:rsid w:val="00B33718"/>
    <w:rsid w:val="00B40079"/>
    <w:rsid w:val="00B63180"/>
    <w:rsid w:val="00B751B5"/>
    <w:rsid w:val="00B75C37"/>
    <w:rsid w:val="00B91FEB"/>
    <w:rsid w:val="00B95B4F"/>
    <w:rsid w:val="00BA4BF3"/>
    <w:rsid w:val="00BB226E"/>
    <w:rsid w:val="00BD5775"/>
    <w:rsid w:val="00BE629D"/>
    <w:rsid w:val="00C37B6B"/>
    <w:rsid w:val="00C41F14"/>
    <w:rsid w:val="00C53D2D"/>
    <w:rsid w:val="00C57380"/>
    <w:rsid w:val="00C60B1A"/>
    <w:rsid w:val="00C66C83"/>
    <w:rsid w:val="00C66F8B"/>
    <w:rsid w:val="00C91976"/>
    <w:rsid w:val="00C92287"/>
    <w:rsid w:val="00CB5F8F"/>
    <w:rsid w:val="00CC0628"/>
    <w:rsid w:val="00CC1E02"/>
    <w:rsid w:val="00CC31A0"/>
    <w:rsid w:val="00CD0F1C"/>
    <w:rsid w:val="00CF0BF0"/>
    <w:rsid w:val="00CF6C99"/>
    <w:rsid w:val="00D10F26"/>
    <w:rsid w:val="00D1668E"/>
    <w:rsid w:val="00D430C7"/>
    <w:rsid w:val="00D50BCB"/>
    <w:rsid w:val="00D55539"/>
    <w:rsid w:val="00D55A74"/>
    <w:rsid w:val="00D75D8E"/>
    <w:rsid w:val="00D90AAC"/>
    <w:rsid w:val="00D90B76"/>
    <w:rsid w:val="00D9204A"/>
    <w:rsid w:val="00D9375F"/>
    <w:rsid w:val="00D93B5C"/>
    <w:rsid w:val="00DA1F8A"/>
    <w:rsid w:val="00DC0DCC"/>
    <w:rsid w:val="00DD376B"/>
    <w:rsid w:val="00DE7FBF"/>
    <w:rsid w:val="00E0273D"/>
    <w:rsid w:val="00E10CA2"/>
    <w:rsid w:val="00E14AF0"/>
    <w:rsid w:val="00E24B85"/>
    <w:rsid w:val="00E27772"/>
    <w:rsid w:val="00E35E3A"/>
    <w:rsid w:val="00E45F4E"/>
    <w:rsid w:val="00E57703"/>
    <w:rsid w:val="00E61194"/>
    <w:rsid w:val="00E613D0"/>
    <w:rsid w:val="00E66C6F"/>
    <w:rsid w:val="00E67F66"/>
    <w:rsid w:val="00E74DE2"/>
    <w:rsid w:val="00ED64FA"/>
    <w:rsid w:val="00EE732A"/>
    <w:rsid w:val="00EF00C0"/>
    <w:rsid w:val="00F24E4C"/>
    <w:rsid w:val="00F42AED"/>
    <w:rsid w:val="00F50E4F"/>
    <w:rsid w:val="00F649E8"/>
    <w:rsid w:val="00F72BBA"/>
    <w:rsid w:val="00F81893"/>
    <w:rsid w:val="00F835DD"/>
    <w:rsid w:val="00F90D90"/>
    <w:rsid w:val="00F95B23"/>
    <w:rsid w:val="00FA7D95"/>
    <w:rsid w:val="00FB4C20"/>
    <w:rsid w:val="00FC1595"/>
    <w:rsid w:val="00FC2F93"/>
    <w:rsid w:val="00FD0B86"/>
    <w:rsid w:val="00FD2FF6"/>
    <w:rsid w:val="00FD41C8"/>
    <w:rsid w:val="00FD65E8"/>
    <w:rsid w:val="00FE2620"/>
    <w:rsid w:val="00FF6A61"/>
    <w:rsid w:val="01416584"/>
    <w:rsid w:val="03B46C2F"/>
    <w:rsid w:val="068F128E"/>
    <w:rsid w:val="08607386"/>
    <w:rsid w:val="08801D70"/>
    <w:rsid w:val="0D5D4820"/>
    <w:rsid w:val="0E10622A"/>
    <w:rsid w:val="0F930AB4"/>
    <w:rsid w:val="1004749A"/>
    <w:rsid w:val="100827DD"/>
    <w:rsid w:val="158E028D"/>
    <w:rsid w:val="1E294022"/>
    <w:rsid w:val="20543579"/>
    <w:rsid w:val="225418B2"/>
    <w:rsid w:val="23161BBD"/>
    <w:rsid w:val="23D2341D"/>
    <w:rsid w:val="24487E7E"/>
    <w:rsid w:val="26E91ED0"/>
    <w:rsid w:val="2838132E"/>
    <w:rsid w:val="28732D14"/>
    <w:rsid w:val="2E277E7A"/>
    <w:rsid w:val="2E693297"/>
    <w:rsid w:val="2EEA4CFC"/>
    <w:rsid w:val="31984D21"/>
    <w:rsid w:val="3AEF3488"/>
    <w:rsid w:val="3D69400B"/>
    <w:rsid w:val="404E3138"/>
    <w:rsid w:val="4141274F"/>
    <w:rsid w:val="48A44149"/>
    <w:rsid w:val="49032219"/>
    <w:rsid w:val="4C3415CA"/>
    <w:rsid w:val="54B65763"/>
    <w:rsid w:val="59E10FC9"/>
    <w:rsid w:val="5F893C41"/>
    <w:rsid w:val="614B5652"/>
    <w:rsid w:val="66013543"/>
    <w:rsid w:val="68B40185"/>
    <w:rsid w:val="6C245C14"/>
    <w:rsid w:val="6D5F3DEC"/>
    <w:rsid w:val="6DD12D5A"/>
    <w:rsid w:val="6E0E3C8F"/>
    <w:rsid w:val="72210807"/>
    <w:rsid w:val="75535926"/>
    <w:rsid w:val="7833495F"/>
    <w:rsid w:val="7AAC6D0A"/>
    <w:rsid w:val="7B8051F7"/>
    <w:rsid w:val="7FF86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pPr>
      <w:spacing w:line="500" w:lineRule="exact"/>
    </w:pPr>
    <w:rPr>
      <w:rFonts w:ascii="Calibri" w:eastAsia="楷体_GB2312" w:hAnsi="Calibri"/>
      <w:kern w:val="0"/>
      <w:sz w:val="30"/>
      <w:szCs w:val="30"/>
    </w:rPr>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99"/>
    <w:qFormat/>
    <w:pPr>
      <w:ind w:firstLineChars="200" w:firstLine="420"/>
    </w:pPr>
    <w:rPr>
      <w:rFonts w:ascii="Calibri" w:eastAsia="宋体" w:hAnsi="Calibri" w:cs="Times New Roman"/>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pPr>
      <w:spacing w:line="500" w:lineRule="exact"/>
    </w:pPr>
    <w:rPr>
      <w:rFonts w:ascii="Calibri" w:eastAsia="楷体_GB2312" w:hAnsi="Calibri"/>
      <w:kern w:val="0"/>
      <w:sz w:val="30"/>
      <w:szCs w:val="30"/>
    </w:rPr>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99"/>
    <w:qFormat/>
    <w:pPr>
      <w:ind w:firstLineChars="200" w:firstLine="420"/>
    </w:pPr>
    <w:rPr>
      <w:rFonts w:ascii="Calibri" w:eastAsia="宋体" w:hAnsi="Calibri" w:cs="Times New Roman"/>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4E20-4254-47AA-93DF-082B69103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682</Words>
  <Characters>3893</Characters>
  <Application>Microsoft Office Word</Application>
  <DocSecurity>0</DocSecurity>
  <Lines>32</Lines>
  <Paragraphs>9</Paragraphs>
  <ScaleCrop>false</ScaleCrop>
  <Company>HP Inc.</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dc:creator>
  <cp:lastModifiedBy>Windows 用户</cp:lastModifiedBy>
  <cp:revision>12</cp:revision>
  <dcterms:created xsi:type="dcterms:W3CDTF">2022-12-12T02:36:00Z</dcterms:created>
  <dcterms:modified xsi:type="dcterms:W3CDTF">2025-10-09T09:54:00Z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72560F6CF6764ED8A7785F2421C8F8E8_13</vt:lpwstr>
  </property>
  <property fmtid="{D5CDD505-2E9C-101B-9397-08002B2CF9AE}" pid="4" name="KSOTemplateDocerSaveRecord">
    <vt:lpwstr>eyJoZGlkIjoiZTEwZWEzNWZjZGI2NzhhNjljODdhMTAyODg3MmU4MTkiLCJ1c2VySWQiOiI2NDg4MzUzMjQifQ==</vt:lpwstr>
  </property>
</Properties>
</file>