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南京市农业农村经济发展研究中心</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开展全市农业农村经济社会发展研究和市委、市政府相关重点课题研究工作；负责全市农村经济信息系统的规划、建设和维护，以及农村综合经济信息的采集和利用；承担南京区域经济农口协作会日常事务，编辑《南京区域农村经济》；负责全市农村调研联系点的活动，综合分析郊区经济动态；参与做好“三农”工作调查、动态监测和发展规划调整；完成市农业农村局交办的其他任务。</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根据单位职责分工，本单位内设机构包括办公室、政策调研科、编辑部。</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今年以来，市农研中心在局党组的正确领导下，紧扣市委市政府及农业农村局中心工作，强化担当作为，认真履职尽责，较好地完成了既定目标任务。</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全年编辑发行《南京区域农村经济》杂志6期，刊登文章156篇、45.7万字；完成调研报告11个，其中全市性专题调研2个、外市考察调研1个、约稿调研1个、典型调研7个；起草提供市委农村工作会议分管领导讲话素材，跟踪服务局对外委托课题1个；报送政务信息3篇，刊发农业招商项目信息3条；分两批帮助协调解决奶业集团“事改企”退休人员2628人次的提租补贴、困难补助等费用2888万元。</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聚焦精准宣传，服务中心工作。发挥《南京区域农村经济》杂志的宣传服务功能，紧贴市委市政府重点工作及全局中心工作，突出精细化、精准化宣传。主推“农村工作会议”“乡村振兴”“头雁种苗”“特色田园乡村”等专题，传达市委农村工作会议精神，精准宣传全市在特色产业链式发展、农业新质生产力培育、现代种业提质增效、美丽经济融合创新、农村民生改善保障等工作中的特色亮点，并利用杂志封面封底分期对国家级农业产业化重点龙头企业南京金色庄园、江苏省级特色田园乡村溧水区石湫街道葫芦坝、江苏格冠农林科技集团、高淳区特色田园乡村建设等进行图文并茂的宣传。《南京区域农村经济》共刊发局本级各类调研文章52篇、各涉农区调研文章41篇，其中编发全市农村优秀青年创业典型8篇、集中宣传省级特色田园乡村11家。结合省厅组织“在推进农业现代化上走在前做示范”系列文稿征集工作，按小切口可推广的要求撰写推荐文章3篇，其中2篇已刊发。落实领导批示要求，组织动员六合区冶山街道等踊跃参加2024年“庆丰收画振兴”中国农民画作品征集活动，呈现我市乡村振兴新风貌。</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聚力调查研究，积极建言献策。认真思考全市“三农”工作中存在的热点难点问题，制定年度调研工作方案，围绕“新业态、新模式、新技术、新农人”等多个方面，明确全体人员认领一个调研课题，形成全员参与调研的良好氛围。完成《推动农村三产融合用地政策有效落地的对策建议》《溧水区华城蔬菜专业合作社典型案例》《江北新区曹佩刚家庭农场典型案例》等调研文章11篇，其中《金色庄园“合伙人创业计划”探索“新农人”培养新模式》一文被《江苏农村经济》采纳刊发、《南京市金融服务乡村振兴的回顾与展望》入选《南京市社会治理与发展蓝皮书（2024-2025）》、《以“科技+资本”组合拳探索乡村全面振兴新路子》考察报告在市《调研参考》刊发、《后阳光玫瑰时代葡萄产业高质量发展研究》一文在市政协内参《建言》上刊用。申报致公党江苏省委专项调研课题，完成关于《大力支持“新农人”队伍发展壮大》的课题申报书设计报送。配合省厅做好农业农村部农村经济研究中心来宁专题调研的服务对接工作，安排人员参加涉农街镇推动乡村振兴战略实绩评价调研工作。</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开展多向交流，促进深度协作。加强经济区各成员单位的沟通联系，完善杂志通讯员工作网络，帮助宣传推介合肥都市特色农业、池州绿色食品高质量发展等工作亮点，刊发外市各类文章63篇。积极对接合肥市委农办，协调考察学习相关事宜，撰写提交《学习合肥先进经验建设都市现代农业强市》考察报告。对接江宁区完成合肥市高新区农业农村局来宁考察事宜，帮助搜集提供相关调研素材。对去年底召开的乡村振兴专家咨询委员会专题座谈会内容进行整理摘编，拟定乡村振兴专家咨询委员会全年专题研讨方案和专题座谈工作方案。全力做好农业招商、项目收集、信息报送、跟踪服务等各项工作，紧盯传统古典文化体验项目和农旅融合发展两个项目，做好项目落地各项跟踪服务对接工作。</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主动化解矛盾，落实维稳任务。积极介入改制企业遗留问题处置，通过听取信访诉求、宣讲改制政策、妥善处理信访及派单、应对化解网络舆情、帮助企业排查内部矛盾隐患等方式，在积极深入基层一线、对接网络监管部门、制定信访维稳应急预案的过程中，逐步化解改制企业遗留问题积案矛盾。主动协调市人社、财政等职能部门，督促做好奶业集团“事改企”退休人员全年提租补贴及困难补助等费用的发放，帮助改制企业及职工解决实际困难。协调处置信访积案及网络舆情3起，妥善处理信访及12345派单12起。</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南京市农业农村经济发展研究中心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南京市农业农村经济发展研究中心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318.92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35.61</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188.14</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93.80</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318.92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317.56</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5.47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6.83</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324.39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324.39</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南京市农业农村经济发展研究中心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318.92</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318.92</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35.61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35.61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35.61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35.61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2.94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2.94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21.78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21.78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10.89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10.89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189.06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189.06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农业农村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189.06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189.06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2130104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174.12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174.12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2130112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行业业务管理</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14.94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14.94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94.25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94.25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94.25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94.25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27.37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27.37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66.88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66.88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南京市农业农村经济发展研究中心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317.56</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302.62</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14.94</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35.61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35.61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35.61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35.61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2.95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2.95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21.78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21.78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10.89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10.89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农林水支出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188.14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173.20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14.94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农业农村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188.14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173.20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14.94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2130104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173.20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173.20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2130112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行业业务管理</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14.94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14.94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93.80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93.80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93.80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93.80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26.83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26.83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66.98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66.98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南京市农业农村经济发展研究中心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318.92</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35.61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35.61</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188.14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188.14</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93.80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93.80</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318.92</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317.56</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317.56</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5.47</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6.83</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6.83</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5.47</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324.39</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324.39</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324.39</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南京市农业农村经济发展研究中心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317.56</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302.62</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14.94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35.61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35.61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35.61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35.61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2.95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2.95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21.78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21.78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10.89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10.89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188.14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173.20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14.94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农业农村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188.14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173.20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14.94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2130104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173.20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173.20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2130112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行业业务管理</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14.94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14.94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93.80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93.80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93.80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93.80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26.83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26.83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66.98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66.98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南京市农业农村经济发展研究中心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302.62</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289.30</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13.31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277.41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277.41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38.08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38.08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110.15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110.15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44.03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44.03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11.14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11.14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21.78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21.78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10.89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10.89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10.62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10.62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0.27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0.27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26.83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26.83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3.63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3.63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13.31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13.31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0.98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0.98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0.07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0.07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1.30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1.30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1.35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1.35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0.90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0.90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0.28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0.28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0.18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0.18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0.01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3.42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3.42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2.94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2.94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1.63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0.26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0.26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11.89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11.89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8.91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8.91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2.98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2.98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南京市农业农村经济发展研究中心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317.56</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302.62</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14.94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35.61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35.61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35.61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35.61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2.95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2.95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21.78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21.78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10.89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10.89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188.14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173.20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14.94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农业农村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188.14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173.20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14.94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2130104</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173.20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173.20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2130112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行业业务管理</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14.94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14.94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93.80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93.80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93.80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93.80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26.83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26.83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66.98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66.98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南京市农业农村经济发展研究中心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302.62</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289.30</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13.31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277.41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277.41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38.08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38.08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110.15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110.15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44.03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44.03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11.14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11.14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21.78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21.78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10.89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10.89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10.62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10.62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0.27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0.27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26.83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26.83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3.63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3.63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13.31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13.31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0.98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0.98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0.07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0.07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1.30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1.30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1.35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1.35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0.90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0.90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0.28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0.28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0.18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0.18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0.01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0.01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3.42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3.42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2.94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2.94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1.63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0.26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0.26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11.89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11.89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8.91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8.91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2.98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2.98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南京市农业农村经济发展研究中心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3.04</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2.24</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2.24</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0.80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0.80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0.80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1.64</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1.63</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1.63</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0.01</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0.18</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3.00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22.00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南京市农业农村经济发展研究中心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lang w:val="en-US"/>
        </w:rPr>
        <w:t/>
      </w:r>
    </w:p>
    <w:p w14:paraId="3B1CEB3B">
      <w:pPr>
        <w:spacing w:before="25"/>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无政府性基金预算收入支出决算，故本表为空。</w:t>
      </w:r>
      <w:r>
        <w:rPr>
          <w:rFonts w:ascii="仿宋" w:eastAsia="仿宋" w:hAnsi="仿宋" w:cs="仿宋"/>
          <w:u w:color="auto"/>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南京市农业农村经济发展研究中心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南京市农业农村经济发展研究中心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lang w:val="en-US"/>
        </w:rPr>
        <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u/>
        </w:rPr>
        <w:t>故本表为空。</w:t>
      </w:r>
      <w:r>
        <w:rPr>
          <w:rFonts w:ascii="仿宋" w:eastAsia="仿宋" w:hAnsi="仿宋" w:cs="仿宋"/>
          <w:u w:color="auto"/>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南京市农业农村经济发展研究中心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11.60</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11.60</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2024年度收入、支出决算总计324.39万元。与上年相比，收、支总计各减少19.65万元，减少5.71%。其中：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（一）收入决算总计324.39万元。包括：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1.本年收入决算合计318.92万元。与上年相比，减少22.16万元，减少6.5%，变动原因：一是根据财政统一要求压减部分项目经费及公用经费；二是社会保障和就业支出相较上年度减少。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3.年初结转和结余5.47万元。与上年相比，增加2.51万元，增长84.8%，变动原因：上年度补缴了社会保障支出，导致结转减少。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（二）支出决算总计324.39万元。包括：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1.本年支出决算合计317.56万元。与上年相比，减少21.66万元，减少6.39%，变动原因：一是根据财政统一要求压减部分项目经费及公用经费；二是社会保障和就业支出相较上年度减少。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3.年末结转和结余6.83万元。结转和结余事项：主要为人员代扣代缴经费。与上年相比，增加2.01万元，增长41.7%，变动原因：社会保险等托收经费的代扣代缴。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318.92万元，其中：财政拨款收入318.92万元，占100%；上级补助收入0万元，占0%；财政专户管理教育收费0万元，占0%；事业收入（不含专户管理教育收费）0万元，占0%；经营收入0万元，占0%；附属单位上缴收入0万元，占0%；其他收入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2024年度本年支出决算合计317.56万元，其中：基本支出302.62万元，占95.3%；项目支出14.94万元，占4.7%；上缴上级支出0万元，占0%；经营支出0万元，占0%；对附属单位补助支出0万元，占0%。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2024年度财政拨款收入、支出决算总计324.39万元。与上年相比，收、支总计各减少19.65万元，减少5.71%，变动原因：一是根据财政统一要求压减部分项目经费及公用经费；二是社会保障和就业支出相较上年度减少。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2024年度财政拨款支出决算317.56万元，占本年支出合计的100%。与2024年度财政拨款支出年初预算335.17万元相比，完成年初预算的94.75%。其中：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1.行政事业单位养老支出（款）事业单位离退休（项）。年初预算2.98万元，支出决算2.95万元，完成年初预算的98.99%。决算数与年初预算数的差异原因：退休经费支出微差。</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2.行政事业单位养老支出（款）机关事业单位基本养老保险缴费支出（项）。年初预算20.9万元，支出决算21.78万元，完成年初预算的104.21%。决算数与年初预算数的差异原因：养老保险缴费政策性调增。</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3.行政事业单位养老支出（款）机关事业单位职业年金缴费支出（项）。年初预算10.45万元，支出决算10.89万元，完成年初预算的104.21%。决算数与年初预算数的差异原因：职业年金缴费政策性调增。</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（二）农林水支出（类）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1.农业农村（款）事业运行（项）。年初预算195.47万元，支出决算173.2万元，完成年初预算的88.61%。决算数与年初预算数的差异原因：一、本年度未使用年初预算中的不可预见费；二、进一步压减公用经费支出。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2.农业农村（款）行业业务管理（项）。年初预算17万元，支出决算14.94万元，完成年初预算的87.88%。决算数与年初预算数的差异原因：根据财政统一要求，压减项目支出。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1.住房改革支出（款）住房公积金（项）。年初预算22.99万元，支出决算26.83万元，完成年初预算的116.7%。决算数与年初预算数的差异原因：公积金政策性调增。</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2.住房改革支出（款）提租补贴（项）。年初预算65.38万元，支出决算66.98万元，完成年初预算的102.45%。决算数与年初预算数的差异原因：得租补贴政策性调增。</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2024年度财政拨款基本支出决算302.62万元，其中：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（一）人员经费289.3万元。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主要包括：基本工资、津贴补贴、奖金、绩效工资、机关事业单位基本养老保险缴费、职业年金缴费、职工基本医疗保险缴费、其他社会保障缴费、住房公积金、医疗费、生活补助、其他对个人和家庭的补助。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（二）公用经费13.31万元。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主要包括：办公费、水费、电费、邮电费、差旅费、维修（护）费、会议费、公务接待费、工会经费、福利费、公务用车运行维护费、其他商品和服务支出。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2024年度一般公共预算财政拨款支出决算317.56万元。与上年相比，减少21.66万元，减少6.39%，变动原因：人员经费政策性调整。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2024年度一般公共预算财政拨款基本支出决算302.62万元，其中：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（一）人员经费289.3万元。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主要包括：基本工资、津贴补贴、奖金、绩效工资、机关事业单位基本养老保险缴费、职业年金缴费、职工基本医疗保险缴费、其他社会保障缴费、住房公积金、医疗费、生活补助、其他对个人和家庭的补助。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（二）公用经费13.31万元。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主要包括：办公费、水费、电费、邮电费、差旅费、维修（护）费、会议费、公务接待费、工会经费、福利费、公务用车运行维护费、其他商品和服务支出。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1.64万元（其中：一般公共预算支出1.64万元；政府性基金预算支出0万元；国有资本经营预算支出0万元）。与上年相比，减少0.17万元，变动原因：公务用车购置及支行维护费支出减少。其中，因公出国（境）费支出0万元，占“三公”经费的0%；公务用车购置及运行维护费支出1.63万元，占“三公”经费的99.39%；公务接待费支出0.01万元，占“三公”经费的0.61%。2024年度财政拨款“三公”经费支出预算3.04万元（其中：一般公共预算支出3.04万元；政府性基金预算支出0万元；国有资本经营预算支出0万元）。决算数与预算数的差异原因：进一步落实过紧日子要求，压减经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2.24万元（其中：一般公共预算支出2.24万元；政府性基金预算支出0万元；国有资本经营预算支出0万元），支出决算1.63万元（其中：一般公共预算支出1.63万元；政府性基金预算支出0万元；国有资本经营预算支出0万元），完成调整后预算的72.77%，决算数与预算数的差异原因：进一步落实过紧日子要求，压减经费。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1.63万元。公务用车运行维护费主要用于按规定保留的公务用车的燃料费、维修费、过桥过路费、保险费、安全奖励费用等支出。截至2024年12月31日，使用财政拨款开支的公务用车保有量为1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0.8万元（其中：一般公共预算支出0.8万元；政府性基金预算支出0万元；国有资本经营预算支出0万元），支出决算0.01万元（其中：一般公共预算支出0.01万元；政府性基金预算支出0万元；国有资本经营预算支出0万元），完成调整后预算的1.25%，决算数与预算数的差异原因：进一步落实过紧日子要求，压减经费。其中：国内公务接待支出0.01万元，接待1批次，3人次，开支内容：区县来人盒饭款；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0.8万元（其中：一般公共预算支出0.8万元；政府性基金预算支出0万元；国有资本经营预算支出0万元），支出决算0.18万元（其中：一般公共预算支出0.18万元；政府性基金预算支出0万元；国有资本经营预算支出0万元），完成调整后预算的22.5%，决算数与预算数的差异原因：进一步落实过紧日子要求，压减经费。2024年度全年召开会议1个，参加会议22人次，开支内容：会议场地及餐费等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0.8万元（其中：一般公共预算支出0.8万元；政府性基金预算支出0万元；国有资本经营预算支出0万元），支出决算0万元（其中：一般公共预算支出0万元；政府性基金预算支出0万元；国有资本经营预算支出0万元），完成调整后预算的0%，决算数与预算数的差异原因：本年培训未发生费用。2024年度全年组织培训0个，组织培训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11.6万元，其中：政府采购货物支出0万元、政府采购工程支出0万元、政府采购服务支出11.6万元。政府采购授予中小企业合同金额0万元，占政府采购支出总额的0%，其中：授予小微企业合同金额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1辆，其中：副部(省)级及以上领导用车0辆、主要领导干部用车0辆、机要通信用车0辆、应急保障用车0辆、执法执勤用车0辆、特种专业技术用车0辆、离退休干部用车0辆、其他用车1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本单位共对上年度已实施完成的1个项目开展了绩效自评价，涉及财政性资金合计14.94万元；本单位共开展1项单位整体支出绩效自评价，涉及财政性资金合计317.56万元。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十九、社会保障和就业支出(类)行政事业单位养老支出(款)事业单位离退休(项)</w:t>
      </w:r>
      <w:r>
        <w:rPr>
          <w:b w:val="on"/>
          <w:rFonts w:ascii="仿宋" w:eastAsia="仿宋" w:hAnsi="仿宋" w:cs="仿宋"/>
          <w:u w:color="auto"/>
        </w:rPr>
        <w:t>：</w:t>
      </w:r>
      <w:r>
        <w:rPr>
          <w:rFonts w:hint="eastAsia" w:ascii="仿宋" w:hAnsi="仿宋" w:eastAsia="仿宋" w:cs="仿宋"/>
        </w:rPr>
        <w:t>反映事业单位开支的离退休经费。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二十二、农林水支出(类)农业农村(款)事业运行(项)</w:t>
      </w:r>
      <w:r>
        <w:rPr>
          <w:b w:val="on"/>
          <w:rFonts w:ascii="仿宋" w:eastAsia="仿宋" w:hAnsi="仿宋" w:cs="仿宋"/>
          <w:u w:color="auto"/>
        </w:rPr>
        <w:t>：</w:t>
      </w:r>
      <w:r>
        <w:rPr>
          <w:rFonts w:hint="eastAsia" w:ascii="仿宋" w:hAnsi="仿宋" w:eastAsia="仿宋" w:cs="仿宋"/>
        </w:rPr>
        <w:t>反映用于农业事业单位基本支出，事业单位设施、系统运行与资产维护等方面的支出。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二十三、农林水支出(类)农业农村(款)行业业务管理(项)</w:t>
      </w:r>
      <w:r>
        <w:rPr>
          <w:b w:val="on"/>
          <w:rFonts w:ascii="仿宋" w:eastAsia="仿宋" w:hAnsi="仿宋" w:cs="仿宋"/>
          <w:u w:color="auto"/>
        </w:rPr>
        <w:t>：</w:t>
      </w:r>
      <w:r>
        <w:rPr>
          <w:rFonts w:hint="eastAsia" w:ascii="仿宋" w:hAnsi="仿宋" w:eastAsia="仿宋" w:cs="仿宋"/>
        </w:rPr>
        <w:t>反映用于农业农村政策研究、规划编制、评审评估、绩效评价、监督检查等基本业务管理工作的支出。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南京市农业农村经济发展研究中心</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