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720"/>
        <w:jc w:val="center"/>
        <w:rPr>
          <w:rFonts w:hint="eastAsia" w:ascii="方正小标宋简体" w:hAnsi="FZXBSK--GBK1-0" w:eastAsia="方正小标宋简体" w:cs="宋体"/>
          <w:color w:val="000000"/>
          <w:kern w:val="0"/>
          <w:sz w:val="36"/>
          <w:szCs w:val="36"/>
        </w:rPr>
      </w:pPr>
      <w:r>
        <w:rPr>
          <w:rFonts w:hint="eastAsia" w:ascii="方正小标宋简体" w:hAnsi="FZXBSK--GBK1-0" w:eastAsia="方正小标宋简体" w:cs="宋体"/>
          <w:color w:val="000000"/>
          <w:kern w:val="0"/>
          <w:sz w:val="36"/>
          <w:szCs w:val="36"/>
          <w:lang w:eastAsia="zh-CN"/>
        </w:rPr>
        <w:t>南京市植保植检站部门</w:t>
      </w:r>
      <w:r>
        <w:rPr>
          <w:rFonts w:hint="eastAsia" w:ascii="方正小标宋简体" w:hAnsi="FZXBSK--GBK1-0" w:eastAsia="方正小标宋简体" w:cs="宋体"/>
          <w:color w:val="000000"/>
          <w:kern w:val="0"/>
          <w:sz w:val="36"/>
          <w:szCs w:val="36"/>
        </w:rPr>
        <w:t>整体</w:t>
      </w:r>
      <w:r>
        <w:rPr>
          <w:rFonts w:hint="eastAsia" w:ascii="方正小标宋简体" w:hAnsi="FZXBSK--GBK1-0" w:eastAsia="方正小标宋简体" w:cs="宋体"/>
          <w:color w:val="000000"/>
          <w:kern w:val="0"/>
          <w:sz w:val="36"/>
          <w:szCs w:val="36"/>
          <w:lang w:eastAsia="zh-CN"/>
        </w:rPr>
        <w:t>预算</w:t>
      </w:r>
      <w:r>
        <w:rPr>
          <w:rFonts w:hint="eastAsia" w:ascii="方正小标宋简体" w:hAnsi="FZXBSK--GBK1-0" w:eastAsia="方正小标宋简体" w:cs="宋体"/>
          <w:color w:val="000000"/>
          <w:kern w:val="0"/>
          <w:sz w:val="36"/>
          <w:szCs w:val="36"/>
        </w:rPr>
        <w:t>绩效</w:t>
      </w:r>
      <w:r>
        <w:rPr>
          <w:rFonts w:hint="eastAsia" w:ascii="方正小标宋简体" w:hAnsi="FZXBSK--GBK1-0" w:eastAsia="方正小标宋简体" w:cs="宋体"/>
          <w:color w:val="000000"/>
          <w:kern w:val="0"/>
          <w:sz w:val="36"/>
          <w:szCs w:val="36"/>
          <w:lang w:eastAsia="zh-CN"/>
        </w:rPr>
        <w:t>自</w:t>
      </w:r>
      <w:r>
        <w:rPr>
          <w:rFonts w:hint="eastAsia" w:ascii="方正小标宋简体" w:hAnsi="FZXBSK--GBK1-0" w:eastAsia="方正小标宋简体" w:cs="宋体"/>
          <w:color w:val="000000"/>
          <w:kern w:val="0"/>
          <w:sz w:val="36"/>
          <w:szCs w:val="36"/>
        </w:rPr>
        <w:t>评价报告</w:t>
      </w:r>
    </w:p>
    <w:p>
      <w:pPr>
        <w:widowControl/>
        <w:ind w:firstLine="720"/>
        <w:jc w:val="center"/>
        <w:rPr>
          <w:rFonts w:hint="eastAsia" w:ascii="方正小标宋简体" w:hAnsi="FZXBSK--GBK1-0" w:eastAsia="方正小标宋简体" w:cs="宋体"/>
          <w:color w:val="000000"/>
          <w:kern w:val="0"/>
          <w:sz w:val="36"/>
          <w:szCs w:val="36"/>
          <w:lang w:eastAsia="zh-CN"/>
        </w:rPr>
      </w:pPr>
      <w:r>
        <w:rPr>
          <w:rFonts w:hint="eastAsia" w:ascii="方正小标宋简体" w:hAnsi="FZXBSK--GBK1-0" w:eastAsia="方正小标宋简体" w:cs="宋体"/>
          <w:color w:val="000000"/>
          <w:kern w:val="0"/>
          <w:sz w:val="36"/>
          <w:szCs w:val="36"/>
          <w:lang w:eastAsia="zh-CN"/>
        </w:rPr>
        <w:t>（</w:t>
      </w:r>
      <w:r>
        <w:rPr>
          <w:rFonts w:hint="eastAsia" w:ascii="方正小标宋简体" w:hAnsi="FZXBSK--GBK1-0" w:eastAsia="方正小标宋简体" w:cs="宋体"/>
          <w:color w:val="000000"/>
          <w:kern w:val="0"/>
          <w:sz w:val="36"/>
          <w:szCs w:val="36"/>
          <w:lang w:val="en-US" w:eastAsia="zh-CN"/>
        </w:rPr>
        <w:t>2024年</w:t>
      </w:r>
      <w:r>
        <w:rPr>
          <w:rFonts w:hint="eastAsia" w:ascii="方正小标宋简体" w:hAnsi="FZXBSK--GBK1-0" w:eastAsia="方正小标宋简体" w:cs="宋体"/>
          <w:color w:val="000000"/>
          <w:kern w:val="0"/>
          <w:sz w:val="36"/>
          <w:szCs w:val="36"/>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rPr>
        <w:t>单位基本情况</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楷体" w:hAnsi="楷体" w:eastAsia="楷体" w:cs="楷体"/>
          <w:sz w:val="32"/>
          <w:szCs w:val="32"/>
        </w:rPr>
      </w:pPr>
      <w:r>
        <w:rPr>
          <w:rFonts w:hint="eastAsia" w:ascii="楷体" w:hAnsi="楷体" w:eastAsia="楷体" w:cs="楷体"/>
          <w:color w:val="000000"/>
          <w:kern w:val="0"/>
          <w:sz w:val="32"/>
          <w:szCs w:val="32"/>
        </w:rPr>
        <w:t>（一）单位</w:t>
      </w:r>
      <w:r>
        <w:rPr>
          <w:rFonts w:hint="eastAsia" w:ascii="楷体" w:hAnsi="楷体" w:eastAsia="楷体" w:cs="楷体"/>
          <w:sz w:val="32"/>
          <w:szCs w:val="32"/>
        </w:rPr>
        <w:t>概况</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1.单位性质、主要职能</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rPr>
        <w:t>南京市植保植检站成立于1975年，单位性质为全额拨款事业单位，</w:t>
      </w:r>
      <w:r>
        <w:rPr>
          <w:rFonts w:hint="eastAsia" w:ascii="仿宋" w:hAnsi="仿宋" w:eastAsia="仿宋"/>
          <w:sz w:val="32"/>
          <w:szCs w:val="32"/>
          <w:lang w:eastAsia="zh-CN"/>
        </w:rPr>
        <w:t>主管部门是</w:t>
      </w:r>
      <w:r>
        <w:rPr>
          <w:rFonts w:hint="eastAsia" w:ascii="仿宋" w:hAnsi="仿宋" w:eastAsia="仿宋"/>
          <w:sz w:val="32"/>
          <w:szCs w:val="32"/>
        </w:rPr>
        <w:t>南京市农业</w:t>
      </w:r>
      <w:r>
        <w:rPr>
          <w:rFonts w:hint="eastAsia" w:ascii="仿宋" w:hAnsi="仿宋" w:eastAsia="仿宋"/>
          <w:sz w:val="32"/>
          <w:szCs w:val="32"/>
          <w:lang w:eastAsia="zh-CN"/>
        </w:rPr>
        <w:t>农村局</w:t>
      </w:r>
      <w:r>
        <w:rPr>
          <w:rFonts w:hint="eastAsia" w:ascii="仿宋" w:hAnsi="仿宋" w:eastAsia="仿宋"/>
          <w:sz w:val="32"/>
          <w:szCs w:val="32"/>
        </w:rPr>
        <w:t>，本单位的宗旨和业务范围</w:t>
      </w:r>
      <w:r>
        <w:rPr>
          <w:rFonts w:hint="eastAsia" w:ascii="仿宋" w:hAnsi="仿宋" w:eastAsia="仿宋"/>
          <w:sz w:val="32"/>
          <w:szCs w:val="32"/>
          <w:lang w:eastAsia="zh-CN"/>
        </w:rPr>
        <w:t>包括：</w:t>
      </w:r>
      <w:r>
        <w:rPr>
          <w:rFonts w:hint="eastAsia" w:ascii="仿宋" w:hAnsi="仿宋" w:eastAsia="仿宋"/>
          <w:sz w:val="32"/>
          <w:szCs w:val="32"/>
        </w:rPr>
        <w:t>承担主要农作物及蔬菜和园艺植物病虫草鼠害监测与防治技术指导工作；承担农业植物检疫性有害生物调查、监测预警和防治技术方案研究及示范推广工作；承担农药管理相关技术性工作</w:t>
      </w:r>
      <w:r>
        <w:rPr>
          <w:rFonts w:hint="eastAsia" w:ascii="仿宋" w:hAnsi="仿宋" w:eastAsia="仿宋"/>
          <w:sz w:val="32"/>
          <w:szCs w:val="32"/>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2.人员情况    </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eastAsia="zh-CN"/>
        </w:rPr>
        <w:t>本</w:t>
      </w:r>
      <w:r>
        <w:rPr>
          <w:rFonts w:hint="eastAsia" w:ascii="仿宋" w:hAnsi="仿宋" w:eastAsia="仿宋"/>
          <w:sz w:val="32"/>
          <w:szCs w:val="32"/>
        </w:rPr>
        <w:t>单位编制人数</w:t>
      </w:r>
      <w:r>
        <w:rPr>
          <w:rFonts w:hint="eastAsia" w:ascii="仿宋" w:hAnsi="仿宋" w:eastAsia="仿宋"/>
          <w:sz w:val="32"/>
          <w:szCs w:val="32"/>
          <w:lang w:val="en-US" w:eastAsia="zh-CN"/>
        </w:rPr>
        <w:t>18</w:t>
      </w:r>
      <w:r>
        <w:rPr>
          <w:rFonts w:hint="eastAsia" w:ascii="仿宋" w:hAnsi="仿宋" w:eastAsia="仿宋"/>
          <w:sz w:val="32"/>
          <w:szCs w:val="32"/>
        </w:rPr>
        <w:t>人，截止20</w:t>
      </w:r>
      <w:r>
        <w:rPr>
          <w:rFonts w:hint="eastAsia" w:ascii="仿宋" w:hAnsi="仿宋" w:eastAsia="仿宋"/>
          <w:sz w:val="32"/>
          <w:szCs w:val="32"/>
          <w:lang w:val="en-US" w:eastAsia="zh-CN"/>
        </w:rPr>
        <w:t>24</w:t>
      </w:r>
      <w:r>
        <w:rPr>
          <w:rFonts w:hint="eastAsia" w:ascii="仿宋" w:hAnsi="仿宋" w:eastAsia="仿宋"/>
          <w:sz w:val="32"/>
          <w:szCs w:val="32"/>
        </w:rPr>
        <w:t>年12月31日实有在职人员</w:t>
      </w:r>
      <w:r>
        <w:rPr>
          <w:rFonts w:hint="eastAsia" w:ascii="仿宋" w:hAnsi="仿宋" w:eastAsia="仿宋"/>
          <w:sz w:val="32"/>
          <w:szCs w:val="32"/>
          <w:lang w:val="en-US" w:eastAsia="zh-CN"/>
        </w:rPr>
        <w:t>13</w:t>
      </w:r>
      <w:r>
        <w:rPr>
          <w:rFonts w:hint="eastAsia" w:ascii="仿宋" w:hAnsi="仿宋" w:eastAsia="仿宋"/>
          <w:sz w:val="32"/>
          <w:szCs w:val="32"/>
        </w:rPr>
        <w:t>人，退休人员</w:t>
      </w:r>
      <w:r>
        <w:rPr>
          <w:rFonts w:hint="eastAsia" w:ascii="仿宋" w:hAnsi="仿宋" w:eastAsia="仿宋"/>
          <w:sz w:val="32"/>
          <w:szCs w:val="32"/>
          <w:lang w:val="en-US" w:eastAsia="zh-CN"/>
        </w:rPr>
        <w:t>3</w:t>
      </w:r>
      <w:r>
        <w:rPr>
          <w:rFonts w:hint="eastAsia" w:ascii="仿宋" w:hAnsi="仿宋" w:eastAsia="仿宋"/>
          <w:sz w:val="32"/>
          <w:szCs w:val="32"/>
        </w:rPr>
        <w:t>人。</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3.资产情况</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截止2024年12月31日，单位资产总计73.3万元，其中流动资产52.46万元，占资产总额72%，固定资产净值20.84万元，占资产总额28%。本单位车辆编制数2辆，实有公务车2辆。</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4.重点工作目标任务</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预防为主，夯实重大病虫害监测预报；多管齐下，强化重大病虫害防控能力；集成示范，着力推进农作物病虫害绿色防控；依法履职，扎实开展植物检疫等相关工作。      </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lang w:val="en-US" w:eastAsia="zh-CN"/>
        </w:rPr>
        <w:t>（二）</w:t>
      </w:r>
      <w:r>
        <w:rPr>
          <w:rFonts w:hint="eastAsia" w:ascii="楷体" w:hAnsi="楷体" w:eastAsia="楷体" w:cs="楷体"/>
          <w:color w:val="000000"/>
          <w:kern w:val="0"/>
          <w:sz w:val="32"/>
          <w:szCs w:val="32"/>
        </w:rPr>
        <w:t>单位</w:t>
      </w:r>
      <w:r>
        <w:rPr>
          <w:rFonts w:hint="eastAsia" w:ascii="楷体" w:hAnsi="楷体" w:eastAsia="楷体" w:cs="楷体"/>
          <w:color w:val="000000"/>
          <w:kern w:val="0"/>
          <w:sz w:val="32"/>
          <w:szCs w:val="32"/>
          <w:lang w:val="en-US" w:eastAsia="zh-CN"/>
        </w:rPr>
        <w:t>收支</w:t>
      </w:r>
      <w:r>
        <w:rPr>
          <w:rFonts w:hint="eastAsia" w:ascii="楷体" w:hAnsi="楷体" w:eastAsia="楷体" w:cs="楷体"/>
          <w:color w:val="000000"/>
          <w:kern w:val="0"/>
          <w:sz w:val="32"/>
          <w:szCs w:val="32"/>
        </w:rPr>
        <w:t>情况</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本单位经费来源于市财政全额拨款，2024年收入年初预算数501.49万元，调整预算数535.01万元，决算489.31万元，其中一般公共预算财政拨款489.25万元，其他收入0.06万元。</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2024年基本支出年初预算数425.89万元，调整预算数474.78万元，决算数428.97万元。2024年本单位严控各项经费开支，基本支出预算执行率90.35%；2024年项目支出年初预算数75.6万元，根据财政通知压减经费15.37万元，调整预算数60.23万元，决算数60.23万元，预算执行率100%，项目已全部实施完成。</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2024年“三公”经费支出4.53万元，其中：公务用车运行维护费4.38万元，公务接待费0.15万元。2024年未发生新车购置费和因公出境费，“三公”经费控制情况良好。  </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bCs/>
          <w:sz w:val="32"/>
          <w:szCs w:val="32"/>
        </w:rPr>
      </w:pPr>
      <w:r>
        <w:rPr>
          <w:rFonts w:hint="eastAsia" w:ascii="楷体" w:hAnsi="楷体" w:eastAsia="楷体" w:cs="楷体"/>
          <w:bCs/>
          <w:sz w:val="32"/>
          <w:szCs w:val="32"/>
        </w:rPr>
        <w:t>（三）单位绩效目标</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1.中长期目标</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单位以绿色植保理念为指导，紧紧围绕粮食稳定生产和农业绿色发展的要求，突出重点作物和重大病虫，采取应急防控与绿色防控相结合、统防统治与群防群治相结合、核心措施与配套措施相结合的防控策略，强化监测预警、科学防控和绿色减量，广泛开展科学使用农药技术宣传，努力实现防病治虫与农药减量有机统一。</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2.年度目标</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黑体" w:hAnsi="黑体" w:eastAsia="黑体" w:cs="宋体"/>
          <w:color w:val="000000"/>
          <w:kern w:val="0"/>
          <w:sz w:val="32"/>
          <w:szCs w:val="32"/>
          <w:lang w:val="en-US" w:eastAsia="zh-CN"/>
        </w:rPr>
      </w:pPr>
      <w:r>
        <w:rPr>
          <w:rFonts w:hint="eastAsia" w:ascii="仿宋" w:hAnsi="仿宋" w:eastAsia="仿宋"/>
          <w:sz w:val="32"/>
          <w:szCs w:val="32"/>
          <w:lang w:val="en-US" w:eastAsia="zh-CN"/>
        </w:rPr>
        <w:t>绿色防控覆盖率55%以上，多种形式的统防统治覆盖率65%以上，确保不出现大面积成灾危害现象，努力实现“虫口夺粮保丰收保供给、绿色发展提质量提效益”的行动目标。</w:t>
      </w:r>
      <w:r>
        <w:rPr>
          <w:rFonts w:hint="eastAsia" w:ascii="黑体" w:hAnsi="黑体" w:eastAsia="黑体" w:cs="宋体"/>
          <w:color w:val="000000"/>
          <w:kern w:val="0"/>
          <w:sz w:val="32"/>
          <w:szCs w:val="32"/>
          <w:lang w:val="en-US" w:eastAsia="zh-CN"/>
        </w:rPr>
        <w:t>二、评价工作简述</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（一）基本情况</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为了进一步推进财政预算科学化、精细化，提高财政资金使用效益和效率，规范资金的使用管理，提升部门整体绩效评价的科学性、规范性，根据《南京市市级预算绩效管理办法》（宁委办厅字〔2024〕2号）和南京市财政局《关于印发2025年南京市市级预算部门（单位）预算绩效管理责任清单的通知》（宁财绩〔2025〕106号）要求，对本单位开展部门整体绩效自评价工作。</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本次部门整体绩效评价的对象是南京市植保植检站，评价内容主要包括：单位部门决策、部门管理、部门履职、履职效能情况、2024年度部门整体预算执行情况。</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kern w:val="0"/>
          <w:sz w:val="24"/>
          <w:szCs w:val="24"/>
        </w:rPr>
      </w:pPr>
      <w:r>
        <w:rPr>
          <w:rFonts w:hint="eastAsia" w:ascii="楷体" w:hAnsi="楷体" w:eastAsia="楷体" w:cs="楷体"/>
          <w:color w:val="000000"/>
          <w:kern w:val="0"/>
          <w:sz w:val="32"/>
          <w:szCs w:val="32"/>
        </w:rPr>
        <w:t>（二）评价组织实施</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单位按照《南京市市级预算绩效管理办法》和部门整体绩效评指标框架，组织实施本单位部门整体绩效自评价工作，遵循科学合理、统筹兼顾、激励约束、公开透明的原则，做好前期准备，确定指标体系，明确绩效评价方法，在组织实施中收集相关信息汇总，并通过充分的沟通和及时的反馈，进行评价分析，对照打分，最后出具自评价报告。本单位在实施过程中严格落实绩效管理责任，确保各项工作按要求落到实处。</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黑体" w:hAnsi="黑体" w:eastAsia="黑体" w:cs="宋体"/>
          <w:kern w:val="0"/>
          <w:sz w:val="24"/>
          <w:szCs w:val="24"/>
          <w:lang w:val="en-US" w:eastAsia="zh-CN"/>
        </w:rPr>
      </w:pPr>
      <w:r>
        <w:rPr>
          <w:rFonts w:hint="eastAsia" w:ascii="黑体" w:hAnsi="黑体" w:eastAsia="黑体" w:cs="宋体"/>
          <w:color w:val="000000"/>
          <w:kern w:val="0"/>
          <w:sz w:val="32"/>
          <w:szCs w:val="32"/>
        </w:rPr>
        <w:t>三、评价结论</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lang w:val="en-US" w:eastAsia="zh-CN"/>
        </w:rPr>
        <w:t>评分结果</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w:t>
      </w:r>
      <w:r>
        <w:rPr>
          <w:rFonts w:hint="eastAsia" w:ascii="楷体" w:hAnsi="楷体" w:eastAsia="楷体" w:cs="楷体"/>
          <w:color w:val="000000"/>
          <w:kern w:val="0"/>
          <w:sz w:val="32"/>
          <w:szCs w:val="32"/>
          <w:lang w:val="en-US" w:eastAsia="zh-CN"/>
        </w:rPr>
        <w:t xml:space="preserve">  (一)评价结论</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 w:hAnsi="仿宋" w:eastAsia="仿宋"/>
          <w:sz w:val="32"/>
          <w:szCs w:val="32"/>
          <w:lang w:val="en-US" w:eastAsia="zh-CN"/>
        </w:rPr>
        <w:t>根据部门整体绩效评指标框架和自评价打分情况，本单位部门整体绩效综合评价自评得分100分。</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（二）评分结果</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部门决策：决策机制、中长期规划、年度工作计划、部门决算编制四方面评价得分15分。 </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部门管理：预算执行、收支管理、资产管理、政府采购管理、建设项目管理、内部控制管理、决策绩效管理七方面评价得分20分。</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部门履职：重点工作数量完成率、重点工作质量达标率、重点工作完成及时率、重点工作完成情况四个方面评价得分30分。</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履职绩效：经济效益、社会效益、生态效益、满意度四个方面评价得分30分。</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可持续发展能力：信息化建设情况评价得分为5分。</w:t>
      </w:r>
    </w:p>
    <w:p>
      <w:pPr>
        <w:keepNext w:val="0"/>
        <w:keepLines w:val="0"/>
        <w:pageBreakBefore w:val="0"/>
        <w:widowControl/>
        <w:kinsoku/>
        <w:wordWrap/>
        <w:overflowPunct/>
        <w:topLinePunct w:val="0"/>
        <w:autoSpaceDE/>
        <w:autoSpaceDN/>
        <w:bidi w:val="0"/>
        <w:adjustRightInd/>
        <w:snapToGrid/>
        <w:spacing w:line="440" w:lineRule="exact"/>
        <w:ind w:firstLine="960" w:firstLineChars="300"/>
        <w:jc w:val="left"/>
        <w:textAlignment w:val="auto"/>
        <w:rPr>
          <w:rFonts w:hint="default" w:ascii="黑体" w:hAnsi="黑体" w:eastAsia="黑体" w:cs="宋体"/>
          <w:kern w:val="0"/>
          <w:sz w:val="24"/>
          <w:szCs w:val="24"/>
          <w:lang w:val="en-US" w:eastAsia="zh-CN"/>
        </w:rPr>
      </w:pPr>
      <w:r>
        <w:rPr>
          <w:rFonts w:hint="eastAsia" w:ascii="黑体" w:hAnsi="黑体" w:eastAsia="黑体" w:cs="宋体"/>
          <w:color w:val="000000"/>
          <w:kern w:val="0"/>
          <w:sz w:val="32"/>
          <w:szCs w:val="32"/>
        </w:rPr>
        <w:t>四、</w:t>
      </w:r>
      <w:r>
        <w:rPr>
          <w:rFonts w:hint="eastAsia" w:ascii="黑体" w:hAnsi="黑体" w:eastAsia="黑体" w:cs="宋体"/>
          <w:color w:val="000000"/>
          <w:kern w:val="0"/>
          <w:sz w:val="32"/>
          <w:szCs w:val="32"/>
          <w:lang w:val="en-US" w:eastAsia="zh-CN"/>
        </w:rPr>
        <w:t>部门履职成效</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color w:val="000000"/>
          <w:kern w:val="0"/>
          <w:sz w:val="32"/>
          <w:szCs w:val="32"/>
          <w:lang w:eastAsia="zh-CN"/>
        </w:rPr>
      </w:pPr>
      <w:r>
        <w:rPr>
          <w:rFonts w:hint="eastAsia" w:ascii="楷体" w:hAnsi="楷体" w:eastAsia="楷体" w:cs="楷体"/>
          <w:color w:val="000000"/>
          <w:kern w:val="0"/>
          <w:sz w:val="32"/>
          <w:szCs w:val="32"/>
          <w:lang w:eastAsia="zh-CN"/>
        </w:rPr>
        <w:t>（一）部门决策方面</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本单位决策制度规范，决策流程科学，决策执行实现了监督制衡；制定单位的中长期规划明确，与部门职能相匹配；年度工作计划明确，与部门职能相匹配；部门预算编制科学规范，与重点工作任务相匹配。</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color w:val="000000"/>
          <w:kern w:val="0"/>
          <w:sz w:val="32"/>
          <w:szCs w:val="32"/>
          <w:lang w:eastAsia="zh-CN"/>
        </w:rPr>
      </w:pPr>
      <w:r>
        <w:rPr>
          <w:rFonts w:hint="eastAsia" w:ascii="楷体" w:hAnsi="楷体" w:eastAsia="楷体" w:cs="楷体"/>
          <w:color w:val="000000"/>
          <w:kern w:val="0"/>
          <w:sz w:val="32"/>
          <w:szCs w:val="32"/>
          <w:lang w:eastAsia="zh-CN"/>
        </w:rPr>
        <w:t>（二）部门管理方面</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预算执行：严格按照市财政批复的部门预算，严格遵守政府会计制度及各项开支定额标准，编制分月用款计划，由主管部门及财政部门逐级审批。预算执行中注重执行均衡性，提高预算执行率及资金使用效率，禁止发生违反法律、法规和财经纪律的支出事项。</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2.收支管理：本单位制定了收支管理制度，并严格执行，同时严格按照南京市农业农村局下发的《南京市农业农村局财务报销相关规定》和《关于进一步加强局属事业单位财务管理的意见》执行。</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3.资产管理：本单位制定了资产管理制度，并严格执行，同时严格按照南京市农业农村局下发的《南京市农业农村局固定资产管理办法》执行。</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4.政府采购管理：本单位制定了政府采购管理制度，并严格执行，同时严格按照南京市农业农村局下发的《南京市农业农村局政府采购管理暂行办法》执行。</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内部控制：本单位利用内控建设试点契机，结合本单位实际情况，制定了《南京市植保站内部控制手册》和《南京市植保植检站内部控制制度汇编》，并结合单位内部管理和业务流程，生成了一本单据手册，通过制定实施单位内部控制的基本制度，利用授权控制和流程控制防范业务风险，实现内部控制的程序化、常态化。</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决策绩效管理方面：本单位按照绩效运行监控全覆盖的要求，将2024年度所有编制绩效目标，并经批复的市级预算项目和部门整体预算，都纳入绩效运行监控管理范围,按要求在预算“一体化”系统中填报市级预算绩效运行自监控情况表，及时提交主管部门，对绩效运行监控中发现的目标偏离的情况，及时进行整改完善，并按要求做好绩效信息的公开。</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（三）部门履职</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1.预防为主，夯实重大病虫害监测预报</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推进农作物病虫监测智能化建设。依据“农业智慧化应用水平”考核指标，争取资金并指导各区开展智能化监测设备的采购与维护，指导各区将智能监测设备与省农业物联网平台的端口对接，实现互联贯通。</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强化重大病虫监测预警。重点做好小麦赤霉病、水稻“两迁”害虫、稻瘟病、稻曲病等重大病虫监测调查，在关键时期加大监测频次，实时掌握病虫发生发展动态，完成病虫害发生动态联系汇报200余次。</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科学准确发布防治意见。组织召开重大病虫发生趋势专家会商，多渠道多途径及时准确发布农作物病虫监测预警信息，适时指导广大种植户科学防控。截至目前已发布农作物植保信息20期，为重大病虫科学防控提供了坚实技术保障。</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2.多管齐下，强化重大病虫害防控能力</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强化组织领导，确保物资保障。面对今年极端气候，全力保障赤霉病、水稻“三虫三病”防治工作高质量开展。坚持分类指导、分区施策，加强中央农业生产防灾减灾资金、省、市级农业公共服务项目组织实施和资金调度，提高资金使用效果和效率，为病虫防控提供保障。</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推进多种形式的统防统治。通过项目为抓手，积极整合、引导发挥包括省级农作物病虫害专业化防治星级服务组织等各级服务组织力量，开展小麦赤霉病、水稻病虫害统防统治，大力推广应用大型自走式喷杆喷雾机、植保无人机等高效植保机械，初步统计今年多种形式的专业化统防统治覆盖率达75%以上。</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强化农药科学安全使用宣传和指导。在小麦赤霉病防控、夏季高温季节、水稻重大病虫防控等关键时期组织技术人员深入防治一线开展防控督查和防治用药指导，有效控制田间病虫危害的同时降低农残超标和农作物药害风险。</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3.集成示范，着力推进农作物病虫害绿色防控</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高质量开展绿色防控及杂草综合治理示范区（片）建设。全市共开展37个省市级绿色防控基地（示范区）、杂草综合治理示范区（片）建设。秋季按计划开展了全市省市级绿色防控基地（示范区）、杂草综合治理示范区（片）建设现场督导，确保基地建设成效，强化示范区的示范与带动效应。</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组织开展主要病虫损失控制研究。各涉农区根据部署设立水稻及小麦病虫危害损失率监测点，开展农作物病虫害危害损失率监测试验，通过防控区与对照区显著的对比，充分展示农作物病虫害科学防控的作用。全国农技推广中心、省植保站及省农科院专家先后赴现场进行观摩于浦口青菜病虫危害损失率、江宁水稻病虫危害损失率等试验。</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积极开展绿色防控技术研究示范。在南京六合区举办了全省豇豆病虫绿色防控技术观摩活动，并进行经验交流。针对性开展了稻田杂草除草剂筛选试验。通过总结近年工作经验与数据分析，编辑了2套全市农业主推技术，制作了绿色防控技术短视频，通过农技耘、公众号等平台进行发布，拓展绿色防控技术的覆盖范围。</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4.依法履职，扎实开展植物检疫等相关工作</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扎实推进重大植物疫情监测与防控。在全市开展18个重大植物疫情阻截带建设，通过连点成网构建覆盖全市的植物疫情监测网络。强化对重大植物有害生物的防控处置能力，有效遏制重大植物疫情在我市传播蔓延。</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持续提升依法依规履职能力。依法开展农业植物检疫行政许可，共签发调运检疫证书1160份。强化植保植检法治宣传，主动走访高校、企业开展植物检疫相关知识及法律宣传。联合省植保植检站、市农业行政执法总队召开了植物检疫工作座谈会。组织开展全市种子检疫专项督查行动，检查经营门店45家、繁种企业10家，检查种子159批次。</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做好农药管理相关技术性工作。协同开展市辖区农药经营许可续（换）证工作，严格按照农药条例和经营许可办法的要求开展审查工作，截至10月底已完成审查续证申请材料5家，现场核查5家，新办14家。审查农药广告申请材料63篇。</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ascii="黑体" w:hAnsi="黑体" w:eastAsia="黑体" w:cs="宋体"/>
          <w:kern w:val="0"/>
          <w:sz w:val="24"/>
        </w:rPr>
      </w:pPr>
      <w:r>
        <w:rPr>
          <w:rFonts w:hint="eastAsia" w:ascii="黑体" w:hAnsi="黑体" w:eastAsia="黑体" w:cs="宋体"/>
          <w:color w:val="000000"/>
          <w:kern w:val="0"/>
          <w:sz w:val="32"/>
          <w:szCs w:val="32"/>
          <w:lang w:eastAsia="zh-CN"/>
        </w:rPr>
        <w:t>五、</w:t>
      </w:r>
      <w:r>
        <w:rPr>
          <w:rFonts w:hint="eastAsia" w:ascii="黑体" w:hAnsi="黑体" w:eastAsia="黑体" w:cs="宋体"/>
          <w:color w:val="000000"/>
          <w:kern w:val="0"/>
          <w:sz w:val="32"/>
          <w:szCs w:val="32"/>
        </w:rPr>
        <w:t>存在问题及原因分析</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1.绩效目标设置量化程度不够，精准导向作用需加强，科学性与计划性需提高；</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2.对于突发性、应急性病虫害防控任务的预算弹性考虑和绩效目标动态调整机制在目标设定中体现不充分。</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六、</w:t>
      </w:r>
      <w:r>
        <w:rPr>
          <w:rFonts w:hint="eastAsia" w:ascii="黑体" w:hAnsi="黑体" w:eastAsia="黑体" w:cs="宋体"/>
          <w:color w:val="000000"/>
          <w:kern w:val="0"/>
          <w:sz w:val="32"/>
          <w:szCs w:val="32"/>
        </w:rPr>
        <w:t>有关建议</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1.加强绩效管理能力建设，促进业财融合，开展业务和财务人员绩效管理专题学习，强化绩效目标设定方法、事前绩效评估流程、量化指标设计技巧及绩效结果应用等方面能力，加强财务与业务常态化沟通协作；</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考虑植保工作的特殊性，可建立绩效目标动态调整机制，在年度预算执行中，建立绩效目标完成情况季度监测机制，如遇重大自然、病虫灾害等不可抗因素严重影响原定目标实现的，应按规定程序及时提出绩效目标调整申请，确保绩效目标管理灵活有效。</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FZHTK--GBK1-0" w:eastAsia="仿宋_GB2312" w:cs="宋体"/>
          <w:color w:val="000000"/>
          <w:kern w:val="0"/>
          <w:sz w:val="32"/>
          <w:szCs w:val="32"/>
          <w:lang w:eastAsia="zh-CN"/>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FZHTK--GBK1-0" w:eastAsia="仿宋_GB2312" w:cs="宋体"/>
          <w:color w:val="000000"/>
          <w:kern w:val="0"/>
          <w:sz w:val="32"/>
          <w:szCs w:val="32"/>
          <w:lang w:eastAsia="zh-CN"/>
        </w:rPr>
      </w:pPr>
      <w:r>
        <w:rPr>
          <w:rFonts w:hint="eastAsia" w:ascii="仿宋_GB2312" w:hAnsi="FZHTK--GBK1-0" w:eastAsia="仿宋_GB2312" w:cs="宋体"/>
          <w:color w:val="000000"/>
          <w:kern w:val="0"/>
          <w:sz w:val="32"/>
          <w:szCs w:val="32"/>
          <w:lang w:eastAsia="zh-CN"/>
        </w:rPr>
        <w:t>附件</w:t>
      </w:r>
      <w:r>
        <w:rPr>
          <w:rFonts w:hint="eastAsia" w:ascii="仿宋_GB2312" w:hAnsi="FZHTK--GBK1-0" w:eastAsia="仿宋_GB2312" w:cs="宋体"/>
          <w:color w:val="000000"/>
          <w:kern w:val="0"/>
          <w:sz w:val="32"/>
          <w:szCs w:val="32"/>
          <w:lang w:val="en-US" w:eastAsia="zh-CN"/>
        </w:rPr>
        <w:t>:南京市植保植检站部门整体绩效自评表</w:t>
      </w:r>
    </w:p>
    <w:p>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eastAsia" w:ascii="仿宋_GB2312" w:hAnsi="FZHTK--GBK1-0" w:eastAsia="仿宋_GB2312" w:cs="宋体"/>
          <w:color w:val="000000"/>
          <w:kern w:val="0"/>
          <w:sz w:val="32"/>
          <w:szCs w:val="32"/>
          <w:lang w:eastAsia="zh-CN"/>
        </w:rPr>
      </w:pPr>
      <w:r>
        <w:rPr>
          <w:rFonts w:hint="eastAsia" w:ascii="仿宋_GB2312" w:hAnsi="FZHTK--GBK1-0" w:eastAsia="仿宋_GB2312" w:cs="宋体"/>
          <w:color w:val="000000"/>
          <w:kern w:val="0"/>
          <w:sz w:val="32"/>
          <w:szCs w:val="32"/>
          <w:lang w:eastAsia="zh-CN"/>
        </w:rPr>
        <w:t>南京市植保植检站</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right"/>
        <w:textAlignment w:val="auto"/>
        <w:rPr>
          <w:rFonts w:hint="eastAsia" w:ascii="仿宋_GB2312" w:hAnsi="FZHTK--GBK1-0" w:eastAsia="仿宋_GB2312" w:cs="宋体"/>
          <w:color w:val="000000"/>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FZHTK--GBK1-0" w:eastAsia="仿宋_GB2312" w:cs="宋体"/>
          <w:color w:val="000000"/>
          <w:kern w:val="0"/>
          <w:sz w:val="32"/>
          <w:szCs w:val="32"/>
          <w:lang w:val="en-US" w:eastAsia="zh-CN"/>
        </w:rPr>
        <w:t xml:space="preserve">  2025年6月16日</w:t>
      </w:r>
    </w:p>
    <w:p>
      <w:pPr>
        <w:rPr>
          <w:rFonts w:hint="eastAsia" w:ascii="Times New Roman" w:hAnsi="Times New Roman" w:eastAsia="仿宋"/>
          <w:sz w:val="28"/>
          <w:lang w:eastAsia="zh-CN"/>
        </w:rPr>
      </w:pPr>
      <w:r>
        <w:rPr>
          <w:rFonts w:hint="eastAsia" w:ascii="Times New Roman" w:hAnsi="Times New Roman" w:eastAsia="仿宋"/>
          <w:sz w:val="28"/>
        </w:rPr>
        <w:t>附件1：</w:t>
      </w:r>
      <w:r>
        <w:rPr>
          <w:rFonts w:hint="eastAsia" w:ascii="Times New Roman" w:hAnsi="Times New Roman" w:eastAsia="仿宋"/>
          <w:sz w:val="28"/>
          <w:lang w:eastAsia="zh-CN"/>
        </w:rPr>
        <w:t>南京市植保植检站</w:t>
      </w:r>
      <w:r>
        <w:rPr>
          <w:rFonts w:hint="eastAsia" w:ascii="Times New Roman" w:hAnsi="Times New Roman" w:eastAsia="仿宋"/>
          <w:sz w:val="28"/>
        </w:rPr>
        <w:t>部门整体绩效</w:t>
      </w:r>
      <w:r>
        <w:rPr>
          <w:rFonts w:hint="eastAsia" w:ascii="Times New Roman" w:hAnsi="Times New Roman" w:eastAsia="仿宋"/>
          <w:sz w:val="28"/>
          <w:lang w:eastAsia="zh-CN"/>
        </w:rPr>
        <w:t>自评表</w:t>
      </w:r>
    </w:p>
    <w:tbl>
      <w:tblPr>
        <w:tblStyle w:val="5"/>
        <w:tblW w:w="14565" w:type="dxa"/>
        <w:tblInd w:w="0" w:type="dxa"/>
        <w:tblLayout w:type="fixed"/>
        <w:tblCellMar>
          <w:top w:w="0" w:type="dxa"/>
          <w:left w:w="108" w:type="dxa"/>
          <w:bottom w:w="0" w:type="dxa"/>
          <w:right w:w="108" w:type="dxa"/>
        </w:tblCellMar>
      </w:tblPr>
      <w:tblGrid>
        <w:gridCol w:w="1242"/>
        <w:gridCol w:w="1560"/>
        <w:gridCol w:w="4110"/>
        <w:gridCol w:w="2977"/>
        <w:gridCol w:w="2008"/>
        <w:gridCol w:w="1348"/>
        <w:gridCol w:w="1320"/>
      </w:tblGrid>
      <w:tr>
        <w:tblPrEx>
          <w:tblCellMar>
            <w:top w:w="0" w:type="dxa"/>
            <w:left w:w="108" w:type="dxa"/>
            <w:bottom w:w="0" w:type="dxa"/>
            <w:right w:w="108" w:type="dxa"/>
          </w:tblCellMar>
        </w:tblPrEx>
        <w:trPr>
          <w:trHeight w:val="457" w:hRule="atLeast"/>
          <w:tblHeader/>
        </w:trPr>
        <w:tc>
          <w:tcPr>
            <w:tcW w:w="124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一级指标</w:t>
            </w:r>
          </w:p>
        </w:tc>
        <w:tc>
          <w:tcPr>
            <w:tcW w:w="15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二级指标</w:t>
            </w:r>
          </w:p>
        </w:tc>
        <w:tc>
          <w:tcPr>
            <w:tcW w:w="4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三级指标（参考）</w:t>
            </w:r>
          </w:p>
        </w:tc>
        <w:tc>
          <w:tcPr>
            <w:tcW w:w="29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指标说明</w:t>
            </w:r>
          </w:p>
        </w:tc>
        <w:tc>
          <w:tcPr>
            <w:tcW w:w="2008" w:type="dxa"/>
            <w:tcBorders>
              <w:top w:val="single" w:color="auto" w:sz="8" w:space="0"/>
              <w:left w:val="nil"/>
              <w:bottom w:val="single" w:color="auto" w:sz="8" w:space="0"/>
              <w:right w:val="single" w:color="auto" w:sz="4" w:space="0"/>
            </w:tcBorders>
            <w:vAlign w:val="center"/>
          </w:tcPr>
          <w:p>
            <w:pPr>
              <w:widowControl/>
              <w:jc w:val="center"/>
              <w:rPr>
                <w:rFonts w:hint="eastAsia" w:ascii="仿宋" w:hAnsi="仿宋" w:eastAsia="仿宋" w:cs="宋体"/>
                <w:b/>
                <w:bCs/>
                <w:color w:val="000000"/>
                <w:kern w:val="0"/>
                <w:sz w:val="24"/>
                <w:szCs w:val="24"/>
                <w:lang w:val="en-US" w:eastAsia="zh-CN"/>
              </w:rPr>
            </w:pPr>
            <w:r>
              <w:rPr>
                <w:rFonts w:hint="eastAsia" w:ascii="仿宋" w:hAnsi="仿宋" w:eastAsia="仿宋" w:cs="宋体"/>
                <w:b/>
                <w:bCs/>
                <w:color w:val="000000"/>
                <w:kern w:val="0"/>
                <w:sz w:val="24"/>
                <w:szCs w:val="24"/>
                <w:lang w:val="en-US" w:eastAsia="zh-CN"/>
              </w:rPr>
              <w:t>评分依据</w:t>
            </w:r>
          </w:p>
        </w:tc>
        <w:tc>
          <w:tcPr>
            <w:tcW w:w="1348"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4"/>
                <w:szCs w:val="24"/>
              </w:rPr>
            </w:pPr>
            <w:r>
              <w:rPr>
                <w:rFonts w:ascii="仿宋" w:hAnsi="仿宋" w:eastAsia="仿宋" w:cs="宋体"/>
                <w:b/>
                <w:bCs/>
                <w:color w:val="000000"/>
                <w:kern w:val="0"/>
                <w:sz w:val="24"/>
                <w:szCs w:val="24"/>
              </w:rPr>
              <w:t>自</w:t>
            </w:r>
            <w:r>
              <w:rPr>
                <w:rFonts w:hint="eastAsia" w:ascii="仿宋" w:hAnsi="仿宋" w:eastAsia="仿宋" w:cs="宋体"/>
                <w:b/>
                <w:bCs/>
                <w:color w:val="000000"/>
                <w:kern w:val="0"/>
                <w:sz w:val="24"/>
                <w:szCs w:val="24"/>
              </w:rPr>
              <w:t>评得分</w:t>
            </w:r>
          </w:p>
        </w:tc>
        <w:tc>
          <w:tcPr>
            <w:tcW w:w="132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b/>
                <w:bCs/>
                <w:color w:val="000000"/>
                <w:kern w:val="0"/>
                <w:sz w:val="24"/>
                <w:szCs w:val="24"/>
                <w:lang w:val="en-US" w:eastAsia="zh-CN"/>
              </w:rPr>
            </w:pPr>
            <w:r>
              <w:rPr>
                <w:rFonts w:hint="eastAsia" w:ascii="仿宋" w:hAnsi="仿宋" w:eastAsia="仿宋" w:cs="宋体"/>
                <w:b/>
                <w:bCs/>
                <w:color w:val="000000"/>
                <w:kern w:val="0"/>
                <w:sz w:val="24"/>
                <w:szCs w:val="24"/>
                <w:lang w:val="en-US" w:eastAsia="zh-CN"/>
              </w:rPr>
              <w:t>扣分原因</w:t>
            </w: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w:t>
            </w:r>
            <w:r>
              <w:rPr>
                <w:rFonts w:hint="eastAsia" w:ascii="仿宋" w:hAnsi="仿宋" w:eastAsia="仿宋" w:cs="宋体"/>
                <w:color w:val="000000"/>
                <w:kern w:val="0"/>
                <w:sz w:val="24"/>
                <w:szCs w:val="24"/>
                <w:lang w:val="en-US" w:eastAsia="zh-CN"/>
              </w:rPr>
              <w:t>部门</w:t>
            </w:r>
            <w:r>
              <w:rPr>
                <w:rFonts w:hint="eastAsia" w:ascii="仿宋" w:hAnsi="仿宋" w:eastAsia="仿宋" w:cs="宋体"/>
                <w:color w:val="000000"/>
                <w:kern w:val="0"/>
                <w:sz w:val="24"/>
                <w:szCs w:val="24"/>
              </w:rPr>
              <w:t>决策（15分）</w:t>
            </w: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A1决策机制（5分）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A11决策制度的规范性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b/>
                <w:bCs/>
                <w:color w:val="000000"/>
                <w:kern w:val="0"/>
                <w:sz w:val="24"/>
                <w:szCs w:val="24"/>
              </w:rPr>
            </w:pPr>
            <w:r>
              <w:rPr>
                <w:rFonts w:hint="eastAsia" w:ascii="仿宋" w:hAnsi="仿宋" w:eastAsia="仿宋" w:cs="宋体"/>
                <w:color w:val="000000"/>
                <w:kern w:val="0"/>
                <w:sz w:val="24"/>
                <w:szCs w:val="24"/>
              </w:rPr>
              <w:t>“规范”衡量流程执行</w:t>
            </w:r>
          </w:p>
        </w:tc>
        <w:tc>
          <w:tcPr>
            <w:tcW w:w="2008" w:type="dxa"/>
            <w:tcBorders>
              <w:top w:val="nil"/>
              <w:left w:val="nil"/>
              <w:bottom w:val="single" w:color="auto" w:sz="8" w:space="0"/>
              <w:right w:val="single" w:color="auto" w:sz="4" w:space="0"/>
            </w:tcBorders>
            <w:vAlign w:val="center"/>
          </w:tcPr>
          <w:p>
            <w:pPr>
              <w:widowControl/>
              <w:jc w:val="both"/>
              <w:rPr>
                <w:rFonts w:hint="eastAsia" w:ascii="仿宋" w:hAnsi="仿宋" w:eastAsia="仿宋" w:cs="宋体"/>
                <w:bCs/>
                <w:color w:val="000000"/>
                <w:kern w:val="0"/>
                <w:sz w:val="24"/>
                <w:szCs w:val="24"/>
                <w:lang w:eastAsia="zh-CN"/>
              </w:rPr>
            </w:pPr>
            <w:r>
              <w:rPr>
                <w:rFonts w:hint="eastAsia" w:ascii="仿宋" w:hAnsi="仿宋" w:eastAsia="仿宋" w:cs="宋体"/>
                <w:bCs/>
                <w:color w:val="000000"/>
                <w:kern w:val="0"/>
                <w:sz w:val="24"/>
                <w:szCs w:val="24"/>
                <w:lang w:eastAsia="zh-CN"/>
              </w:rPr>
              <w:t>有规范的决策制度</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2</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bCs/>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A12决策流程的科学性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“科学”衡量流程的设计</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流程设计科学合理</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A13决策执行监督制衡机制</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监督制衡机制的设置与运行</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监督制衡机制设置有效且正常运行</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2"/>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A2中长期规划（3分）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A21中长期规划明确性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符合国家法律法规、国民经济和社会发展规划要求</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具体明确可执行</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A22中长期规划与部门职能的匹配性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与单位职能、发展规划和工作计划密切相关</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部门职能相匹配</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A3年度工作计划（3分）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A31年度工作计划明确性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年度工作计划明确可行</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年度工作计划明确可执行</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A32年度工作计划与部门职能的匹配性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与部门职能密切相关</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其与部门职能相匹配</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A4部门预算编制（4分）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A41预算编制科学规范</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预算编制指“内部预算编制”，“科学”衡量制度设计，“规范”衡量流程执行</w:t>
            </w:r>
          </w:p>
        </w:tc>
        <w:tc>
          <w:tcPr>
            <w:tcW w:w="2008" w:type="dxa"/>
            <w:tcBorders>
              <w:top w:val="nil"/>
              <w:left w:val="nil"/>
              <w:bottom w:val="single" w:color="auto" w:sz="8" w:space="0"/>
              <w:right w:val="single" w:color="auto" w:sz="4" w:space="0"/>
            </w:tcBorders>
            <w:vAlign w:val="center"/>
          </w:tcPr>
          <w:p>
            <w:pPr>
              <w:widowControl/>
              <w:jc w:val="both"/>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预算</w:t>
            </w:r>
            <w:r>
              <w:rPr>
                <w:rFonts w:hint="eastAsia" w:ascii="仿宋" w:hAnsi="仿宋" w:eastAsia="仿宋" w:cs="宋体"/>
                <w:color w:val="000000"/>
                <w:kern w:val="0"/>
                <w:sz w:val="24"/>
                <w:szCs w:val="24"/>
                <w:lang w:eastAsia="zh-CN"/>
              </w:rPr>
              <w:t>编制</w:t>
            </w:r>
            <w:r>
              <w:rPr>
                <w:rFonts w:hint="eastAsia" w:ascii="仿宋" w:hAnsi="仿宋" w:eastAsia="仿宋" w:cs="宋体"/>
                <w:color w:val="000000"/>
                <w:kern w:val="0"/>
                <w:sz w:val="24"/>
                <w:szCs w:val="24"/>
              </w:rPr>
              <w:t>文件</w:t>
            </w:r>
            <w:r>
              <w:rPr>
                <w:rFonts w:hint="eastAsia" w:ascii="仿宋" w:hAnsi="仿宋" w:eastAsia="仿宋" w:cs="宋体"/>
                <w:color w:val="000000"/>
                <w:kern w:val="0"/>
                <w:sz w:val="24"/>
                <w:szCs w:val="24"/>
                <w:lang w:eastAsia="zh-CN"/>
              </w:rPr>
              <w:t>规范，编制过程科学</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A42预算编制与重点工作任务的匹配性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预算编制指“内部预算编制”</w:t>
            </w:r>
          </w:p>
        </w:tc>
        <w:tc>
          <w:tcPr>
            <w:tcW w:w="2008" w:type="dxa"/>
            <w:tcBorders>
              <w:top w:val="nil"/>
              <w:left w:val="nil"/>
              <w:bottom w:val="single" w:color="auto" w:sz="8" w:space="0"/>
              <w:right w:val="single" w:color="auto" w:sz="4" w:space="0"/>
            </w:tcBorders>
            <w:vAlign w:val="center"/>
          </w:tcPr>
          <w:p>
            <w:pPr>
              <w:widowControl/>
              <w:jc w:val="both"/>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预算编制与重点工作匹配度高</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w:t>
            </w:r>
            <w:r>
              <w:rPr>
                <w:rFonts w:hint="eastAsia" w:ascii="仿宋" w:hAnsi="仿宋" w:eastAsia="仿宋" w:cs="宋体"/>
                <w:color w:val="000000"/>
                <w:kern w:val="0"/>
                <w:sz w:val="24"/>
                <w:szCs w:val="24"/>
                <w:lang w:val="en-US" w:eastAsia="zh-CN"/>
              </w:rPr>
              <w:t>部门</w:t>
            </w:r>
            <w:r>
              <w:rPr>
                <w:rFonts w:hint="eastAsia" w:ascii="仿宋" w:hAnsi="仿宋" w:eastAsia="仿宋" w:cs="宋体"/>
                <w:color w:val="000000"/>
                <w:kern w:val="0"/>
                <w:sz w:val="24"/>
                <w:szCs w:val="24"/>
              </w:rPr>
              <w:t>管理（20分）</w:t>
            </w: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B1预算执行（4分）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B11部门预算执行率</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与市财政局预算处考核口径一致</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4"/>
                <w:szCs w:val="24"/>
              </w:rPr>
              <w:t>与市财政局预算处考核口径一致</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2"/>
                <w:lang w:eastAsia="zh-CN"/>
              </w:rPr>
            </w:pPr>
            <w:r>
              <w:rPr>
                <w:rFonts w:hint="eastAsia" w:ascii="仿宋" w:hAnsi="仿宋" w:eastAsia="仿宋" w:cs="宋体"/>
                <w:color w:val="000000"/>
                <w:kern w:val="0"/>
                <w:sz w:val="22"/>
                <w:lang w:val="en-US" w:eastAsia="zh-CN"/>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2"/>
                <w:lang w:val="en-US" w:eastAsia="zh-CN"/>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B12专项资金执行率</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与市财政局预算处考核口径一致</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4"/>
                <w:szCs w:val="24"/>
              </w:rPr>
              <w:t>与市财政局预算处考核口径一致</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2"/>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B13“三公”经费控制率</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“三公”经费使用超支扣分，若不超支则不扣分</w:t>
            </w:r>
          </w:p>
        </w:tc>
        <w:tc>
          <w:tcPr>
            <w:tcW w:w="2008" w:type="dxa"/>
            <w:tcBorders>
              <w:top w:val="nil"/>
              <w:left w:val="nil"/>
              <w:bottom w:val="single" w:color="auto" w:sz="8" w:space="0"/>
              <w:right w:val="single" w:color="auto" w:sz="4" w:space="0"/>
            </w:tcBorders>
            <w:vAlign w:val="center"/>
          </w:tcPr>
          <w:p>
            <w:pPr>
              <w:widowControl/>
              <w:jc w:val="both"/>
              <w:rPr>
                <w:rFonts w:hint="eastAsia" w:ascii="仿宋" w:hAnsi="仿宋" w:eastAsia="仿宋" w:cs="宋体"/>
                <w:color w:val="000000"/>
                <w:kern w:val="0"/>
                <w:sz w:val="22"/>
                <w:lang w:eastAsia="zh-CN"/>
              </w:rPr>
            </w:pPr>
            <w:r>
              <w:rPr>
                <w:rFonts w:hint="eastAsia" w:ascii="仿宋" w:hAnsi="仿宋" w:eastAsia="仿宋" w:cs="宋体"/>
                <w:color w:val="000000"/>
                <w:kern w:val="0"/>
                <w:sz w:val="22"/>
              </w:rPr>
              <w:t>三公经费</w:t>
            </w:r>
            <w:r>
              <w:rPr>
                <w:rFonts w:hint="eastAsia" w:ascii="仿宋" w:hAnsi="仿宋" w:eastAsia="仿宋" w:cs="宋体"/>
                <w:color w:val="000000"/>
                <w:kern w:val="0"/>
                <w:sz w:val="22"/>
                <w:lang w:eastAsia="zh-CN"/>
              </w:rPr>
              <w:t>使用情况</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2"/>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B14预决算信息公开情况 </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预决算是否在平</w:t>
            </w:r>
            <w:r>
              <w:rPr>
                <w:rFonts w:hint="eastAsia" w:ascii="仿宋" w:hAnsi="仿宋" w:eastAsia="仿宋" w:cs="宋体"/>
                <w:color w:val="000000"/>
                <w:kern w:val="0"/>
                <w:sz w:val="24"/>
                <w:szCs w:val="24"/>
                <w:lang w:eastAsia="zh-CN"/>
              </w:rPr>
              <w:t>台</w:t>
            </w:r>
            <w:r>
              <w:rPr>
                <w:rFonts w:hint="eastAsia" w:ascii="仿宋" w:hAnsi="仿宋" w:eastAsia="仿宋" w:cs="宋体"/>
                <w:color w:val="000000"/>
                <w:kern w:val="0"/>
                <w:sz w:val="24"/>
                <w:szCs w:val="24"/>
              </w:rPr>
              <w:t>进行公开，内容和时限是否符合要求</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积极配合主管部门完成预决算信息公开工作</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ind w:firstLine="220" w:firstLineChars="100"/>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ind w:firstLine="220" w:firstLineChars="100"/>
              <w:jc w:val="center"/>
              <w:rPr>
                <w:rFonts w:hint="eastAsia" w:ascii="仿宋" w:hAnsi="仿宋" w:eastAsia="仿宋" w:cs="宋体"/>
                <w:color w:val="000000"/>
                <w:kern w:val="0"/>
                <w:sz w:val="22"/>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B2收支管理（2分）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B21收支管理制度健全性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B22收支管理是否按制度执行</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B3资产管理（2分）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B31资产管理制度健全性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B32资产管理是否按制度执行</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B4政府采购管理（2分）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B41政府采购管理制度健全性</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制度建立健全</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bookmarkStart w:id="0" w:name="_GoBack"/>
            <w:bookmarkEnd w:id="0"/>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B42政府采购管理是否按制度执行</w:t>
            </w:r>
          </w:p>
        </w:tc>
        <w:tc>
          <w:tcPr>
            <w:tcW w:w="2977" w:type="dxa"/>
            <w:tcBorders>
              <w:top w:val="nil"/>
              <w:left w:val="nil"/>
              <w:bottom w:val="single" w:color="auto"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制度执行并运行有效</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B5建设项目管理（适用）（2分）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B51建设项目管理制度健全性</w:t>
            </w:r>
          </w:p>
        </w:tc>
        <w:tc>
          <w:tcPr>
            <w:tcW w:w="297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此项指标根据各个单位具体职能选择是否适用</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如不适用得满分</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B52建设项目管理是否按制度执行</w:t>
            </w:r>
          </w:p>
        </w:tc>
        <w:tc>
          <w:tcPr>
            <w:tcW w:w="297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2008" w:type="dxa"/>
            <w:tcBorders>
              <w:top w:val="single" w:color="auto" w:sz="4" w:space="0"/>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如不适用得满分</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B6内部控制管理（4分）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B61内部控制建设情况</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内部控制领导小组、工作小组的成立、内控制度设计</w:t>
            </w:r>
            <w:r>
              <w:rPr>
                <w:rFonts w:hint="eastAsia" w:ascii="仿宋" w:hAnsi="仿宋" w:eastAsia="仿宋" w:cs="宋体"/>
                <w:color w:val="000000"/>
                <w:kern w:val="0"/>
                <w:sz w:val="24"/>
                <w:szCs w:val="24"/>
                <w:lang w:eastAsia="zh-CN"/>
              </w:rPr>
              <w:t>、内控手册</w:t>
            </w:r>
            <w:r>
              <w:rPr>
                <w:rFonts w:hint="eastAsia" w:ascii="仿宋" w:hAnsi="仿宋" w:eastAsia="仿宋" w:cs="宋体"/>
                <w:color w:val="000000"/>
                <w:kern w:val="0"/>
                <w:sz w:val="24"/>
                <w:szCs w:val="24"/>
              </w:rPr>
              <w:t>等</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是否成立内控领导小组、工作小组，是否有内部控制制度落实在手册等文本上</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ascii="仿宋" w:hAnsi="仿宋" w:eastAsia="仿宋" w:cs="宋体"/>
                <w:color w:val="000000"/>
                <w:kern w:val="0"/>
                <w:sz w:val="24"/>
                <w:szCs w:val="24"/>
              </w:rPr>
            </w:pPr>
            <w:r>
              <w:rPr>
                <w:rFonts w:ascii="仿宋" w:hAnsi="仿宋" w:eastAsia="仿宋" w:cs="宋体"/>
                <w:color w:val="000000"/>
                <w:kern w:val="0"/>
                <w:sz w:val="24"/>
                <w:szCs w:val="24"/>
              </w:rPr>
              <w:t>2</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B62内部控制执行情况</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内控执行是否有效</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通过重新执行程序评价内控是否有效</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hint="eastAsia" w:ascii="仿宋" w:hAnsi="仿宋" w:eastAsia="仿宋" w:cs="宋体"/>
                <w:color w:val="000000"/>
                <w:kern w:val="0"/>
                <w:sz w:val="24"/>
                <w:szCs w:val="24"/>
                <w:lang w:val="en-US" w:eastAsia="zh-CN"/>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B63内部控制监督评价</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内部控制监督设计评价和运行评价</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是否有单位内部内控评价报告</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B7预算绩效管理（4分）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B71组织管理情况</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主要包含制度建设、职能配置、分行业的指标体系</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是否有</w:t>
            </w:r>
            <w:r>
              <w:rPr>
                <w:rFonts w:ascii="仿宋" w:hAnsi="仿宋" w:eastAsia="仿宋" w:cs="宋体"/>
                <w:color w:val="000000"/>
                <w:kern w:val="0"/>
                <w:sz w:val="24"/>
                <w:szCs w:val="24"/>
              </w:rPr>
              <w:t>制度</w:t>
            </w:r>
            <w:r>
              <w:rPr>
                <w:rFonts w:hint="eastAsia" w:ascii="仿宋" w:hAnsi="仿宋" w:eastAsia="仿宋" w:cs="宋体"/>
                <w:color w:val="000000"/>
                <w:kern w:val="0"/>
                <w:sz w:val="24"/>
                <w:szCs w:val="24"/>
              </w:rPr>
              <w:t>建设，职能配置情况，指标体系构成</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B72工作开展情况</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包含事前评估、目标管理、跟踪评价、自评价和整改落实</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考察政策（项目）是否有5个报告</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ascii="仿宋" w:hAnsi="仿宋" w:eastAsia="仿宋" w:cs="宋体"/>
                <w:color w:val="000000"/>
                <w:kern w:val="0"/>
                <w:sz w:val="24"/>
                <w:szCs w:val="24"/>
              </w:rPr>
            </w:pPr>
            <w:r>
              <w:rPr>
                <w:rFonts w:ascii="仿宋" w:hAnsi="仿宋" w:eastAsia="仿宋" w:cs="宋体"/>
                <w:color w:val="000000"/>
                <w:kern w:val="0"/>
                <w:sz w:val="24"/>
                <w:szCs w:val="24"/>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B73绩效信息公开</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绩效信息是否按照规定的内容和时限在“双平台”进行公开</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积极配合主管部门完成相关数据的提供</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ind w:firstLine="240" w:firstLineChars="100"/>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w:t>
            </w:r>
            <w:r>
              <w:rPr>
                <w:rFonts w:hint="eastAsia" w:ascii="仿宋" w:hAnsi="仿宋" w:eastAsia="仿宋" w:cs="宋体"/>
                <w:color w:val="000000"/>
                <w:kern w:val="0"/>
                <w:sz w:val="24"/>
                <w:szCs w:val="24"/>
                <w:lang w:val="en-US" w:eastAsia="zh-CN"/>
              </w:rPr>
              <w:t>部门</w:t>
            </w:r>
            <w:r>
              <w:rPr>
                <w:rFonts w:hint="eastAsia" w:ascii="仿宋" w:hAnsi="仿宋" w:eastAsia="仿宋" w:cs="宋体"/>
                <w:color w:val="000000"/>
                <w:kern w:val="0"/>
                <w:sz w:val="24"/>
                <w:szCs w:val="24"/>
              </w:rPr>
              <w:t>履职(可选方式1：重点工作完成情况)（30分）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C1重点工作数量完成率（1</w:t>
            </w:r>
            <w:r>
              <w:rPr>
                <w:rFonts w:ascii="仿宋" w:hAnsi="仿宋" w:eastAsia="仿宋" w:cs="宋体"/>
                <w:color w:val="000000"/>
                <w:kern w:val="0"/>
                <w:sz w:val="24"/>
                <w:szCs w:val="24"/>
              </w:rPr>
              <w:t>0</w:t>
            </w:r>
            <w:r>
              <w:rPr>
                <w:rFonts w:hint="eastAsia" w:ascii="仿宋" w:hAnsi="仿宋" w:eastAsia="仿宋" w:cs="宋体"/>
                <w:color w:val="000000"/>
                <w:kern w:val="0"/>
                <w:sz w:val="24"/>
                <w:szCs w:val="24"/>
              </w:rPr>
              <w:t>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与年初计划相比较</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检查数量完成情况</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val="en-US" w:eastAsia="zh-CN"/>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C2重点工作质量达标率（1</w:t>
            </w:r>
            <w:r>
              <w:rPr>
                <w:rFonts w:ascii="仿宋" w:hAnsi="仿宋" w:eastAsia="仿宋" w:cs="宋体"/>
                <w:color w:val="000000"/>
                <w:kern w:val="0"/>
                <w:sz w:val="24"/>
                <w:szCs w:val="24"/>
              </w:rPr>
              <w:t>0</w:t>
            </w:r>
            <w:r>
              <w:rPr>
                <w:rFonts w:hint="eastAsia" w:ascii="仿宋" w:hAnsi="仿宋" w:eastAsia="仿宋" w:cs="宋体"/>
                <w:color w:val="000000"/>
                <w:kern w:val="0"/>
                <w:sz w:val="24"/>
                <w:szCs w:val="24"/>
              </w:rPr>
              <w:t>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与年初自定的绩效目标相比较</w:t>
            </w:r>
          </w:p>
        </w:tc>
        <w:tc>
          <w:tcPr>
            <w:tcW w:w="2008" w:type="dxa"/>
            <w:tcBorders>
              <w:top w:val="nil"/>
              <w:left w:val="nil"/>
              <w:bottom w:val="single" w:color="auto" w:sz="8" w:space="0"/>
              <w:right w:val="single" w:color="auto" w:sz="4" w:space="0"/>
            </w:tcBorders>
            <w:vAlign w:val="center"/>
          </w:tcPr>
          <w:p>
            <w:pPr>
              <w:widowControl/>
              <w:jc w:val="both"/>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检查</w:t>
            </w:r>
            <w:r>
              <w:rPr>
                <w:rFonts w:hint="eastAsia" w:ascii="仿宋" w:hAnsi="仿宋" w:eastAsia="仿宋" w:cs="宋体"/>
                <w:color w:val="000000"/>
                <w:kern w:val="0"/>
                <w:sz w:val="24"/>
                <w:szCs w:val="24"/>
                <w:lang w:eastAsia="zh-CN"/>
              </w:rPr>
              <w:t>工作完成质量</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val="en-US" w:eastAsia="zh-CN"/>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C3重点工作完成及时率（1</w:t>
            </w:r>
            <w:r>
              <w:rPr>
                <w:rFonts w:ascii="仿宋" w:hAnsi="仿宋" w:eastAsia="仿宋" w:cs="宋体"/>
                <w:color w:val="000000"/>
                <w:kern w:val="0"/>
                <w:sz w:val="24"/>
                <w:szCs w:val="24"/>
              </w:rPr>
              <w:t>0</w:t>
            </w:r>
            <w:r>
              <w:rPr>
                <w:rFonts w:hint="eastAsia" w:ascii="仿宋" w:hAnsi="仿宋" w:eastAsia="仿宋" w:cs="宋体"/>
                <w:color w:val="000000"/>
                <w:kern w:val="0"/>
                <w:sz w:val="24"/>
                <w:szCs w:val="24"/>
              </w:rPr>
              <w:t>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参照财政部门及主管部门规定的要求</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检查</w:t>
            </w:r>
            <w:r>
              <w:rPr>
                <w:rFonts w:hint="eastAsia" w:ascii="仿宋" w:hAnsi="仿宋" w:eastAsia="仿宋" w:cs="宋体"/>
                <w:color w:val="000000"/>
                <w:kern w:val="0"/>
                <w:sz w:val="24"/>
                <w:szCs w:val="24"/>
                <w:lang w:eastAsia="zh-CN"/>
              </w:rPr>
              <w:t>时间节点前</w:t>
            </w:r>
            <w:r>
              <w:rPr>
                <w:rFonts w:hint="eastAsia" w:ascii="仿宋" w:hAnsi="仿宋" w:eastAsia="仿宋" w:cs="宋体"/>
                <w:color w:val="000000"/>
                <w:kern w:val="0"/>
                <w:sz w:val="24"/>
                <w:szCs w:val="24"/>
              </w:rPr>
              <w:t>资金的使用</w:t>
            </w:r>
            <w:r>
              <w:rPr>
                <w:rFonts w:hint="eastAsia" w:ascii="仿宋" w:hAnsi="仿宋" w:eastAsia="仿宋" w:cs="宋体"/>
                <w:color w:val="000000"/>
                <w:kern w:val="0"/>
                <w:sz w:val="24"/>
                <w:szCs w:val="24"/>
                <w:lang w:eastAsia="zh-CN"/>
              </w:rPr>
              <w:t>情况和工作完成情况</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val="en-US" w:eastAsia="zh-CN"/>
              </w:rPr>
            </w:pPr>
          </w:p>
        </w:tc>
      </w:tr>
      <w:tr>
        <w:tblPrEx>
          <w:tblCellMar>
            <w:top w:w="0" w:type="dxa"/>
            <w:left w:w="108" w:type="dxa"/>
            <w:bottom w:w="0" w:type="dxa"/>
            <w:right w:w="108" w:type="dxa"/>
          </w:tblCellMar>
        </w:tblPrEx>
        <w:trPr>
          <w:trHeight w:val="600" w:hRule="atLeast"/>
        </w:trPr>
        <w:tc>
          <w:tcPr>
            <w:tcW w:w="1242" w:type="dxa"/>
            <w:vMerge w:val="restart"/>
            <w:tcBorders>
              <w:top w:val="nil"/>
              <w:left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D履职绩效（30分）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D1经济效益（</w:t>
            </w:r>
            <w:r>
              <w:rPr>
                <w:rFonts w:ascii="仿宋" w:hAnsi="仿宋" w:eastAsia="仿宋" w:cs="宋体"/>
                <w:color w:val="000000"/>
                <w:kern w:val="0"/>
                <w:sz w:val="24"/>
                <w:szCs w:val="24"/>
              </w:rPr>
              <w:t>8</w:t>
            </w:r>
            <w:r>
              <w:rPr>
                <w:rFonts w:hint="eastAsia" w:ascii="仿宋" w:hAnsi="仿宋" w:eastAsia="仿宋" w:cs="宋体"/>
                <w:color w:val="000000"/>
                <w:kern w:val="0"/>
                <w:sz w:val="24"/>
                <w:szCs w:val="24"/>
              </w:rPr>
              <w:t>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经济活动中取得的收益性成果</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计算经济性成果</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8</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val="en-US" w:eastAsia="zh-CN"/>
              </w:rPr>
            </w:pPr>
          </w:p>
        </w:tc>
      </w:tr>
      <w:tr>
        <w:tblPrEx>
          <w:tblCellMar>
            <w:top w:w="0" w:type="dxa"/>
            <w:left w:w="108" w:type="dxa"/>
            <w:bottom w:w="0" w:type="dxa"/>
            <w:right w:w="108" w:type="dxa"/>
          </w:tblCellMar>
        </w:tblPrEx>
        <w:trPr>
          <w:trHeight w:val="600" w:hRule="atLeast"/>
        </w:trPr>
        <w:tc>
          <w:tcPr>
            <w:tcW w:w="1242" w:type="dxa"/>
            <w:vMerge w:val="continue"/>
            <w:tcBorders>
              <w:left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D2社会效益（</w:t>
            </w:r>
            <w:r>
              <w:rPr>
                <w:rFonts w:ascii="仿宋" w:hAnsi="仿宋" w:eastAsia="仿宋" w:cs="宋体"/>
                <w:color w:val="000000"/>
                <w:kern w:val="0"/>
                <w:sz w:val="24"/>
                <w:szCs w:val="24"/>
              </w:rPr>
              <w:t>8</w:t>
            </w:r>
            <w:r>
              <w:rPr>
                <w:rFonts w:hint="eastAsia" w:ascii="仿宋" w:hAnsi="仿宋" w:eastAsia="仿宋" w:cs="宋体"/>
                <w:color w:val="000000"/>
                <w:kern w:val="0"/>
                <w:sz w:val="24"/>
                <w:szCs w:val="24"/>
              </w:rPr>
              <w:t>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经济效益之外的对社会有益的效果 </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评价社会性有益效果 </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8</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val="en-US" w:eastAsia="zh-CN"/>
              </w:rPr>
            </w:pPr>
          </w:p>
        </w:tc>
      </w:tr>
      <w:tr>
        <w:tblPrEx>
          <w:tblCellMar>
            <w:top w:w="0" w:type="dxa"/>
            <w:left w:w="108" w:type="dxa"/>
            <w:bottom w:w="0" w:type="dxa"/>
            <w:right w:w="108" w:type="dxa"/>
          </w:tblCellMar>
        </w:tblPrEx>
        <w:trPr>
          <w:trHeight w:val="600" w:hRule="atLeast"/>
        </w:trPr>
        <w:tc>
          <w:tcPr>
            <w:tcW w:w="1242" w:type="dxa"/>
            <w:vMerge w:val="continue"/>
            <w:tcBorders>
              <w:left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D3生态效益（</w:t>
            </w:r>
            <w:r>
              <w:rPr>
                <w:rFonts w:ascii="仿宋" w:hAnsi="仿宋" w:eastAsia="仿宋" w:cs="宋体"/>
                <w:color w:val="000000"/>
                <w:kern w:val="0"/>
                <w:sz w:val="24"/>
                <w:szCs w:val="24"/>
              </w:rPr>
              <w:t>8</w:t>
            </w:r>
            <w:r>
              <w:rPr>
                <w:rFonts w:hint="eastAsia" w:ascii="仿宋" w:hAnsi="仿宋" w:eastAsia="仿宋" w:cs="宋体"/>
                <w:color w:val="000000"/>
                <w:kern w:val="0"/>
                <w:sz w:val="24"/>
                <w:szCs w:val="24"/>
              </w:rPr>
              <w:t>分）</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生态平衡和生态系统的良性高效循环</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评价生态平衡及系统循环情况</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8</w:t>
            </w: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val="en-US" w:eastAsia="zh-CN"/>
              </w:rPr>
            </w:pPr>
          </w:p>
        </w:tc>
      </w:tr>
      <w:tr>
        <w:tblPrEx>
          <w:tblCellMar>
            <w:top w:w="0" w:type="dxa"/>
            <w:left w:w="108" w:type="dxa"/>
            <w:bottom w:w="0" w:type="dxa"/>
            <w:right w:w="108" w:type="dxa"/>
          </w:tblCellMar>
        </w:tblPrEx>
        <w:trPr>
          <w:trHeight w:val="915" w:hRule="atLeast"/>
        </w:trPr>
        <w:tc>
          <w:tcPr>
            <w:tcW w:w="1242" w:type="dxa"/>
            <w:vMerge w:val="continue"/>
            <w:tcBorders>
              <w:left w:val="single" w:color="auto" w:sz="8" w:space="0"/>
              <w:bottom w:val="single" w:color="auto" w:sz="4"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D4满意度（6分）</w:t>
            </w:r>
          </w:p>
        </w:tc>
        <w:tc>
          <w:tcPr>
            <w:tcW w:w="4110"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不设三级指标</w:t>
            </w:r>
          </w:p>
        </w:tc>
        <w:tc>
          <w:tcPr>
            <w:tcW w:w="2977"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包含服务对象（可选）、管理对象（可选）、间接受益对象（可选）等</w:t>
            </w:r>
          </w:p>
        </w:tc>
        <w:tc>
          <w:tcPr>
            <w:tcW w:w="2008" w:type="dxa"/>
            <w:tcBorders>
              <w:top w:val="nil"/>
              <w:left w:val="nil"/>
              <w:bottom w:val="single" w:color="auto" w:sz="4"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涉及检查服务对象、管理对象、间接受益对象评价表；未涉及可得满分</w:t>
            </w:r>
          </w:p>
        </w:tc>
        <w:tc>
          <w:tcPr>
            <w:tcW w:w="1348"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1320"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rPr>
            </w:pPr>
          </w:p>
        </w:tc>
      </w:tr>
      <w:tr>
        <w:tblPrEx>
          <w:tblCellMar>
            <w:top w:w="0" w:type="dxa"/>
            <w:left w:w="108" w:type="dxa"/>
            <w:bottom w:w="0" w:type="dxa"/>
            <w:right w:w="108" w:type="dxa"/>
          </w:tblCellMar>
        </w:tblPrEx>
        <w:trPr>
          <w:trHeight w:val="600" w:hRule="atLeast"/>
        </w:trPr>
        <w:tc>
          <w:tcPr>
            <w:tcW w:w="1242"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E可持续发展能力（5分）</w:t>
            </w:r>
          </w:p>
        </w:tc>
        <w:tc>
          <w:tcPr>
            <w:tcW w:w="15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E1信息化建设情况（</w:t>
            </w:r>
            <w:r>
              <w:rPr>
                <w:rFonts w:hint="eastAsia" w:ascii="仿宋" w:hAnsi="仿宋" w:eastAsia="仿宋" w:cs="宋体"/>
                <w:color w:val="000000"/>
                <w:kern w:val="0"/>
                <w:sz w:val="24"/>
                <w:szCs w:val="24"/>
                <w:lang w:val="en-US" w:eastAsia="zh-CN"/>
              </w:rPr>
              <w:t>5</w:t>
            </w:r>
            <w:r>
              <w:rPr>
                <w:rFonts w:hint="eastAsia" w:ascii="仿宋" w:hAnsi="仿宋" w:eastAsia="仿宋" w:cs="宋体"/>
                <w:color w:val="000000"/>
                <w:kern w:val="0"/>
                <w:sz w:val="24"/>
                <w:szCs w:val="24"/>
              </w:rPr>
              <w:t>分）</w:t>
            </w:r>
          </w:p>
        </w:tc>
        <w:tc>
          <w:tcPr>
            <w:tcW w:w="411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不设三级指标</w:t>
            </w:r>
          </w:p>
        </w:tc>
        <w:tc>
          <w:tcPr>
            <w:tcW w:w="2977"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办公流程、业务开展是否能通过单位的信息系统实现</w:t>
            </w:r>
          </w:p>
        </w:tc>
        <w:tc>
          <w:tcPr>
            <w:tcW w:w="2008" w:type="dxa"/>
            <w:tcBorders>
              <w:top w:val="single" w:color="auto" w:sz="8" w:space="0"/>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检查或进行穿行测试</w:t>
            </w:r>
          </w:p>
        </w:tc>
        <w:tc>
          <w:tcPr>
            <w:tcW w:w="1348"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5</w:t>
            </w:r>
          </w:p>
        </w:tc>
        <w:tc>
          <w:tcPr>
            <w:tcW w:w="132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hint="eastAsia" w:ascii="仿宋" w:hAnsi="仿宋" w:eastAsia="仿宋" w:cs="宋体"/>
                <w:color w:val="000000"/>
                <w:kern w:val="0"/>
                <w:sz w:val="24"/>
                <w:szCs w:val="24"/>
                <w:lang w:val="en-US" w:eastAsia="zh-CN"/>
              </w:rPr>
            </w:pPr>
          </w:p>
        </w:tc>
      </w:tr>
      <w:tr>
        <w:tblPrEx>
          <w:tblCellMar>
            <w:top w:w="0" w:type="dxa"/>
            <w:left w:w="108" w:type="dxa"/>
            <w:bottom w:w="0" w:type="dxa"/>
            <w:right w:w="108" w:type="dxa"/>
          </w:tblCellMar>
        </w:tblPrEx>
        <w:trPr>
          <w:trHeight w:val="600" w:hRule="atLeast"/>
        </w:trPr>
        <w:tc>
          <w:tcPr>
            <w:tcW w:w="12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E2人力资源建设情况（）</w:t>
            </w:r>
          </w:p>
        </w:tc>
        <w:tc>
          <w:tcPr>
            <w:tcW w:w="4110" w:type="dxa"/>
            <w:tcBorders>
              <w:top w:val="nil"/>
              <w:left w:val="nil"/>
              <w:bottom w:val="single" w:color="auto" w:sz="8" w:space="0"/>
              <w:right w:val="single" w:color="auto" w:sz="8"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包含人才培养计划、人才选拔运用、激励措施等</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适用检查是否有人才培养计划、人才选拔运用及激励措施方面形成的文件；不适用可得满分</w:t>
            </w:r>
          </w:p>
        </w:tc>
        <w:tc>
          <w:tcPr>
            <w:tcW w:w="1348" w:type="dxa"/>
            <w:tcBorders>
              <w:top w:val="nil"/>
              <w:left w:val="single" w:color="auto" w:sz="4" w:space="0"/>
              <w:bottom w:val="single" w:color="auto" w:sz="8" w:space="0"/>
              <w:right w:val="single" w:color="auto" w:sz="8"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p>
        </w:tc>
        <w:tc>
          <w:tcPr>
            <w:tcW w:w="1320" w:type="dxa"/>
            <w:tcBorders>
              <w:top w:val="nil"/>
              <w:left w:val="single" w:color="auto" w:sz="4" w:space="0"/>
              <w:bottom w:val="single" w:color="auto" w:sz="8" w:space="0"/>
              <w:right w:val="single" w:color="auto" w:sz="8" w:space="0"/>
            </w:tcBorders>
            <w:shd w:val="clear" w:color="auto" w:fill="auto"/>
            <w:noWrap/>
            <w:vAlign w:val="center"/>
          </w:tcPr>
          <w:p>
            <w:pPr>
              <w:widowControl/>
              <w:jc w:val="center"/>
              <w:rPr>
                <w:rFonts w:hint="eastAsia" w:ascii="等线" w:hAnsi="等线" w:eastAsia="等线" w:cs="宋体"/>
                <w:color w:val="000000"/>
                <w:kern w:val="0"/>
                <w:sz w:val="22"/>
                <w:lang w:val="en-US" w:eastAsia="zh-CN"/>
              </w:rPr>
            </w:pPr>
          </w:p>
        </w:tc>
      </w:tr>
      <w:tr>
        <w:tblPrEx>
          <w:tblCellMar>
            <w:top w:w="0" w:type="dxa"/>
            <w:left w:w="108" w:type="dxa"/>
            <w:bottom w:w="0" w:type="dxa"/>
            <w:right w:w="108" w:type="dxa"/>
          </w:tblCellMar>
        </w:tblPrEx>
        <w:trPr>
          <w:trHeight w:val="600" w:hRule="atLeast"/>
        </w:trPr>
        <w:tc>
          <w:tcPr>
            <w:tcW w:w="12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E3部门创新情况（）</w:t>
            </w:r>
          </w:p>
        </w:tc>
        <w:tc>
          <w:tcPr>
            <w:tcW w:w="4110" w:type="dxa"/>
            <w:tcBorders>
              <w:top w:val="nil"/>
              <w:left w:val="nil"/>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包含制度创新、方法创新等</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2"/>
              </w:rPr>
            </w:pPr>
            <w:r>
              <w:rPr>
                <w:rFonts w:hint="eastAsia" w:ascii="仿宋" w:hAnsi="仿宋" w:eastAsia="仿宋" w:cs="宋体"/>
                <w:color w:val="000000"/>
                <w:kern w:val="0"/>
                <w:sz w:val="22"/>
              </w:rPr>
              <w:t>部门（单位）需提供创新案例被官方媒体报道的佐证材料</w:t>
            </w:r>
          </w:p>
        </w:tc>
        <w:tc>
          <w:tcPr>
            <w:tcW w:w="1348" w:type="dxa"/>
            <w:tcBorders>
              <w:top w:val="nil"/>
              <w:left w:val="single" w:color="auto" w:sz="4"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2"/>
              </w:rPr>
            </w:pPr>
          </w:p>
        </w:tc>
        <w:tc>
          <w:tcPr>
            <w:tcW w:w="1320" w:type="dxa"/>
            <w:tcBorders>
              <w:top w:val="nil"/>
              <w:left w:val="single" w:color="auto" w:sz="4"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2"/>
              </w:rPr>
            </w:pPr>
          </w:p>
        </w:tc>
      </w:tr>
      <w:tr>
        <w:tblPrEx>
          <w:tblCellMar>
            <w:top w:w="0" w:type="dxa"/>
            <w:left w:w="108" w:type="dxa"/>
            <w:bottom w:w="0" w:type="dxa"/>
            <w:right w:w="108" w:type="dxa"/>
          </w:tblCellMar>
        </w:tblPrEx>
        <w:trPr>
          <w:trHeight w:val="923" w:hRule="atLeast"/>
        </w:trPr>
        <w:tc>
          <w:tcPr>
            <w:tcW w:w="1242"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F加减分项（≤5分）</w:t>
            </w: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F1加分项</w:t>
            </w:r>
          </w:p>
        </w:tc>
        <w:tc>
          <w:tcPr>
            <w:tcW w:w="411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部门（单位）受到国务院、省级、市级嘉奖</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受到国务院嘉奖加3分，受到省级嘉奖加2分，得到市级考核一等奖加1分，得到市级考核二等奖加0.5分；同一项工作不累计加分</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仿宋" w:hAnsi="仿宋" w:eastAsia="仿宋" w:cs="宋体"/>
                <w:color w:val="000000"/>
                <w:kern w:val="0"/>
                <w:sz w:val="24"/>
                <w:szCs w:val="24"/>
                <w:lang w:val="en-US" w:eastAsia="zh-CN"/>
              </w:rPr>
            </w:pPr>
          </w:p>
        </w:tc>
      </w:tr>
      <w:tr>
        <w:tblPrEx>
          <w:tblCellMar>
            <w:top w:w="0" w:type="dxa"/>
            <w:left w:w="108" w:type="dxa"/>
            <w:bottom w:w="0" w:type="dxa"/>
            <w:right w:w="108" w:type="dxa"/>
          </w:tblCellMar>
        </w:tblPrEx>
        <w:trPr>
          <w:trHeight w:val="600" w:hRule="atLeast"/>
        </w:trPr>
        <w:tc>
          <w:tcPr>
            <w:tcW w:w="1242" w:type="dxa"/>
            <w:vMerge w:val="continue"/>
            <w:tcBorders>
              <w:top w:val="nil"/>
              <w:left w:val="single" w:color="auto" w:sz="8" w:space="0"/>
              <w:bottom w:val="single" w:color="auto"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1560"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F2减分项</w:t>
            </w:r>
          </w:p>
        </w:tc>
        <w:tc>
          <w:tcPr>
            <w:tcW w:w="4110" w:type="dxa"/>
            <w:tcBorders>
              <w:top w:val="nil"/>
              <w:left w:val="nil"/>
              <w:bottom w:val="single" w:color="auto" w:sz="8" w:space="0"/>
              <w:right w:val="single" w:color="auto" w:sz="8"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r>
              <w:rPr>
                <w:rFonts w:hint="eastAsia" w:ascii="仿宋" w:hAnsi="仿宋" w:eastAsia="仿宋" w:cs="宋体"/>
                <w:color w:val="000000"/>
                <w:kern w:val="0"/>
                <w:sz w:val="24"/>
                <w:szCs w:val="24"/>
              </w:rPr>
              <w:t>不设三级指标</w:t>
            </w:r>
          </w:p>
        </w:tc>
        <w:tc>
          <w:tcPr>
            <w:tcW w:w="2977"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部门（单位）或工作人员违法违纪</w:t>
            </w:r>
          </w:p>
        </w:tc>
        <w:tc>
          <w:tcPr>
            <w:tcW w:w="2008" w:type="dxa"/>
            <w:tcBorders>
              <w:top w:val="nil"/>
              <w:left w:val="nil"/>
              <w:bottom w:val="single" w:color="auto" w:sz="8" w:space="0"/>
              <w:right w:val="single" w:color="auto" w:sz="4" w:space="0"/>
            </w:tcBorders>
            <w:vAlign w:val="center"/>
          </w:tcPr>
          <w:p>
            <w:pPr>
              <w:widowControl/>
              <w:jc w:val="both"/>
              <w:rPr>
                <w:rFonts w:ascii="仿宋" w:hAnsi="仿宋" w:eastAsia="仿宋" w:cs="宋体"/>
                <w:color w:val="000000"/>
                <w:kern w:val="0"/>
                <w:sz w:val="24"/>
                <w:szCs w:val="24"/>
              </w:rPr>
            </w:pPr>
            <w:r>
              <w:rPr>
                <w:rFonts w:hint="eastAsia" w:ascii="仿宋" w:hAnsi="仿宋" w:eastAsia="仿宋" w:cs="宋体"/>
                <w:color w:val="000000"/>
                <w:kern w:val="0"/>
                <w:sz w:val="24"/>
                <w:szCs w:val="24"/>
              </w:rPr>
              <w:t>酌情扣分</w:t>
            </w:r>
          </w:p>
        </w:tc>
        <w:tc>
          <w:tcPr>
            <w:tcW w:w="1348"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p>
        </w:tc>
        <w:tc>
          <w:tcPr>
            <w:tcW w:w="13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4"/>
                <w:szCs w:val="24"/>
              </w:rPr>
            </w:pP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ZHTK--GBK1-0">
    <w:altName w:val="Times New Roman"/>
    <w:panose1 w:val="00000000000000000000"/>
    <w:charset w:val="00"/>
    <w:family w:val="roman"/>
    <w:pitch w:val="default"/>
    <w:sig w:usb0="00000000" w:usb1="00000000" w:usb2="00000000"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NmYyNzU1MGRlOTEyZTcyM2I0ZDJiNzVmNzAzNjQifQ=="/>
  </w:docVars>
  <w:rsids>
    <w:rsidRoot w:val="00000000"/>
    <w:rsid w:val="03F17E5A"/>
    <w:rsid w:val="042B091D"/>
    <w:rsid w:val="04811363"/>
    <w:rsid w:val="0493049F"/>
    <w:rsid w:val="05D63C0A"/>
    <w:rsid w:val="06E457A5"/>
    <w:rsid w:val="06F364B7"/>
    <w:rsid w:val="0D2D6BAA"/>
    <w:rsid w:val="11F92677"/>
    <w:rsid w:val="124060E1"/>
    <w:rsid w:val="1445780D"/>
    <w:rsid w:val="151614D3"/>
    <w:rsid w:val="19396750"/>
    <w:rsid w:val="19EA066C"/>
    <w:rsid w:val="1BA10EAC"/>
    <w:rsid w:val="1CAB3AB7"/>
    <w:rsid w:val="1EC23DDB"/>
    <w:rsid w:val="20206E50"/>
    <w:rsid w:val="228E42CB"/>
    <w:rsid w:val="22AA0CEF"/>
    <w:rsid w:val="22AF4E05"/>
    <w:rsid w:val="23131D72"/>
    <w:rsid w:val="253D581B"/>
    <w:rsid w:val="256555D9"/>
    <w:rsid w:val="25F645E7"/>
    <w:rsid w:val="26BB1A4A"/>
    <w:rsid w:val="270E376B"/>
    <w:rsid w:val="283C0315"/>
    <w:rsid w:val="296A07EB"/>
    <w:rsid w:val="29F971A6"/>
    <w:rsid w:val="2B9822BB"/>
    <w:rsid w:val="2BBA7A33"/>
    <w:rsid w:val="2D5D7F1A"/>
    <w:rsid w:val="30FE204F"/>
    <w:rsid w:val="311E0923"/>
    <w:rsid w:val="32D24D8F"/>
    <w:rsid w:val="34E2596D"/>
    <w:rsid w:val="377942AF"/>
    <w:rsid w:val="3A061F6C"/>
    <w:rsid w:val="3D7A744B"/>
    <w:rsid w:val="3EE620BC"/>
    <w:rsid w:val="420A2D9F"/>
    <w:rsid w:val="42477398"/>
    <w:rsid w:val="42A73B04"/>
    <w:rsid w:val="43CC1305"/>
    <w:rsid w:val="457A179C"/>
    <w:rsid w:val="45B813F6"/>
    <w:rsid w:val="48C7097C"/>
    <w:rsid w:val="4B746FDA"/>
    <w:rsid w:val="4BD7743F"/>
    <w:rsid w:val="4D4E68DD"/>
    <w:rsid w:val="4EFF083A"/>
    <w:rsid w:val="5056565C"/>
    <w:rsid w:val="513A0F90"/>
    <w:rsid w:val="52285A1B"/>
    <w:rsid w:val="547854C6"/>
    <w:rsid w:val="55BE2722"/>
    <w:rsid w:val="5AAF7D96"/>
    <w:rsid w:val="5ACA3DCE"/>
    <w:rsid w:val="5AE53896"/>
    <w:rsid w:val="5BA04B39"/>
    <w:rsid w:val="5BB95778"/>
    <w:rsid w:val="5CD46D1D"/>
    <w:rsid w:val="5E0F251B"/>
    <w:rsid w:val="64BA4EC4"/>
    <w:rsid w:val="656A5FD8"/>
    <w:rsid w:val="656E056F"/>
    <w:rsid w:val="67BE4367"/>
    <w:rsid w:val="688C3C51"/>
    <w:rsid w:val="68BD50E0"/>
    <w:rsid w:val="6A3D0917"/>
    <w:rsid w:val="6C6D6767"/>
    <w:rsid w:val="6C7D1A01"/>
    <w:rsid w:val="6D881B28"/>
    <w:rsid w:val="6DBF3DD2"/>
    <w:rsid w:val="7441233D"/>
    <w:rsid w:val="74F073BA"/>
    <w:rsid w:val="76FC0E6E"/>
    <w:rsid w:val="794169B7"/>
    <w:rsid w:val="7B5E0E62"/>
    <w:rsid w:val="7B61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eastAsia="宋体" w:cs="Courier New"/>
      <w:szCs w:val="21"/>
      <w:lang w:bidi="ar-SA"/>
    </w:rPr>
  </w:style>
  <w:style w:type="paragraph" w:styleId="3">
    <w:name w:val="footer"/>
    <w:basedOn w:val="1"/>
    <w:link w:val="8"/>
    <w:unhideWhenUsed/>
    <w:qFormat/>
    <w:uiPriority w:val="99"/>
    <w:pPr>
      <w:tabs>
        <w:tab w:val="center" w:pos="4153"/>
        <w:tab w:val="right" w:pos="8306"/>
      </w:tabs>
      <w:snapToGrid w:val="0"/>
      <w:ind w:firstLine="200" w:firstLineChars="200"/>
      <w:jc w:val="left"/>
    </w:pPr>
    <w:rPr>
      <w:rFonts w:ascii="Times New Roman" w:hAnsi="Times New Roman" w:eastAsia="仿宋"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ind w:firstLine="200" w:firstLineChars="200"/>
      <w:jc w:val="center"/>
    </w:pPr>
    <w:rPr>
      <w:rFonts w:ascii="Times New Roman" w:hAnsi="Times New Roman" w:eastAsia="仿宋" w:cstheme="minorBidi"/>
      <w:sz w:val="18"/>
      <w:szCs w:val="18"/>
    </w:rPr>
  </w:style>
  <w:style w:type="character" w:customStyle="1" w:styleId="7">
    <w:name w:val="页眉 字符"/>
    <w:basedOn w:val="6"/>
    <w:link w:val="4"/>
    <w:qFormat/>
    <w:uiPriority w:val="99"/>
    <w:rPr>
      <w:rFonts w:ascii="Times New Roman" w:hAnsi="Times New Roman" w:eastAsia="仿宋" w:cstheme="minorBidi"/>
      <w:sz w:val="18"/>
      <w:szCs w:val="18"/>
    </w:rPr>
  </w:style>
  <w:style w:type="character" w:customStyle="1" w:styleId="8">
    <w:name w:val="页脚 字符"/>
    <w:basedOn w:val="6"/>
    <w:link w:val="3"/>
    <w:qFormat/>
    <w:uiPriority w:val="99"/>
    <w:rPr>
      <w:rFonts w:ascii="Times New Roman" w:hAnsi="Times New Roman" w:eastAsia="仿宋" w:cstheme="minorBidi"/>
      <w:sz w:val="18"/>
      <w:szCs w:val="18"/>
    </w:rPr>
  </w:style>
  <w:style w:type="character" w:customStyle="1" w:styleId="9">
    <w:name w:val="fontstyle01"/>
    <w:basedOn w:val="6"/>
    <w:qFormat/>
    <w:uiPriority w:val="0"/>
    <w:rPr>
      <w:rFonts w:hint="default" w:ascii="FZXBSK--GBK1-0" w:hAnsi="FZXBSK--GBK1-0"/>
      <w:color w:val="00000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6337</Words>
  <Characters>6641</Characters>
  <Lines>16</Lines>
  <Paragraphs>4</Paragraphs>
  <TotalTime>25</TotalTime>
  <ScaleCrop>false</ScaleCrop>
  <LinksUpToDate>false</LinksUpToDate>
  <CharactersWithSpaces>6663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2020-07-17T04:34:00Z</dcterms:created>
  <dc:creator>q13851438300@outlook.com</dc:creator>
  <cp:lastModifiedBy>李宗艳</cp:lastModifiedBy>
  <cp:lastPrinted>2025-06-16T09:05:00Z</cp:lastPrinted>
  <dcterms:modified xsi:type="dcterms:W3CDTF">2025-11-20T10:15:45Z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FAFB09AB224D478DAA5A516C42208D57_12</vt:lpwstr>
  </property>
</Properties>
</file>