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E5F" w:rsidRDefault="00546D50">
      <w:pPr>
        <w:widowControl/>
        <w:spacing w:line="560" w:lineRule="exact"/>
        <w:jc w:val="center"/>
        <w:rPr>
          <w:rFonts w:eastAsia="方正小标宋简体"/>
          <w:sz w:val="36"/>
          <w:szCs w:val="36"/>
        </w:rPr>
      </w:pPr>
      <w:bookmarkStart w:id="0" w:name="_GoBack"/>
      <w:r>
        <w:rPr>
          <w:rFonts w:eastAsia="方正小标宋简体"/>
          <w:sz w:val="36"/>
          <w:szCs w:val="36"/>
        </w:rPr>
        <w:t>202</w:t>
      </w:r>
      <w:r>
        <w:rPr>
          <w:rFonts w:eastAsia="方正小标宋简体" w:hint="eastAsia"/>
          <w:sz w:val="36"/>
          <w:szCs w:val="36"/>
        </w:rPr>
        <w:t>4</w:t>
      </w:r>
      <w:r>
        <w:rPr>
          <w:rFonts w:eastAsia="方正小标宋简体"/>
          <w:sz w:val="36"/>
          <w:szCs w:val="36"/>
        </w:rPr>
        <w:t>年度</w:t>
      </w:r>
      <w:r>
        <w:rPr>
          <w:rFonts w:eastAsia="方正小标宋简体" w:hint="eastAsia"/>
          <w:sz w:val="36"/>
          <w:szCs w:val="36"/>
        </w:rPr>
        <w:t>南京市畜牧兽医站</w:t>
      </w:r>
      <w:r>
        <w:rPr>
          <w:rFonts w:eastAsia="方正小标宋简体"/>
          <w:sz w:val="36"/>
          <w:szCs w:val="36"/>
        </w:rPr>
        <w:t>整体绩效自评价报告</w:t>
      </w:r>
    </w:p>
    <w:bookmarkEnd w:id="0"/>
    <w:p w:rsidR="00133E5F" w:rsidRDefault="00133E5F">
      <w:pPr>
        <w:widowControl/>
        <w:spacing w:line="520" w:lineRule="exact"/>
        <w:ind w:firstLineChars="200" w:firstLine="640"/>
        <w:jc w:val="left"/>
        <w:rPr>
          <w:rFonts w:eastAsia="黑体"/>
          <w:color w:val="000000"/>
          <w:kern w:val="0"/>
          <w:sz w:val="32"/>
          <w:szCs w:val="32"/>
        </w:rPr>
      </w:pPr>
    </w:p>
    <w:p w:rsidR="00133E5F" w:rsidRDefault="00546D50">
      <w:pPr>
        <w:widowControl/>
        <w:spacing w:line="560" w:lineRule="exact"/>
        <w:ind w:firstLineChars="200" w:firstLine="640"/>
        <w:jc w:val="left"/>
        <w:rPr>
          <w:rFonts w:eastAsia="黑体"/>
          <w:color w:val="000000"/>
          <w:kern w:val="0"/>
          <w:sz w:val="32"/>
          <w:szCs w:val="32"/>
        </w:rPr>
      </w:pPr>
      <w:r>
        <w:rPr>
          <w:rFonts w:eastAsia="黑体"/>
          <w:color w:val="000000"/>
          <w:kern w:val="0"/>
          <w:sz w:val="32"/>
          <w:szCs w:val="32"/>
        </w:rPr>
        <w:t>一、部门（单位）概况</w:t>
      </w:r>
    </w:p>
    <w:p w:rsidR="00133E5F" w:rsidRDefault="00546D50">
      <w:pPr>
        <w:spacing w:line="560" w:lineRule="exact"/>
        <w:ind w:firstLineChars="200" w:firstLine="640"/>
        <w:rPr>
          <w:rFonts w:eastAsia="仿宋"/>
          <w:sz w:val="32"/>
          <w:szCs w:val="32"/>
        </w:rPr>
      </w:pPr>
      <w:r>
        <w:rPr>
          <w:rFonts w:eastAsia="仿宋"/>
          <w:color w:val="000000"/>
          <w:kern w:val="0"/>
          <w:sz w:val="32"/>
          <w:szCs w:val="32"/>
        </w:rPr>
        <w:t>（一）部门（单位）</w:t>
      </w:r>
      <w:r>
        <w:rPr>
          <w:rFonts w:eastAsia="仿宋"/>
          <w:sz w:val="32"/>
          <w:szCs w:val="32"/>
        </w:rPr>
        <w:t>基本情况</w:t>
      </w:r>
    </w:p>
    <w:p w:rsidR="00133E5F" w:rsidRDefault="00546D50">
      <w:pPr>
        <w:spacing w:line="560" w:lineRule="exact"/>
        <w:ind w:firstLineChars="200" w:firstLine="600"/>
        <w:jc w:val="left"/>
        <w:rPr>
          <w:rFonts w:ascii="仿宋" w:eastAsia="仿宋" w:cs="仿宋"/>
          <w:sz w:val="30"/>
          <w:szCs w:val="30"/>
        </w:rPr>
      </w:pPr>
      <w:r>
        <w:rPr>
          <w:rFonts w:ascii="仿宋" w:eastAsia="仿宋" w:cs="仿宋" w:hint="eastAsia"/>
          <w:sz w:val="30"/>
          <w:szCs w:val="30"/>
        </w:rPr>
        <w:t>南京市畜牧兽医站是全额拨款事业单位，主管部门为南京市农业农村局。</w:t>
      </w:r>
      <w:r>
        <w:rPr>
          <w:rFonts w:ascii="仿宋" w:eastAsia="仿宋" w:cs="仿宋"/>
          <w:sz w:val="30"/>
          <w:szCs w:val="30"/>
        </w:rPr>
        <w:t>内设办公室、财务科、防疫科、监测科</w:t>
      </w:r>
      <w:r>
        <w:rPr>
          <w:rFonts w:ascii="仿宋" w:eastAsia="仿宋" w:cs="仿宋" w:hint="eastAsia"/>
          <w:sz w:val="30"/>
          <w:szCs w:val="30"/>
        </w:rPr>
        <w:t>、</w:t>
      </w:r>
      <w:r>
        <w:rPr>
          <w:rFonts w:ascii="仿宋" w:eastAsia="仿宋" w:cs="仿宋"/>
          <w:sz w:val="30"/>
          <w:szCs w:val="30"/>
        </w:rPr>
        <w:t>评估室</w:t>
      </w:r>
      <w:r>
        <w:rPr>
          <w:rFonts w:ascii="仿宋" w:eastAsia="仿宋" w:cs="仿宋" w:hint="eastAsia"/>
          <w:sz w:val="30"/>
          <w:szCs w:val="30"/>
        </w:rPr>
        <w:t>和检疫科</w:t>
      </w:r>
      <w:r>
        <w:rPr>
          <w:rFonts w:ascii="仿宋" w:eastAsia="仿宋" w:cs="仿宋"/>
          <w:sz w:val="30"/>
          <w:szCs w:val="30"/>
        </w:rPr>
        <w:t>等</w:t>
      </w:r>
      <w:r>
        <w:rPr>
          <w:rFonts w:ascii="仿宋" w:eastAsia="仿宋" w:cs="仿宋" w:hint="eastAsia"/>
          <w:sz w:val="30"/>
          <w:szCs w:val="30"/>
        </w:rPr>
        <w:t>6</w:t>
      </w:r>
      <w:r>
        <w:rPr>
          <w:rFonts w:ascii="仿宋" w:eastAsia="仿宋" w:cs="仿宋"/>
          <w:sz w:val="30"/>
          <w:szCs w:val="30"/>
        </w:rPr>
        <w:t>个内设机构。</w:t>
      </w:r>
    </w:p>
    <w:p w:rsidR="00133E5F" w:rsidRDefault="00546D50">
      <w:pPr>
        <w:spacing w:line="560" w:lineRule="exact"/>
        <w:ind w:firstLineChars="200" w:firstLine="600"/>
        <w:jc w:val="left"/>
        <w:rPr>
          <w:rFonts w:ascii="仿宋" w:eastAsia="仿宋" w:cs="仿宋"/>
          <w:sz w:val="30"/>
          <w:szCs w:val="30"/>
        </w:rPr>
      </w:pPr>
      <w:r>
        <w:rPr>
          <w:rFonts w:ascii="仿宋" w:eastAsia="仿宋" w:cs="仿宋"/>
          <w:sz w:val="30"/>
          <w:szCs w:val="30"/>
        </w:rPr>
        <w:t>主要职责为：</w:t>
      </w:r>
      <w:r>
        <w:rPr>
          <w:rFonts w:ascii="仿宋" w:eastAsia="仿宋" w:cs="仿宋" w:hint="eastAsia"/>
          <w:sz w:val="30"/>
          <w:szCs w:val="30"/>
        </w:rPr>
        <w:t>承担动物重大疫病防控技术的研究推广和防控技术方案的制定工作；承担动物防疫、检疫及疫病的监测、流行病学</w:t>
      </w:r>
      <w:r w:rsidR="00A93B89">
        <w:rPr>
          <w:rFonts w:ascii="仿宋" w:eastAsia="仿宋" w:cs="仿宋" w:hint="eastAsia"/>
          <w:sz w:val="30"/>
          <w:szCs w:val="30"/>
        </w:rPr>
        <w:t>调查</w:t>
      </w:r>
      <w:r>
        <w:rPr>
          <w:rFonts w:ascii="仿宋" w:eastAsia="仿宋" w:cs="仿宋" w:hint="eastAsia"/>
          <w:sz w:val="30"/>
          <w:szCs w:val="30"/>
        </w:rPr>
        <w:t>、疫情报告、预警、预报工作；承担动物疫病防控的技术指导、技术培训、科普宣传等工作。</w:t>
      </w:r>
    </w:p>
    <w:p w:rsidR="00133E5F" w:rsidRDefault="00546D50">
      <w:pPr>
        <w:spacing w:line="560" w:lineRule="exact"/>
        <w:ind w:firstLineChars="200" w:firstLine="600"/>
        <w:jc w:val="left"/>
        <w:rPr>
          <w:rFonts w:ascii="仿宋" w:eastAsia="仿宋" w:cs="仿宋"/>
          <w:sz w:val="30"/>
          <w:szCs w:val="30"/>
        </w:rPr>
      </w:pPr>
      <w:r>
        <w:rPr>
          <w:rFonts w:ascii="仿宋" w:eastAsia="仿宋" w:cs="仿宋" w:hint="eastAsia"/>
          <w:sz w:val="30"/>
          <w:szCs w:val="30"/>
        </w:rPr>
        <w:t>截</w:t>
      </w:r>
      <w:r w:rsidR="00D604B1">
        <w:rPr>
          <w:rFonts w:ascii="仿宋" w:eastAsia="仿宋" w:cs="仿宋" w:hint="eastAsia"/>
          <w:sz w:val="30"/>
          <w:szCs w:val="30"/>
        </w:rPr>
        <w:t>至</w:t>
      </w:r>
      <w:r>
        <w:rPr>
          <w:rFonts w:ascii="仿宋" w:eastAsia="仿宋" w:cs="仿宋" w:hint="eastAsia"/>
          <w:sz w:val="30"/>
          <w:szCs w:val="30"/>
        </w:rPr>
        <w:t>2024年底，我站核定编制数38人，实有在编人数31人，聘用人员11人，退休22人。我站固定资产总额18198546.86元。</w:t>
      </w:r>
    </w:p>
    <w:p w:rsidR="00133E5F" w:rsidRDefault="00546D50">
      <w:pPr>
        <w:widowControl/>
        <w:spacing w:line="560" w:lineRule="exact"/>
        <w:ind w:firstLineChars="200" w:firstLine="640"/>
        <w:jc w:val="left"/>
        <w:rPr>
          <w:rFonts w:eastAsia="仿宋"/>
          <w:kern w:val="0"/>
          <w:sz w:val="24"/>
        </w:rPr>
      </w:pPr>
      <w:r>
        <w:rPr>
          <w:rFonts w:eastAsia="仿宋"/>
          <w:color w:val="000000"/>
          <w:kern w:val="0"/>
          <w:sz w:val="32"/>
          <w:szCs w:val="32"/>
        </w:rPr>
        <w:t>（二）部门（单位）收支情况</w:t>
      </w:r>
    </w:p>
    <w:p w:rsidR="00133E5F" w:rsidRDefault="00546D50">
      <w:pPr>
        <w:spacing w:line="560" w:lineRule="exact"/>
        <w:ind w:firstLineChars="200" w:firstLine="600"/>
        <w:jc w:val="left"/>
        <w:rPr>
          <w:rFonts w:ascii="仿宋" w:eastAsia="仿宋" w:cs="仿宋"/>
          <w:sz w:val="30"/>
          <w:szCs w:val="30"/>
        </w:rPr>
      </w:pPr>
      <w:r>
        <w:rPr>
          <w:rFonts w:ascii="仿宋" w:eastAsia="仿宋" w:cs="仿宋" w:hint="eastAsia"/>
          <w:sz w:val="30"/>
          <w:szCs w:val="30"/>
        </w:rPr>
        <w:t>2024年一般预算拨款收入为13592748.04元，其他收入218.38元。</w:t>
      </w:r>
    </w:p>
    <w:p w:rsidR="00133E5F" w:rsidRDefault="00546D50">
      <w:pPr>
        <w:spacing w:line="560" w:lineRule="exact"/>
        <w:ind w:firstLineChars="200" w:firstLine="600"/>
        <w:jc w:val="left"/>
        <w:rPr>
          <w:rFonts w:ascii="仿宋" w:eastAsia="仿宋" w:cs="仿宋"/>
          <w:sz w:val="30"/>
          <w:szCs w:val="30"/>
        </w:rPr>
      </w:pPr>
      <w:r>
        <w:rPr>
          <w:rFonts w:ascii="仿宋" w:eastAsia="仿宋" w:cs="仿宋" w:hint="eastAsia"/>
          <w:sz w:val="30"/>
          <w:szCs w:val="30"/>
        </w:rPr>
        <w:t>2024年决算基本支出11257239.91元，项目支出2180663.87元。</w:t>
      </w:r>
    </w:p>
    <w:p w:rsidR="00133E5F" w:rsidRDefault="00546D50">
      <w:pPr>
        <w:spacing w:line="560" w:lineRule="exact"/>
        <w:ind w:firstLineChars="200" w:firstLine="640"/>
        <w:rPr>
          <w:rFonts w:eastAsia="仿宋"/>
          <w:color w:val="000000"/>
          <w:kern w:val="0"/>
          <w:sz w:val="32"/>
          <w:szCs w:val="32"/>
        </w:rPr>
      </w:pPr>
      <w:r>
        <w:rPr>
          <w:rFonts w:eastAsia="仿宋"/>
          <w:color w:val="000000"/>
          <w:kern w:val="0"/>
          <w:sz w:val="32"/>
          <w:szCs w:val="32"/>
        </w:rPr>
        <w:t>（三）部门（单位）绩效目标</w:t>
      </w:r>
    </w:p>
    <w:p w:rsidR="00133E5F" w:rsidRDefault="00546D50">
      <w:pPr>
        <w:spacing w:line="560" w:lineRule="exact"/>
        <w:ind w:firstLineChars="200" w:firstLine="640"/>
        <w:rPr>
          <w:rFonts w:eastAsia="仿宋"/>
          <w:color w:val="000000"/>
          <w:kern w:val="0"/>
          <w:sz w:val="32"/>
          <w:szCs w:val="32"/>
        </w:rPr>
      </w:pPr>
      <w:r>
        <w:rPr>
          <w:rFonts w:eastAsia="仿宋" w:hint="eastAsia"/>
          <w:color w:val="000000"/>
          <w:kern w:val="0"/>
          <w:sz w:val="32"/>
          <w:szCs w:val="32"/>
        </w:rPr>
        <w:t>单位中长期规划：切实推进各项防控措施的贯彻落实，完成各项既定任务，保障人畜生命健康安全。</w:t>
      </w:r>
    </w:p>
    <w:p w:rsidR="00133E5F" w:rsidRDefault="00546D50">
      <w:pPr>
        <w:spacing w:line="560" w:lineRule="exact"/>
        <w:ind w:firstLineChars="200" w:firstLine="600"/>
        <w:jc w:val="left"/>
        <w:rPr>
          <w:rFonts w:ascii="仿宋" w:eastAsia="仿宋" w:cs="仿宋"/>
          <w:sz w:val="30"/>
          <w:szCs w:val="30"/>
        </w:rPr>
      </w:pPr>
      <w:r>
        <w:rPr>
          <w:rFonts w:ascii="仿宋" w:eastAsia="仿宋" w:cs="仿宋" w:hint="eastAsia"/>
          <w:sz w:val="30"/>
          <w:szCs w:val="30"/>
        </w:rPr>
        <w:t>单位年度目标：有效开展重大动物疫病免疫效果监测工作；有效开展重大动物疫病强制免疫和血吸虫病查治工作</w:t>
      </w:r>
      <w:r>
        <w:rPr>
          <w:rFonts w:ascii="仿宋" w:eastAsia="仿宋" w:cs="仿宋"/>
          <w:sz w:val="30"/>
          <w:szCs w:val="30"/>
        </w:rPr>
        <w:t>。</w:t>
      </w:r>
    </w:p>
    <w:p w:rsidR="00133E5F" w:rsidRDefault="00546D50">
      <w:pPr>
        <w:widowControl/>
        <w:spacing w:line="560" w:lineRule="exact"/>
        <w:ind w:firstLineChars="200" w:firstLine="640"/>
        <w:jc w:val="left"/>
        <w:rPr>
          <w:rFonts w:eastAsia="黑体"/>
          <w:kern w:val="0"/>
          <w:sz w:val="24"/>
        </w:rPr>
      </w:pPr>
      <w:r>
        <w:rPr>
          <w:rFonts w:eastAsia="黑体"/>
          <w:color w:val="000000"/>
          <w:kern w:val="0"/>
          <w:sz w:val="32"/>
          <w:szCs w:val="32"/>
        </w:rPr>
        <w:lastRenderedPageBreak/>
        <w:t>二、评价结论</w:t>
      </w:r>
    </w:p>
    <w:p w:rsidR="00133E5F" w:rsidRDefault="00546D50">
      <w:pPr>
        <w:spacing w:line="560" w:lineRule="exact"/>
        <w:ind w:firstLineChars="200" w:firstLine="600"/>
        <w:jc w:val="left"/>
        <w:rPr>
          <w:rFonts w:ascii="仿宋" w:eastAsia="仿宋" w:cs="仿宋"/>
          <w:sz w:val="30"/>
          <w:szCs w:val="30"/>
        </w:rPr>
      </w:pPr>
      <w:r>
        <w:rPr>
          <w:rFonts w:ascii="仿宋" w:eastAsia="仿宋" w:cs="仿宋" w:hint="eastAsia"/>
          <w:sz w:val="30"/>
          <w:szCs w:val="30"/>
        </w:rPr>
        <w:t>从整体情况来看，我单位重视财政资金的支出绩效，在预算、执行、验收、资金支付等流程层层把关，严格按照部门预算进行部门整体支出，涉及</w:t>
      </w:r>
      <w:r>
        <w:rPr>
          <w:rFonts w:ascii="仿宋" w:eastAsia="仿宋" w:cs="仿宋"/>
          <w:sz w:val="30"/>
          <w:szCs w:val="30"/>
        </w:rPr>
        <w:t>“</w:t>
      </w:r>
      <w:r>
        <w:rPr>
          <w:rFonts w:ascii="仿宋" w:eastAsia="仿宋" w:cs="仿宋" w:hint="eastAsia"/>
          <w:sz w:val="30"/>
          <w:szCs w:val="30"/>
        </w:rPr>
        <w:t>三重一大</w:t>
      </w:r>
      <w:r>
        <w:rPr>
          <w:rFonts w:ascii="仿宋" w:eastAsia="仿宋" w:cs="仿宋"/>
          <w:sz w:val="30"/>
          <w:szCs w:val="30"/>
        </w:rPr>
        <w:t>”</w:t>
      </w:r>
      <w:r>
        <w:rPr>
          <w:rFonts w:ascii="仿宋" w:eastAsia="仿宋" w:cs="仿宋" w:hint="eastAsia"/>
          <w:sz w:val="30"/>
          <w:szCs w:val="30"/>
        </w:rPr>
        <w:t>事项必须经过办公会集体讨论决策。所有项目资金严格按照项目申报的实施方案组织实施，项目实施科室能够加强日常监督。所有专项资金单独核算，按照项目实施方案的要求，如实反映承担的项目收支情况，项目实施期限完成后请第三方进行财务审计。单位依据相应的资金管理办法切实做到了项目资金专款专用，未出现截留或挪用等现象。</w:t>
      </w:r>
    </w:p>
    <w:p w:rsidR="00133E5F" w:rsidRDefault="00546D50">
      <w:pPr>
        <w:widowControl/>
        <w:spacing w:line="560" w:lineRule="exact"/>
        <w:ind w:firstLineChars="200" w:firstLine="640"/>
        <w:jc w:val="left"/>
        <w:rPr>
          <w:rFonts w:eastAsia="黑体"/>
          <w:kern w:val="0"/>
          <w:sz w:val="24"/>
        </w:rPr>
      </w:pPr>
      <w:r>
        <w:rPr>
          <w:rFonts w:eastAsia="黑体"/>
          <w:color w:val="000000"/>
          <w:kern w:val="0"/>
          <w:sz w:val="32"/>
          <w:szCs w:val="32"/>
        </w:rPr>
        <w:t>三、部门履职成效</w:t>
      </w:r>
    </w:p>
    <w:p w:rsidR="00133E5F" w:rsidRDefault="00546D50" w:rsidP="00D604B1">
      <w:pPr>
        <w:spacing w:line="560" w:lineRule="exact"/>
        <w:ind w:firstLineChars="200" w:firstLine="602"/>
        <w:jc w:val="left"/>
        <w:rPr>
          <w:rFonts w:ascii="仿宋" w:eastAsia="仿宋" w:cs="仿宋"/>
          <w:sz w:val="30"/>
          <w:szCs w:val="30"/>
        </w:rPr>
      </w:pPr>
      <w:r>
        <w:rPr>
          <w:rFonts w:ascii="仿宋" w:eastAsia="仿宋" w:cs="仿宋"/>
          <w:b/>
          <w:sz w:val="30"/>
          <w:szCs w:val="30"/>
        </w:rPr>
        <w:t>1、</w:t>
      </w:r>
      <w:r>
        <w:rPr>
          <w:rFonts w:ascii="仿宋" w:eastAsia="仿宋" w:cs="仿宋" w:hint="eastAsia"/>
          <w:b/>
          <w:sz w:val="30"/>
          <w:szCs w:val="30"/>
        </w:rPr>
        <w:t>坚定不移抓好</w:t>
      </w:r>
      <w:r>
        <w:rPr>
          <w:rFonts w:ascii="仿宋" w:eastAsia="仿宋" w:cs="仿宋"/>
          <w:b/>
          <w:sz w:val="30"/>
          <w:szCs w:val="30"/>
        </w:rPr>
        <w:t>重大动物疫病免疫工作。</w:t>
      </w:r>
      <w:r>
        <w:rPr>
          <w:rFonts w:ascii="仿宋" w:eastAsia="仿宋" w:cs="仿宋"/>
          <w:sz w:val="30"/>
          <w:szCs w:val="30"/>
        </w:rPr>
        <w:t>一扎实做好强制免疫工作。制定了《2024年南京市重大动物疫病春秋季集中防疫及夏季集中补免行动方案》和《2024年南京市畜牧行业灭蚊灭蝇灭鼠和清洗消毒行动方案》，印发了《2024年南京市动物疫病免疫技术指南》，全市共免疫牲畜口蹄疫69.85万头次、高致病性禽流感2714.47万羽次、小反刍兽疫6.37万只次,实现了重大动物疫病应免率达100%的工作目标。二</w:t>
      </w:r>
      <w:r>
        <w:rPr>
          <w:rFonts w:ascii="仿宋" w:eastAsia="仿宋" w:cs="仿宋" w:hint="eastAsia"/>
          <w:sz w:val="30"/>
          <w:szCs w:val="30"/>
        </w:rPr>
        <w:t>及时组织防疫</w:t>
      </w:r>
      <w:r>
        <w:rPr>
          <w:rFonts w:ascii="仿宋" w:eastAsia="仿宋" w:cs="仿宋"/>
          <w:sz w:val="30"/>
          <w:szCs w:val="30"/>
        </w:rPr>
        <w:t>技术培训。3月和10月先后举办了</w:t>
      </w:r>
      <w:r>
        <w:rPr>
          <w:rFonts w:ascii="仿宋" w:eastAsia="仿宋" w:cs="仿宋"/>
          <w:sz w:val="30"/>
          <w:szCs w:val="30"/>
        </w:rPr>
        <w:t>“</w:t>
      </w:r>
      <w:r>
        <w:rPr>
          <w:rFonts w:ascii="仿宋" w:eastAsia="仿宋" w:cs="仿宋"/>
          <w:sz w:val="30"/>
          <w:szCs w:val="30"/>
        </w:rPr>
        <w:t>全市春季动物疫病暨人兽共患病防控技术培训</w:t>
      </w:r>
      <w:r>
        <w:rPr>
          <w:rFonts w:ascii="仿宋" w:eastAsia="仿宋" w:cs="仿宋"/>
          <w:sz w:val="30"/>
          <w:szCs w:val="30"/>
        </w:rPr>
        <w:t>”</w:t>
      </w:r>
      <w:r>
        <w:rPr>
          <w:rFonts w:ascii="仿宋" w:eastAsia="仿宋" w:cs="仿宋"/>
          <w:sz w:val="30"/>
          <w:szCs w:val="30"/>
        </w:rPr>
        <w:t>和</w:t>
      </w:r>
      <w:r>
        <w:rPr>
          <w:rFonts w:ascii="仿宋" w:eastAsia="仿宋" w:cs="仿宋"/>
          <w:sz w:val="30"/>
          <w:szCs w:val="30"/>
        </w:rPr>
        <w:t>“</w:t>
      </w:r>
      <w:r>
        <w:rPr>
          <w:rFonts w:ascii="仿宋" w:eastAsia="仿宋" w:cs="仿宋"/>
          <w:sz w:val="30"/>
          <w:szCs w:val="30"/>
        </w:rPr>
        <w:t>全市人兽共患病等防控及应急处置技术培训</w:t>
      </w:r>
      <w:r>
        <w:rPr>
          <w:rFonts w:ascii="仿宋" w:eastAsia="仿宋" w:cs="仿宋"/>
          <w:sz w:val="30"/>
          <w:szCs w:val="30"/>
        </w:rPr>
        <w:t>”</w:t>
      </w:r>
      <w:r>
        <w:rPr>
          <w:rFonts w:ascii="仿宋" w:eastAsia="仿宋" w:cs="仿宋"/>
          <w:sz w:val="30"/>
          <w:szCs w:val="30"/>
        </w:rPr>
        <w:t>，各区疫控机构业务骨干共213人次参加，邀请了江苏省人民医院、江苏省农业科学院、江苏省畜牧总站、南京农业大学、扬州大学等专家授课。三</w:t>
      </w:r>
      <w:r>
        <w:rPr>
          <w:rFonts w:ascii="仿宋" w:eastAsia="仿宋" w:cs="仿宋" w:hint="eastAsia"/>
          <w:sz w:val="30"/>
          <w:szCs w:val="30"/>
        </w:rPr>
        <w:t>持续推进</w:t>
      </w:r>
      <w:r>
        <w:rPr>
          <w:rFonts w:ascii="仿宋" w:eastAsia="仿宋" w:cs="仿宋"/>
          <w:sz w:val="30"/>
          <w:szCs w:val="30"/>
        </w:rPr>
        <w:t>“</w:t>
      </w:r>
      <w:r>
        <w:rPr>
          <w:rFonts w:ascii="仿宋" w:eastAsia="仿宋" w:cs="仿宋"/>
          <w:sz w:val="30"/>
          <w:szCs w:val="30"/>
        </w:rPr>
        <w:t>先打后补</w:t>
      </w:r>
      <w:r>
        <w:rPr>
          <w:rFonts w:ascii="仿宋" w:eastAsia="仿宋" w:cs="仿宋"/>
          <w:sz w:val="30"/>
          <w:szCs w:val="30"/>
        </w:rPr>
        <w:t>”</w:t>
      </w:r>
      <w:r>
        <w:rPr>
          <w:rFonts w:ascii="仿宋" w:eastAsia="仿宋" w:cs="仿宋" w:hint="eastAsia"/>
          <w:sz w:val="30"/>
          <w:szCs w:val="30"/>
        </w:rPr>
        <w:t>工作</w:t>
      </w:r>
      <w:r>
        <w:rPr>
          <w:rFonts w:ascii="仿宋" w:eastAsia="仿宋" w:cs="仿宋"/>
          <w:sz w:val="30"/>
          <w:szCs w:val="30"/>
        </w:rPr>
        <w:t>。全市满足实施条件的畜禽规模场共65家，已全面开展了</w:t>
      </w:r>
      <w:r>
        <w:rPr>
          <w:rFonts w:ascii="仿宋" w:eastAsia="仿宋" w:cs="仿宋"/>
          <w:sz w:val="30"/>
          <w:szCs w:val="30"/>
        </w:rPr>
        <w:t>“</w:t>
      </w:r>
      <w:r>
        <w:rPr>
          <w:rFonts w:ascii="仿宋" w:eastAsia="仿宋" w:cs="仿宋"/>
          <w:sz w:val="30"/>
          <w:szCs w:val="30"/>
        </w:rPr>
        <w:t>先打后补</w:t>
      </w:r>
      <w:r>
        <w:rPr>
          <w:rFonts w:ascii="仿宋" w:eastAsia="仿宋" w:cs="仿宋"/>
          <w:sz w:val="30"/>
          <w:szCs w:val="30"/>
        </w:rPr>
        <w:t>”</w:t>
      </w:r>
      <w:r>
        <w:rPr>
          <w:rFonts w:ascii="仿宋" w:eastAsia="仿宋" w:cs="仿宋"/>
          <w:sz w:val="30"/>
          <w:szCs w:val="30"/>
        </w:rPr>
        <w:t>，其中，完成财政补助资金审核共44家，已补贴到位36家，共计补助资金122.4</w:t>
      </w:r>
      <w:r>
        <w:rPr>
          <w:rFonts w:ascii="仿宋" w:eastAsia="仿宋" w:cs="仿宋"/>
          <w:sz w:val="30"/>
          <w:szCs w:val="30"/>
        </w:rPr>
        <w:lastRenderedPageBreak/>
        <w:t>万元。四</w:t>
      </w:r>
      <w:r>
        <w:rPr>
          <w:rFonts w:ascii="仿宋" w:eastAsia="仿宋" w:cs="仿宋" w:hint="eastAsia"/>
          <w:sz w:val="30"/>
          <w:szCs w:val="30"/>
        </w:rPr>
        <w:t>严格执行春秋防督查</w:t>
      </w:r>
      <w:r>
        <w:rPr>
          <w:rFonts w:ascii="仿宋" w:eastAsia="仿宋" w:cs="仿宋"/>
          <w:sz w:val="30"/>
          <w:szCs w:val="30"/>
        </w:rPr>
        <w:t>。我市先后印发了春、秋季重大动物疫病防控工作调研的通知，成立调研指导组，由市局分管领导任组长，兽医兽药处和市畜牧兽医站主要负责人为组员，分别于5月、11月组织开展了春、秋季动物疫病防控工作调研指导，走访了8个涉农养殖区、26个基层动物防疫机构和35个畜禽规模场、宠物医院、兽药经营企业、动物防疫检查站以及生猪屠宰场等，对发现的问题要求其立行立改。五</w:t>
      </w:r>
      <w:r>
        <w:rPr>
          <w:rFonts w:ascii="仿宋" w:eastAsia="仿宋" w:cs="仿宋" w:hint="eastAsia"/>
          <w:sz w:val="30"/>
          <w:szCs w:val="30"/>
        </w:rPr>
        <w:t>谨慎做好</w:t>
      </w:r>
      <w:r>
        <w:rPr>
          <w:rFonts w:ascii="仿宋" w:eastAsia="仿宋" w:cs="仿宋"/>
          <w:sz w:val="30"/>
          <w:szCs w:val="30"/>
        </w:rPr>
        <w:t>免疫抗体监测。春秋防期间共采集样品1470份，分别开展了高致病性禽流感、口蹄疫、狂犬病等8种动物疫病的免疫抗体监测，对抗体水平未达到标的畜禽场群和犬只所涉及区共下发免疫效果监测不合格告知函12份，要求其补免并监测，目前已处置到位。</w:t>
      </w:r>
    </w:p>
    <w:p w:rsidR="00133E5F" w:rsidRDefault="00546D50" w:rsidP="00D604B1">
      <w:pPr>
        <w:spacing w:line="560" w:lineRule="exact"/>
        <w:ind w:firstLineChars="200" w:firstLine="602"/>
        <w:jc w:val="left"/>
        <w:rPr>
          <w:rFonts w:ascii="仿宋" w:eastAsia="仿宋" w:cs="仿宋"/>
          <w:sz w:val="30"/>
          <w:szCs w:val="30"/>
        </w:rPr>
      </w:pPr>
      <w:r>
        <w:rPr>
          <w:rFonts w:ascii="仿宋" w:eastAsia="仿宋" w:cs="仿宋"/>
          <w:b/>
          <w:sz w:val="30"/>
          <w:szCs w:val="30"/>
        </w:rPr>
        <w:t>2、</w:t>
      </w:r>
      <w:r>
        <w:rPr>
          <w:rFonts w:ascii="仿宋" w:eastAsia="仿宋" w:cs="仿宋" w:hint="eastAsia"/>
          <w:b/>
          <w:sz w:val="30"/>
          <w:szCs w:val="30"/>
        </w:rPr>
        <w:t>持续夯实</w:t>
      </w:r>
      <w:r>
        <w:rPr>
          <w:rFonts w:ascii="仿宋" w:eastAsia="仿宋" w:cs="仿宋"/>
          <w:b/>
          <w:sz w:val="30"/>
          <w:szCs w:val="30"/>
        </w:rPr>
        <w:t>非洲猪瘟常态化防控</w:t>
      </w:r>
      <w:r>
        <w:rPr>
          <w:rFonts w:ascii="仿宋" w:eastAsia="仿宋" w:cs="仿宋" w:hint="eastAsia"/>
          <w:b/>
          <w:sz w:val="30"/>
          <w:szCs w:val="30"/>
        </w:rPr>
        <w:t>成果</w:t>
      </w:r>
      <w:r>
        <w:rPr>
          <w:rFonts w:ascii="仿宋" w:eastAsia="仿宋" w:cs="仿宋"/>
          <w:b/>
          <w:sz w:val="30"/>
          <w:szCs w:val="30"/>
        </w:rPr>
        <w:t>。</w:t>
      </w:r>
      <w:r>
        <w:rPr>
          <w:rFonts w:ascii="仿宋" w:eastAsia="仿宋" w:cs="仿宋"/>
          <w:sz w:val="30"/>
          <w:szCs w:val="30"/>
        </w:rPr>
        <w:t>一</w:t>
      </w:r>
      <w:r>
        <w:rPr>
          <w:rFonts w:ascii="仿宋" w:eastAsia="仿宋" w:cs="仿宋" w:hint="eastAsia"/>
          <w:sz w:val="30"/>
          <w:szCs w:val="30"/>
        </w:rPr>
        <w:t>切实</w:t>
      </w:r>
      <w:r>
        <w:rPr>
          <w:rFonts w:ascii="仿宋" w:eastAsia="仿宋" w:cs="仿宋"/>
          <w:sz w:val="30"/>
          <w:szCs w:val="30"/>
        </w:rPr>
        <w:t>做好一线防控专项督导。先后出动41人次赴涉农八区开展防疫督导19次，走访15个养殖场户、23个基层防疫机构，编发《致基层兽医工作人员一封信》《2024年南京市汛期动物疫病防控20问》《致畜禽养殖场（户）的一封信》等宣传资料1000份，同时做好农业农村部《非洲猪瘟疫情应急实施方案（第六版）》宣贯工作。二</w:t>
      </w:r>
      <w:r>
        <w:rPr>
          <w:rFonts w:ascii="仿宋" w:eastAsia="仿宋" w:cs="仿宋" w:hint="eastAsia"/>
          <w:sz w:val="30"/>
          <w:szCs w:val="30"/>
        </w:rPr>
        <w:t>严格开展</w:t>
      </w:r>
      <w:r>
        <w:rPr>
          <w:rFonts w:ascii="仿宋" w:eastAsia="仿宋" w:cs="仿宋"/>
          <w:sz w:val="30"/>
          <w:szCs w:val="30"/>
        </w:rPr>
        <w:t>非洲猪瘟专项监测。全年共监测非洲猪瘟样品9306份（市本级检测1599份，区级自检7707份），非养殖环节共检测4321份，占全部检测量的46.43%，监测范围覆盖规模养殖场（户）、散户、屠宰场、无害化处理中心、农贸市场等环节，场点覆盖率均达100%。三</w:t>
      </w:r>
      <w:r>
        <w:rPr>
          <w:rFonts w:ascii="仿宋" w:eastAsia="仿宋" w:cs="仿宋" w:hint="eastAsia"/>
          <w:sz w:val="30"/>
          <w:szCs w:val="30"/>
        </w:rPr>
        <w:t>重点</w:t>
      </w:r>
      <w:r>
        <w:rPr>
          <w:rFonts w:ascii="仿宋" w:eastAsia="仿宋" w:cs="仿宋"/>
          <w:sz w:val="30"/>
          <w:szCs w:val="30"/>
        </w:rPr>
        <w:t>推进非洲猪瘟净化场建设。指导高淳区南京红松生态农业发展有限公司按要求申报省级非洲猪瘟净化场，并高分通过现场验收，该企业成为全省首家省级非洲猪</w:t>
      </w:r>
      <w:r>
        <w:rPr>
          <w:rFonts w:ascii="仿宋" w:eastAsia="仿宋" w:cs="仿宋"/>
          <w:sz w:val="30"/>
          <w:szCs w:val="30"/>
        </w:rPr>
        <w:lastRenderedPageBreak/>
        <w:t>瘟净化场。</w:t>
      </w:r>
    </w:p>
    <w:p w:rsidR="00133E5F" w:rsidRDefault="00546D50" w:rsidP="00D604B1">
      <w:pPr>
        <w:spacing w:line="560" w:lineRule="exact"/>
        <w:ind w:firstLineChars="200" w:firstLine="602"/>
        <w:jc w:val="left"/>
        <w:rPr>
          <w:rFonts w:ascii="仿宋" w:eastAsia="仿宋" w:cs="仿宋"/>
          <w:sz w:val="30"/>
          <w:szCs w:val="30"/>
        </w:rPr>
      </w:pPr>
      <w:r>
        <w:rPr>
          <w:rFonts w:ascii="仿宋" w:eastAsia="仿宋" w:cs="仿宋"/>
          <w:b/>
          <w:sz w:val="30"/>
          <w:szCs w:val="30"/>
        </w:rPr>
        <w:t>3、</w:t>
      </w:r>
      <w:r>
        <w:rPr>
          <w:rFonts w:ascii="仿宋" w:eastAsia="仿宋" w:cs="仿宋" w:hint="eastAsia"/>
          <w:b/>
          <w:sz w:val="30"/>
          <w:szCs w:val="30"/>
        </w:rPr>
        <w:t>统筹推进</w:t>
      </w:r>
      <w:r>
        <w:rPr>
          <w:rFonts w:ascii="仿宋" w:eastAsia="仿宋" w:cs="仿宋"/>
          <w:b/>
          <w:sz w:val="30"/>
          <w:szCs w:val="30"/>
        </w:rPr>
        <w:t>人畜共患病防控工作。</w:t>
      </w:r>
      <w:r>
        <w:rPr>
          <w:rFonts w:ascii="仿宋" w:eastAsia="仿宋" w:cs="仿宋"/>
          <w:sz w:val="30"/>
          <w:szCs w:val="30"/>
        </w:rPr>
        <w:t>一做好</w:t>
      </w:r>
      <w:r>
        <w:rPr>
          <w:rFonts w:ascii="仿宋" w:eastAsia="仿宋" w:cs="仿宋"/>
          <w:sz w:val="30"/>
          <w:szCs w:val="30"/>
        </w:rPr>
        <w:t>“</w:t>
      </w:r>
      <w:r>
        <w:rPr>
          <w:rFonts w:ascii="仿宋" w:eastAsia="仿宋" w:cs="仿宋"/>
          <w:sz w:val="30"/>
          <w:szCs w:val="30"/>
        </w:rPr>
        <w:t>两病</w:t>
      </w:r>
      <w:r>
        <w:rPr>
          <w:rFonts w:ascii="仿宋" w:eastAsia="仿宋" w:cs="仿宋"/>
          <w:sz w:val="30"/>
          <w:szCs w:val="30"/>
        </w:rPr>
        <w:t>”</w:t>
      </w:r>
      <w:r>
        <w:rPr>
          <w:rFonts w:ascii="仿宋" w:eastAsia="仿宋" w:cs="仿宋"/>
          <w:sz w:val="30"/>
          <w:szCs w:val="30"/>
        </w:rPr>
        <w:t>监测。开展布病、结核病常规监测，全市共监测布病29720头份、结核病4378头份，结果均为阴性；开展4次应急监测，共检测布病2410头份。二</w:t>
      </w:r>
      <w:r>
        <w:rPr>
          <w:rFonts w:ascii="仿宋" w:eastAsia="仿宋" w:cs="仿宋" w:hint="eastAsia"/>
          <w:sz w:val="30"/>
          <w:szCs w:val="30"/>
        </w:rPr>
        <w:t>推进</w:t>
      </w:r>
      <w:r>
        <w:rPr>
          <w:rFonts w:ascii="仿宋" w:eastAsia="仿宋" w:cs="仿宋"/>
          <w:sz w:val="30"/>
          <w:szCs w:val="30"/>
        </w:rPr>
        <w:t>血吸虫病消除进程。印发了《关于做好2024年全市家畜血吸虫病防治工作的通知》，全市共监测家畜982头次、监测野粪123份，结果均为阴性，家畜预防性服药1773头次，超额完成全年目标任务；指导栖霞区顺利通过省级血防消除评估（苏疾控〔2024〕11号）。三</w:t>
      </w:r>
      <w:r>
        <w:rPr>
          <w:rFonts w:ascii="仿宋" w:eastAsia="仿宋" w:cs="仿宋" w:hint="eastAsia"/>
          <w:sz w:val="30"/>
          <w:szCs w:val="30"/>
        </w:rPr>
        <w:t>提升</w:t>
      </w:r>
      <w:r>
        <w:rPr>
          <w:rFonts w:ascii="仿宋" w:eastAsia="仿宋" w:cs="仿宋"/>
          <w:sz w:val="30"/>
          <w:szCs w:val="30"/>
        </w:rPr>
        <w:t>狂犬病防控成效。目前我市共设立255个犬类免疫点，其中信息化免疫点217个，涉农街镇免疫点已全覆盖；两次指导区级开展犬防进社区科普宣传活动，累计发放资料700余份，接种狂犬病疫苗327条犬只；全年共采集并检测犬血501份，免疫抗体合格率为82.53%；对未经免疫或已超期免疫的犬只补免了9.35万条（只）。四是</w:t>
      </w:r>
      <w:r>
        <w:rPr>
          <w:rFonts w:ascii="仿宋" w:eastAsia="仿宋" w:cs="仿宋" w:hint="eastAsia"/>
          <w:sz w:val="30"/>
          <w:szCs w:val="30"/>
        </w:rPr>
        <w:t>强化</w:t>
      </w:r>
      <w:r>
        <w:rPr>
          <w:rFonts w:ascii="仿宋" w:eastAsia="仿宋" w:cs="仿宋"/>
          <w:sz w:val="30"/>
          <w:szCs w:val="30"/>
        </w:rPr>
        <w:t>禽流感等疾病防控。深入中山陵音乐台开展</w:t>
      </w:r>
      <w:r>
        <w:rPr>
          <w:rFonts w:ascii="仿宋" w:eastAsia="仿宋" w:cs="仿宋"/>
          <w:sz w:val="30"/>
          <w:szCs w:val="30"/>
        </w:rPr>
        <w:t>“</w:t>
      </w:r>
      <w:r>
        <w:rPr>
          <w:rFonts w:ascii="仿宋" w:eastAsia="仿宋" w:cs="仿宋"/>
          <w:sz w:val="30"/>
          <w:szCs w:val="30"/>
        </w:rPr>
        <w:t>提高全民公共卫生意识，促进人与自然和谐共生</w:t>
      </w:r>
      <w:r>
        <w:rPr>
          <w:rFonts w:ascii="仿宋" w:eastAsia="仿宋" w:cs="仿宋"/>
          <w:sz w:val="30"/>
          <w:szCs w:val="30"/>
        </w:rPr>
        <w:t>”</w:t>
      </w:r>
      <w:r>
        <w:rPr>
          <w:rFonts w:ascii="仿宋" w:eastAsia="仿宋" w:cs="仿宋"/>
          <w:sz w:val="30"/>
          <w:szCs w:val="30"/>
        </w:rPr>
        <w:t>活动，现场进行疾病防控技术指导，发放了防疫物资及宣传资料；开展国家公祭日放飞信鸽禽流感采样监测，开展高致病性禽流感、H7N9检测共计1494份。</w:t>
      </w:r>
    </w:p>
    <w:p w:rsidR="00133E5F" w:rsidRDefault="00546D50" w:rsidP="00D604B1">
      <w:pPr>
        <w:spacing w:line="560" w:lineRule="exact"/>
        <w:ind w:firstLineChars="200" w:firstLine="602"/>
        <w:jc w:val="left"/>
        <w:rPr>
          <w:rFonts w:ascii="仿宋" w:eastAsia="仿宋" w:cs="仿宋"/>
          <w:sz w:val="30"/>
          <w:szCs w:val="30"/>
        </w:rPr>
      </w:pPr>
      <w:r>
        <w:rPr>
          <w:rFonts w:ascii="仿宋" w:eastAsia="仿宋" w:cs="仿宋"/>
          <w:b/>
          <w:sz w:val="30"/>
          <w:szCs w:val="30"/>
        </w:rPr>
        <w:t>4、</w:t>
      </w:r>
      <w:r>
        <w:rPr>
          <w:rFonts w:ascii="仿宋" w:eastAsia="仿宋" w:cs="仿宋" w:hint="eastAsia"/>
          <w:b/>
          <w:sz w:val="30"/>
          <w:szCs w:val="30"/>
        </w:rPr>
        <w:t>严格</w:t>
      </w:r>
      <w:r>
        <w:rPr>
          <w:rFonts w:ascii="仿宋" w:eastAsia="仿宋" w:cs="仿宋"/>
          <w:b/>
          <w:sz w:val="30"/>
          <w:szCs w:val="30"/>
        </w:rPr>
        <w:t>规范动物检疫工作。</w:t>
      </w:r>
      <w:r>
        <w:rPr>
          <w:rFonts w:ascii="仿宋" w:eastAsia="仿宋" w:cs="仿宋"/>
          <w:sz w:val="30"/>
          <w:szCs w:val="30"/>
        </w:rPr>
        <w:t>一加强检疫出证核查。产地检疫方面，全年我市共出具产地检疫证明18053张，共核查产地检疫出证8506张，发现不规范出证问题3起，涉及检疫证明9张，发现不规范检疫照片21张，均已责成相关区整改到位。屠宰检疫方面，全市共出具屠宰检疫证明408146张，共核查畜禽屠宰企业入场检疫证明7628张，其中生猪入场证明5397张、牛入场</w:t>
      </w:r>
      <w:r>
        <w:rPr>
          <w:rFonts w:ascii="仿宋" w:eastAsia="仿宋" w:cs="仿宋"/>
          <w:sz w:val="30"/>
          <w:szCs w:val="30"/>
        </w:rPr>
        <w:lastRenderedPageBreak/>
        <w:t>证明281张、鸡入场证明3081张。二做好检疫业务指导。每月制作月度检疫工作提示单发放至各区，督促官方兽医按时间节点开展检疫工作。前往各区开展产地检疫业务指导26次、屠宰检疫业务指导18次，通过查阅台账、座谈交流、暗访检查等方式掌握基层检疫工作开展情况，对发现的8处检疫问题列出工作清单，并跟踪各区整改到位。三推进</w:t>
      </w:r>
      <w:r>
        <w:rPr>
          <w:rFonts w:ascii="仿宋" w:eastAsia="仿宋" w:cs="仿宋"/>
          <w:sz w:val="30"/>
          <w:szCs w:val="30"/>
        </w:rPr>
        <w:t>“</w:t>
      </w:r>
      <w:r>
        <w:rPr>
          <w:rFonts w:ascii="仿宋" w:eastAsia="仿宋" w:cs="仿宋"/>
          <w:sz w:val="30"/>
          <w:szCs w:val="30"/>
        </w:rPr>
        <w:t>苏牧通</w:t>
      </w:r>
      <w:r>
        <w:rPr>
          <w:rFonts w:ascii="仿宋" w:eastAsia="仿宋" w:cs="仿宋"/>
          <w:sz w:val="30"/>
          <w:szCs w:val="30"/>
        </w:rPr>
        <w:t>”</w:t>
      </w:r>
      <w:r>
        <w:rPr>
          <w:rFonts w:ascii="仿宋" w:eastAsia="仿宋" w:cs="仿宋"/>
          <w:sz w:val="30"/>
          <w:szCs w:val="30"/>
        </w:rPr>
        <w:t>检疫系统</w:t>
      </w:r>
      <w:r>
        <w:rPr>
          <w:rFonts w:ascii="仿宋" w:eastAsia="仿宋" w:cs="仿宋" w:hint="eastAsia"/>
          <w:sz w:val="30"/>
          <w:szCs w:val="30"/>
        </w:rPr>
        <w:t>应用到位</w:t>
      </w:r>
      <w:r>
        <w:rPr>
          <w:rFonts w:ascii="仿宋" w:eastAsia="仿宋" w:cs="仿宋"/>
          <w:sz w:val="30"/>
          <w:szCs w:val="30"/>
        </w:rPr>
        <w:t>。根据部、省工作部署，我市10月11日率先在全省全面使用</w:t>
      </w:r>
      <w:r>
        <w:rPr>
          <w:rFonts w:ascii="仿宋" w:eastAsia="仿宋" w:cs="仿宋"/>
          <w:sz w:val="30"/>
          <w:szCs w:val="30"/>
        </w:rPr>
        <w:t>“</w:t>
      </w:r>
      <w:r>
        <w:rPr>
          <w:rFonts w:ascii="仿宋" w:eastAsia="仿宋" w:cs="仿宋"/>
          <w:sz w:val="30"/>
          <w:szCs w:val="30"/>
        </w:rPr>
        <w:t>苏牧通</w:t>
      </w:r>
      <w:r>
        <w:rPr>
          <w:rFonts w:ascii="仿宋" w:eastAsia="仿宋" w:cs="仿宋"/>
          <w:sz w:val="30"/>
          <w:szCs w:val="30"/>
        </w:rPr>
        <w:t>”</w:t>
      </w:r>
      <w:r>
        <w:rPr>
          <w:rFonts w:ascii="仿宋" w:eastAsia="仿宋" w:cs="仿宋"/>
          <w:sz w:val="30"/>
          <w:szCs w:val="30"/>
        </w:rPr>
        <w:t>检疫系统出具跨省动物检疫证明，并于11月1日全面使用系统出具动物证和产品证，共出具跨省动物检疫电子证546张，省内动物检疫电子证2447张，节本增效成效显著；依托系统，引导管理相对人通过</w:t>
      </w:r>
      <w:r>
        <w:rPr>
          <w:rFonts w:ascii="仿宋" w:eastAsia="仿宋" w:cs="仿宋"/>
          <w:sz w:val="30"/>
          <w:szCs w:val="30"/>
        </w:rPr>
        <w:t>“</w:t>
      </w:r>
      <w:r>
        <w:rPr>
          <w:rFonts w:ascii="仿宋" w:eastAsia="仿宋" w:cs="仿宋"/>
          <w:sz w:val="30"/>
          <w:szCs w:val="30"/>
        </w:rPr>
        <w:t>宠运通</w:t>
      </w:r>
      <w:r>
        <w:rPr>
          <w:rFonts w:ascii="仿宋" w:eastAsia="仿宋" w:cs="仿宋"/>
          <w:sz w:val="30"/>
          <w:szCs w:val="30"/>
        </w:rPr>
        <w:t>”</w:t>
      </w:r>
      <w:r>
        <w:rPr>
          <w:rFonts w:ascii="仿宋" w:eastAsia="仿宋" w:cs="仿宋"/>
          <w:sz w:val="30"/>
          <w:szCs w:val="30"/>
        </w:rPr>
        <w:t>微信小程序进行线上实名检疫申报，让检疫工作更便民、程序更简洁。</w:t>
      </w:r>
    </w:p>
    <w:p w:rsidR="00133E5F" w:rsidRDefault="00546D50" w:rsidP="00D604B1">
      <w:pPr>
        <w:spacing w:line="560" w:lineRule="exact"/>
        <w:ind w:firstLineChars="200" w:firstLine="602"/>
        <w:jc w:val="left"/>
        <w:rPr>
          <w:rFonts w:ascii="仿宋" w:eastAsia="仿宋" w:cs="仿宋"/>
          <w:sz w:val="30"/>
          <w:szCs w:val="30"/>
        </w:rPr>
      </w:pPr>
      <w:r>
        <w:rPr>
          <w:rFonts w:ascii="仿宋" w:eastAsia="仿宋" w:cs="仿宋"/>
          <w:b/>
          <w:sz w:val="30"/>
          <w:szCs w:val="30"/>
        </w:rPr>
        <w:t>5、</w:t>
      </w:r>
      <w:r>
        <w:rPr>
          <w:rFonts w:ascii="仿宋" w:eastAsia="仿宋" w:cs="仿宋" w:hint="eastAsia"/>
          <w:b/>
          <w:sz w:val="30"/>
          <w:szCs w:val="30"/>
        </w:rPr>
        <w:t>着力提升</w:t>
      </w:r>
      <w:r>
        <w:rPr>
          <w:rFonts w:ascii="仿宋" w:eastAsia="仿宋" w:cs="仿宋"/>
          <w:b/>
          <w:sz w:val="30"/>
          <w:szCs w:val="30"/>
        </w:rPr>
        <w:t>兽医队伍建设。</w:t>
      </w:r>
      <w:r>
        <w:rPr>
          <w:rFonts w:ascii="仿宋" w:eastAsia="仿宋" w:cs="仿宋"/>
          <w:sz w:val="30"/>
          <w:szCs w:val="30"/>
        </w:rPr>
        <w:t>一强化官方兽医管理。按照省厅有关通知要求，完成官方兽医持证上岗专项行动。严格官方兽医证件管理，我市官方兽医共165人，均按照</w:t>
      </w:r>
      <w:r>
        <w:rPr>
          <w:rFonts w:ascii="仿宋" w:eastAsia="仿宋" w:cs="仿宋"/>
          <w:sz w:val="30"/>
          <w:szCs w:val="30"/>
        </w:rPr>
        <w:t>“</w:t>
      </w:r>
      <w:r>
        <w:rPr>
          <w:rFonts w:ascii="仿宋" w:eastAsia="仿宋" w:cs="仿宋"/>
          <w:sz w:val="30"/>
          <w:szCs w:val="30"/>
        </w:rPr>
        <w:t>谁任命、谁发证、谁负责</w:t>
      </w:r>
      <w:r>
        <w:rPr>
          <w:rFonts w:ascii="仿宋" w:eastAsia="仿宋" w:cs="仿宋"/>
          <w:sz w:val="30"/>
          <w:szCs w:val="30"/>
        </w:rPr>
        <w:t>”</w:t>
      </w:r>
      <w:r>
        <w:rPr>
          <w:rFonts w:ascii="仿宋" w:eastAsia="仿宋" w:cs="仿宋"/>
          <w:sz w:val="30"/>
          <w:szCs w:val="30"/>
        </w:rPr>
        <w:t>的原则，完成全部官方兽医证的登记和发放工作，全市检疫申报点实现信息公示上墙，接受社会监督；通过线上、线下相结合的形式，开展专业技能培训，本年度官方兽医参训率100%，考试合格率100%；组织了官方兽医知识竞赛市级选拔赛，推选了3名选手参加省级知识竞赛，2人获得个人三等奖。二</w:t>
      </w:r>
      <w:r>
        <w:rPr>
          <w:rFonts w:ascii="仿宋" w:eastAsia="仿宋" w:cs="仿宋" w:hint="eastAsia"/>
          <w:sz w:val="30"/>
          <w:szCs w:val="30"/>
        </w:rPr>
        <w:t>组织</w:t>
      </w:r>
      <w:r>
        <w:rPr>
          <w:rFonts w:ascii="仿宋" w:eastAsia="仿宋" w:cs="仿宋"/>
          <w:sz w:val="30"/>
          <w:szCs w:val="30"/>
        </w:rPr>
        <w:t>业务技能提升培训。8月19-23日举办了</w:t>
      </w:r>
      <w:r>
        <w:rPr>
          <w:rFonts w:ascii="仿宋" w:eastAsia="仿宋" w:cs="仿宋"/>
          <w:sz w:val="30"/>
          <w:szCs w:val="30"/>
        </w:rPr>
        <w:t>“</w:t>
      </w:r>
      <w:r>
        <w:rPr>
          <w:rFonts w:ascii="仿宋" w:eastAsia="仿宋" w:cs="仿宋"/>
          <w:sz w:val="30"/>
          <w:szCs w:val="30"/>
        </w:rPr>
        <w:t>全市2024年动物疫病防治员业务技能提升培训</w:t>
      </w:r>
      <w:r>
        <w:rPr>
          <w:rFonts w:ascii="仿宋" w:eastAsia="仿宋" w:cs="仿宋"/>
          <w:sz w:val="30"/>
          <w:szCs w:val="30"/>
        </w:rPr>
        <w:t>”</w:t>
      </w:r>
      <w:r>
        <w:rPr>
          <w:rFonts w:ascii="仿宋" w:eastAsia="仿宋" w:cs="仿宋"/>
          <w:sz w:val="30"/>
          <w:szCs w:val="30"/>
        </w:rPr>
        <w:t>，重点培训了《动物疫病防治员》高级技能专业理论及猪瘟疫苗免疫注射、鸡翅静脉采血等五项操作技能。三</w:t>
      </w:r>
      <w:r>
        <w:rPr>
          <w:rFonts w:ascii="仿宋" w:eastAsia="仿宋" w:cs="仿宋" w:hint="eastAsia"/>
          <w:sz w:val="30"/>
          <w:szCs w:val="30"/>
        </w:rPr>
        <w:t>承办</w:t>
      </w:r>
      <w:r>
        <w:rPr>
          <w:rFonts w:ascii="仿宋" w:eastAsia="仿宋" w:cs="仿宋"/>
          <w:sz w:val="30"/>
          <w:szCs w:val="30"/>
        </w:rPr>
        <w:t>布鲁氏菌病疫情应急处置演练。省、市、区各级农业</w:t>
      </w:r>
      <w:r>
        <w:rPr>
          <w:rFonts w:ascii="仿宋" w:eastAsia="仿宋" w:cs="仿宋"/>
          <w:sz w:val="30"/>
          <w:szCs w:val="30"/>
        </w:rPr>
        <w:lastRenderedPageBreak/>
        <w:t>农村部门和疫控机构等单位共128人参加，演练全过程程序严谨，处置规范，充分展现了南京市在应对突发布鲁氏菌病疫情时高效协同与快速响应的能力。四做好兽医实验室检测能力比对。对五大区实验室人员开展兽医实验室生物安全管理和检测能力培训，5个区级兽医实验室省级比对结果全部正确，连续5年取得佳绩；我中心实验室首次参加农业农村部畜牧兽医局会同中国动物疫病预防控制中心组织的2024年度省级动物疫病预防控制中心实验室检测能力比对并顺利通过，所有比对项目结果全部正确。</w:t>
      </w:r>
    </w:p>
    <w:p w:rsidR="00133E5F" w:rsidRDefault="00546D50" w:rsidP="00D604B1">
      <w:pPr>
        <w:spacing w:line="560" w:lineRule="exact"/>
        <w:ind w:firstLineChars="200" w:firstLine="602"/>
        <w:jc w:val="left"/>
        <w:rPr>
          <w:rFonts w:ascii="仿宋" w:eastAsia="仿宋" w:cs="仿宋"/>
          <w:sz w:val="30"/>
          <w:szCs w:val="30"/>
        </w:rPr>
      </w:pPr>
      <w:r>
        <w:rPr>
          <w:rFonts w:ascii="仿宋" w:eastAsia="仿宋" w:cs="仿宋" w:hint="eastAsia"/>
          <w:b/>
          <w:sz w:val="30"/>
          <w:szCs w:val="30"/>
        </w:rPr>
        <w:t>6、重点强化兽医实验室建设。</w:t>
      </w:r>
      <w:r>
        <w:rPr>
          <w:rFonts w:ascii="仿宋" w:eastAsia="仿宋" w:cs="仿宋" w:hint="eastAsia"/>
          <w:sz w:val="30"/>
          <w:szCs w:val="30"/>
        </w:rPr>
        <w:t>一组织全市兽医实验室管理与生物安全培训。对六合、浦口、江宁、溧水和高淳等五区的畜牧兽医站（畜牧水产站）负责人、实验室负责人及检测人员进行专题培训，切实加强生物安全管理能力，提升实验室管理水平。二做好兽医系统实验室评估工作。年初，我中心实验室顺利通过江苏省兽医系统实验室评估专家组的现场评估，指导六合区、溧水区、高淳区、江宁区畜牧兽医站实验室开展评估验收工作。三做好实验室生物安全专项抽查工作。开展</w:t>
      </w:r>
      <w:r>
        <w:rPr>
          <w:rFonts w:ascii="仿宋" w:eastAsia="仿宋" w:cs="仿宋"/>
          <w:sz w:val="30"/>
          <w:szCs w:val="30"/>
        </w:rPr>
        <w:t>全省动物病原微生物实验室生物安全检查</w:t>
      </w:r>
      <w:r>
        <w:rPr>
          <w:rFonts w:ascii="仿宋" w:eastAsia="仿宋" w:cs="仿宋" w:hint="eastAsia"/>
          <w:sz w:val="30"/>
          <w:szCs w:val="30"/>
        </w:rPr>
        <w:t>迎查工作，协助省级完成</w:t>
      </w:r>
      <w:r>
        <w:rPr>
          <w:rFonts w:ascii="仿宋" w:eastAsia="仿宋" w:cs="仿宋"/>
          <w:sz w:val="30"/>
          <w:szCs w:val="30"/>
        </w:rPr>
        <w:t>南京市六合区动物疫病预防控制中心实验室、南京江宁区动物疫病预防控制中心实验室、南京海关动植物与食品检测中心实验室</w:t>
      </w:r>
      <w:r>
        <w:rPr>
          <w:rFonts w:ascii="仿宋" w:eastAsia="仿宋" w:cs="仿宋" w:hint="eastAsia"/>
          <w:sz w:val="30"/>
          <w:szCs w:val="30"/>
        </w:rPr>
        <w:t>、南京农业大学动物传染病实验室、南京农业大学世界动物卫生组织猪链球菌病参考实验室5个病原微生物实验室的生物安全检查工作。四成功申报国家动物疫情测报站。中心实验室在申报成功的同时，还协助浦口区畜牧水产站以及南京农业大学动物医学院、江苏省农业科学院兽医诊断检测中心、应节（南京）智能科技有限公司3家动物</w:t>
      </w:r>
      <w:r>
        <w:rPr>
          <w:rFonts w:ascii="仿宋" w:eastAsia="仿宋" w:cs="仿宋" w:hint="eastAsia"/>
          <w:sz w:val="30"/>
          <w:szCs w:val="30"/>
        </w:rPr>
        <w:lastRenderedPageBreak/>
        <w:t>疫病监测点完成测报站申报工作。</w:t>
      </w:r>
    </w:p>
    <w:p w:rsidR="00133E5F" w:rsidRDefault="00546D50" w:rsidP="00D604B1">
      <w:pPr>
        <w:spacing w:line="560" w:lineRule="exact"/>
        <w:ind w:firstLineChars="200" w:firstLine="602"/>
        <w:jc w:val="left"/>
        <w:rPr>
          <w:rFonts w:ascii="仿宋" w:eastAsia="仿宋" w:cs="仿宋"/>
          <w:sz w:val="30"/>
          <w:szCs w:val="30"/>
        </w:rPr>
      </w:pPr>
      <w:r>
        <w:rPr>
          <w:rFonts w:ascii="仿宋" w:eastAsia="仿宋" w:cs="仿宋" w:hint="eastAsia"/>
          <w:b/>
          <w:sz w:val="30"/>
          <w:szCs w:val="30"/>
        </w:rPr>
        <w:t>7、不断提高宣传和技术服务质量。</w:t>
      </w:r>
      <w:r>
        <w:rPr>
          <w:rFonts w:ascii="仿宋" w:eastAsia="仿宋" w:cs="仿宋" w:hint="eastAsia"/>
          <w:sz w:val="30"/>
          <w:szCs w:val="30"/>
        </w:rPr>
        <w:t>一强化工作宣传力度。</w:t>
      </w:r>
      <w:r>
        <w:rPr>
          <w:rFonts w:ascii="仿宋" w:eastAsia="仿宋" w:cs="仿宋"/>
          <w:sz w:val="30"/>
          <w:szCs w:val="30"/>
        </w:rPr>
        <w:t>全年在中国兽医发布、江苏省农业农村厅官网、省农技耘等多个媒体播发宣传信息46篇次，为推动我市动物防疫工作起到了良好的宣传效果。</w:t>
      </w:r>
      <w:r>
        <w:rPr>
          <w:rFonts w:ascii="仿宋" w:eastAsia="仿宋" w:cs="仿宋" w:hint="eastAsia"/>
          <w:sz w:val="30"/>
          <w:szCs w:val="30"/>
        </w:rPr>
        <w:t>二</w:t>
      </w:r>
      <w:r>
        <w:rPr>
          <w:rFonts w:ascii="仿宋" w:eastAsia="仿宋" w:cs="仿宋"/>
          <w:sz w:val="30"/>
          <w:szCs w:val="30"/>
        </w:rPr>
        <w:t>加强犬猫报检工作宣贯。印制</w:t>
      </w:r>
      <w:r>
        <w:rPr>
          <w:rFonts w:ascii="仿宋" w:eastAsia="仿宋" w:cs="仿宋"/>
          <w:sz w:val="30"/>
          <w:szCs w:val="30"/>
        </w:rPr>
        <w:t>“</w:t>
      </w:r>
      <w:r>
        <w:rPr>
          <w:rFonts w:ascii="仿宋" w:eastAsia="仿宋" w:cs="仿宋"/>
          <w:sz w:val="30"/>
          <w:szCs w:val="30"/>
        </w:rPr>
        <w:t>不做</w:t>
      </w:r>
      <w:r>
        <w:rPr>
          <w:rFonts w:ascii="仿宋" w:eastAsia="仿宋" w:cs="仿宋"/>
          <w:sz w:val="30"/>
          <w:szCs w:val="30"/>
        </w:rPr>
        <w:t>‘</w:t>
      </w:r>
      <w:r>
        <w:rPr>
          <w:rFonts w:ascii="仿宋" w:eastAsia="仿宋" w:cs="仿宋"/>
          <w:sz w:val="30"/>
          <w:szCs w:val="30"/>
        </w:rPr>
        <w:t>留守儿童</w:t>
      </w:r>
      <w:r>
        <w:rPr>
          <w:rFonts w:ascii="仿宋" w:eastAsia="仿宋" w:cs="仿宋"/>
          <w:sz w:val="30"/>
          <w:szCs w:val="30"/>
        </w:rPr>
        <w:t>’</w:t>
      </w:r>
      <w:r>
        <w:rPr>
          <w:rFonts w:ascii="仿宋" w:eastAsia="仿宋" w:cs="仿宋"/>
          <w:sz w:val="30"/>
          <w:szCs w:val="30"/>
        </w:rPr>
        <w:t>狗狗猫咪也能陪同出行啦</w:t>
      </w:r>
      <w:r>
        <w:rPr>
          <w:rFonts w:ascii="仿宋" w:eastAsia="仿宋" w:cs="仿宋"/>
          <w:sz w:val="30"/>
          <w:szCs w:val="30"/>
        </w:rPr>
        <w:t>”</w:t>
      </w:r>
      <w:r>
        <w:rPr>
          <w:rFonts w:ascii="仿宋" w:eastAsia="仿宋" w:cs="仿宋"/>
          <w:sz w:val="30"/>
          <w:szCs w:val="30"/>
        </w:rPr>
        <w:t>宣传手册2万份发放至全市报检点和犬类免疫点，进一步提升市民主动报检意识。三</w:t>
      </w:r>
      <w:r>
        <w:rPr>
          <w:rFonts w:ascii="仿宋" w:eastAsia="仿宋" w:cs="仿宋" w:hint="eastAsia"/>
          <w:sz w:val="30"/>
          <w:szCs w:val="30"/>
        </w:rPr>
        <w:t>提升技术服务效能</w:t>
      </w:r>
      <w:r>
        <w:rPr>
          <w:rFonts w:ascii="仿宋" w:eastAsia="仿宋" w:cs="仿宋"/>
          <w:sz w:val="30"/>
          <w:szCs w:val="30"/>
        </w:rPr>
        <w:t>。</w:t>
      </w:r>
      <w:r>
        <w:rPr>
          <w:rFonts w:ascii="仿宋" w:eastAsia="仿宋" w:cs="仿宋" w:hint="eastAsia"/>
          <w:sz w:val="30"/>
          <w:szCs w:val="30"/>
        </w:rPr>
        <w:t>全年</w:t>
      </w:r>
      <w:r>
        <w:rPr>
          <w:rFonts w:ascii="仿宋" w:eastAsia="仿宋" w:cs="仿宋"/>
          <w:sz w:val="30"/>
          <w:szCs w:val="30"/>
        </w:rPr>
        <w:t>为养殖户提供技术</w:t>
      </w:r>
      <w:r>
        <w:rPr>
          <w:rFonts w:ascii="仿宋" w:eastAsia="仿宋" w:cs="仿宋" w:hint="eastAsia"/>
          <w:sz w:val="30"/>
          <w:szCs w:val="30"/>
        </w:rPr>
        <w:t>服务</w:t>
      </w:r>
      <w:r>
        <w:rPr>
          <w:rFonts w:ascii="仿宋" w:eastAsia="仿宋" w:cs="仿宋"/>
          <w:sz w:val="30"/>
          <w:szCs w:val="30"/>
        </w:rPr>
        <w:t>、</w:t>
      </w:r>
      <w:r>
        <w:rPr>
          <w:rFonts w:ascii="仿宋" w:eastAsia="仿宋" w:cs="仿宋" w:hint="eastAsia"/>
          <w:sz w:val="30"/>
          <w:szCs w:val="30"/>
        </w:rPr>
        <w:t>21次</w:t>
      </w:r>
      <w:r>
        <w:rPr>
          <w:rFonts w:ascii="仿宋" w:eastAsia="仿宋" w:cs="仿宋"/>
          <w:sz w:val="30"/>
          <w:szCs w:val="30"/>
        </w:rPr>
        <w:t>，</w:t>
      </w:r>
      <w:r>
        <w:rPr>
          <w:rFonts w:ascii="仿宋" w:eastAsia="仿宋" w:cs="仿宋" w:hint="eastAsia"/>
          <w:sz w:val="30"/>
          <w:szCs w:val="30"/>
        </w:rPr>
        <w:t>其中</w:t>
      </w:r>
      <w:r>
        <w:rPr>
          <w:rFonts w:ascii="仿宋" w:eastAsia="仿宋" w:cs="仿宋"/>
          <w:sz w:val="30"/>
          <w:szCs w:val="30"/>
        </w:rPr>
        <w:t>开展疫病诊断检测</w:t>
      </w:r>
      <w:r>
        <w:rPr>
          <w:rFonts w:ascii="仿宋" w:eastAsia="仿宋" w:cs="仿宋" w:hint="eastAsia"/>
          <w:sz w:val="30"/>
          <w:szCs w:val="30"/>
        </w:rPr>
        <w:t>5</w:t>
      </w:r>
      <w:r>
        <w:rPr>
          <w:rFonts w:ascii="仿宋" w:eastAsia="仿宋" w:cs="仿宋"/>
          <w:sz w:val="30"/>
          <w:szCs w:val="30"/>
        </w:rPr>
        <w:t>次，</w:t>
      </w:r>
      <w:r>
        <w:rPr>
          <w:rFonts w:ascii="仿宋" w:eastAsia="仿宋" w:cs="仿宋" w:hint="eastAsia"/>
          <w:sz w:val="30"/>
          <w:szCs w:val="30"/>
        </w:rPr>
        <w:t>覆盖蛋鸡100多万羽，生猪5万头，为养殖场（户）挽回巨大经济损失</w:t>
      </w:r>
      <w:r>
        <w:rPr>
          <w:rFonts w:ascii="仿宋" w:eastAsia="仿宋" w:cs="仿宋"/>
          <w:sz w:val="30"/>
          <w:szCs w:val="30"/>
        </w:rPr>
        <w:t>。</w:t>
      </w:r>
    </w:p>
    <w:p w:rsidR="00133E5F" w:rsidRDefault="00546D50">
      <w:pPr>
        <w:widowControl/>
        <w:spacing w:line="560" w:lineRule="exact"/>
        <w:ind w:firstLineChars="200" w:firstLine="640"/>
        <w:jc w:val="left"/>
        <w:rPr>
          <w:rFonts w:eastAsia="黑体"/>
          <w:color w:val="000000"/>
          <w:kern w:val="0"/>
          <w:sz w:val="32"/>
          <w:szCs w:val="32"/>
        </w:rPr>
      </w:pPr>
      <w:r>
        <w:rPr>
          <w:rFonts w:eastAsia="黑体"/>
          <w:color w:val="000000"/>
          <w:kern w:val="0"/>
          <w:sz w:val="32"/>
          <w:szCs w:val="32"/>
        </w:rPr>
        <w:t>四、存在问题及原因分析</w:t>
      </w:r>
    </w:p>
    <w:p w:rsidR="00133E5F" w:rsidRDefault="00546D50" w:rsidP="00D604B1">
      <w:pPr>
        <w:pStyle w:val="BodyText1I2"/>
        <w:spacing w:line="560" w:lineRule="exact"/>
        <w:ind w:leftChars="0" w:left="0" w:firstLine="600"/>
        <w:jc w:val="left"/>
        <w:rPr>
          <w:rFonts w:ascii="仿宋" w:eastAsia="仿宋" w:cs="仿宋"/>
          <w:sz w:val="30"/>
          <w:szCs w:val="30"/>
        </w:rPr>
      </w:pPr>
      <w:r>
        <w:rPr>
          <w:rFonts w:ascii="仿宋" w:eastAsia="仿宋" w:cs="仿宋" w:hint="eastAsia"/>
          <w:sz w:val="30"/>
          <w:szCs w:val="30"/>
        </w:rPr>
        <w:t>为适应新形势、新要求，工作体系和人员素质有待进一步提升，技术模式和设施装备有待进一步加强完善。</w:t>
      </w:r>
    </w:p>
    <w:p w:rsidR="00133E5F" w:rsidRDefault="00546D50">
      <w:pPr>
        <w:numPr>
          <w:ilvl w:val="0"/>
          <w:numId w:val="1"/>
        </w:numPr>
        <w:spacing w:line="560" w:lineRule="exact"/>
        <w:ind w:firstLineChars="200" w:firstLine="640"/>
        <w:jc w:val="left"/>
        <w:rPr>
          <w:rFonts w:eastAsia="黑体"/>
          <w:color w:val="000000"/>
          <w:kern w:val="0"/>
          <w:sz w:val="32"/>
          <w:szCs w:val="32"/>
        </w:rPr>
      </w:pPr>
      <w:r>
        <w:rPr>
          <w:rFonts w:eastAsia="黑体"/>
          <w:color w:val="000000"/>
          <w:kern w:val="0"/>
          <w:sz w:val="32"/>
          <w:szCs w:val="32"/>
        </w:rPr>
        <w:t>有关建议</w:t>
      </w:r>
    </w:p>
    <w:p w:rsidR="00133E5F" w:rsidRDefault="00546D50" w:rsidP="00D604B1">
      <w:pPr>
        <w:pStyle w:val="BodyText1I2"/>
        <w:spacing w:line="560" w:lineRule="exact"/>
        <w:ind w:leftChars="0" w:left="0" w:firstLine="600"/>
        <w:jc w:val="left"/>
        <w:rPr>
          <w:rFonts w:ascii="仿宋" w:eastAsia="仿宋" w:cs="仿宋"/>
          <w:sz w:val="30"/>
          <w:szCs w:val="30"/>
        </w:rPr>
      </w:pPr>
      <w:r>
        <w:rPr>
          <w:rFonts w:ascii="仿宋" w:eastAsia="仿宋" w:cs="仿宋" w:hint="eastAsia"/>
          <w:sz w:val="30"/>
          <w:szCs w:val="30"/>
        </w:rPr>
        <w:t>加强动物疫病防控体系建设，改善动物防疫工作条件。</w:t>
      </w:r>
    </w:p>
    <w:p w:rsidR="00133E5F" w:rsidRDefault="00546D50">
      <w:pPr>
        <w:spacing w:line="560" w:lineRule="exact"/>
        <w:ind w:firstLineChars="200" w:firstLine="640"/>
        <w:jc w:val="left"/>
        <w:rPr>
          <w:rFonts w:eastAsia="黑体"/>
          <w:color w:val="000000"/>
          <w:kern w:val="0"/>
          <w:sz w:val="32"/>
          <w:szCs w:val="32"/>
        </w:rPr>
      </w:pPr>
      <w:r>
        <w:rPr>
          <w:rFonts w:eastAsia="黑体"/>
          <w:color w:val="000000"/>
          <w:kern w:val="0"/>
          <w:sz w:val="32"/>
          <w:szCs w:val="32"/>
        </w:rPr>
        <w:t>六、评价工作开展情况及其他需说明的情况</w:t>
      </w:r>
    </w:p>
    <w:p w:rsidR="00133E5F" w:rsidRDefault="00546D50">
      <w:pPr>
        <w:spacing w:line="560" w:lineRule="exact"/>
        <w:ind w:firstLineChars="300" w:firstLine="960"/>
        <w:jc w:val="left"/>
        <w:rPr>
          <w:rFonts w:eastAsia="仿宋"/>
          <w:sz w:val="32"/>
          <w:szCs w:val="32"/>
        </w:rPr>
      </w:pPr>
      <w:r>
        <w:rPr>
          <w:rFonts w:eastAsia="仿宋" w:hint="eastAsia"/>
          <w:sz w:val="32"/>
          <w:szCs w:val="32"/>
        </w:rPr>
        <w:t>无。</w:t>
      </w:r>
    </w:p>
    <w:p w:rsidR="00133E5F" w:rsidRDefault="00133E5F">
      <w:pPr>
        <w:pStyle w:val="10"/>
        <w:spacing w:line="560" w:lineRule="exact"/>
        <w:jc w:val="left"/>
      </w:pPr>
    </w:p>
    <w:p w:rsidR="00133E5F" w:rsidRDefault="00133E5F">
      <w:pPr>
        <w:sectPr w:rsidR="00133E5F">
          <w:footerReference w:type="default" r:id="rId8"/>
          <w:pgSz w:w="11906" w:h="16838"/>
          <w:pgMar w:top="1440" w:right="1800" w:bottom="1440" w:left="1800" w:header="851" w:footer="992" w:gutter="0"/>
          <w:cols w:space="720"/>
          <w:docGrid w:type="lines" w:linePitch="312"/>
        </w:sectPr>
      </w:pPr>
    </w:p>
    <w:p w:rsidR="00133E5F" w:rsidRDefault="00546D50">
      <w:pPr>
        <w:rPr>
          <w:rFonts w:eastAsia="仿宋"/>
          <w:sz w:val="28"/>
        </w:rPr>
      </w:pPr>
      <w:r>
        <w:rPr>
          <w:rFonts w:eastAsia="仿宋" w:hint="eastAsia"/>
          <w:sz w:val="28"/>
        </w:rPr>
        <w:lastRenderedPageBreak/>
        <w:t>附件：部门整体绩效评价自评表</w:t>
      </w:r>
    </w:p>
    <w:tbl>
      <w:tblPr>
        <w:tblW w:w="14655" w:type="dxa"/>
        <w:jc w:val="center"/>
        <w:tblLayout w:type="fixed"/>
        <w:tblLook w:val="04A0" w:firstRow="1" w:lastRow="0" w:firstColumn="1" w:lastColumn="0" w:noHBand="0" w:noVBand="1"/>
      </w:tblPr>
      <w:tblGrid>
        <w:gridCol w:w="1242"/>
        <w:gridCol w:w="1560"/>
        <w:gridCol w:w="4110"/>
        <w:gridCol w:w="2977"/>
        <w:gridCol w:w="2008"/>
        <w:gridCol w:w="1379"/>
        <w:gridCol w:w="1379"/>
      </w:tblGrid>
      <w:tr w:rsidR="00133E5F">
        <w:trPr>
          <w:trHeight w:val="457"/>
          <w:tblHeader/>
          <w:jc w:val="center"/>
        </w:trPr>
        <w:tc>
          <w:tcPr>
            <w:tcW w:w="12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b/>
                <w:bCs/>
                <w:color w:val="000000"/>
                <w:kern w:val="0"/>
                <w:sz w:val="24"/>
              </w:rPr>
            </w:pPr>
            <w:r>
              <w:rPr>
                <w:rFonts w:ascii="仿宋" w:eastAsia="仿宋" w:cs="宋体" w:hint="eastAsia"/>
                <w:b/>
                <w:bCs/>
                <w:color w:val="000000"/>
                <w:kern w:val="0"/>
                <w:sz w:val="24"/>
              </w:rPr>
              <w:t>一级指标</w:t>
            </w:r>
          </w:p>
        </w:tc>
        <w:tc>
          <w:tcPr>
            <w:tcW w:w="1560" w:type="dxa"/>
            <w:tcBorders>
              <w:top w:val="single" w:sz="8" w:space="0" w:color="auto"/>
              <w:left w:val="nil"/>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b/>
                <w:bCs/>
                <w:color w:val="000000"/>
                <w:kern w:val="0"/>
                <w:sz w:val="24"/>
              </w:rPr>
            </w:pPr>
            <w:r>
              <w:rPr>
                <w:rFonts w:ascii="仿宋" w:eastAsia="仿宋" w:cs="宋体" w:hint="eastAsia"/>
                <w:b/>
                <w:bCs/>
                <w:color w:val="000000"/>
                <w:kern w:val="0"/>
                <w:sz w:val="24"/>
              </w:rPr>
              <w:t>二级指标</w:t>
            </w:r>
          </w:p>
        </w:tc>
        <w:tc>
          <w:tcPr>
            <w:tcW w:w="4110" w:type="dxa"/>
            <w:tcBorders>
              <w:top w:val="single" w:sz="8" w:space="0" w:color="auto"/>
              <w:left w:val="nil"/>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b/>
                <w:bCs/>
                <w:color w:val="000000"/>
                <w:kern w:val="0"/>
                <w:sz w:val="24"/>
              </w:rPr>
            </w:pPr>
            <w:r>
              <w:rPr>
                <w:rFonts w:ascii="仿宋" w:eastAsia="仿宋" w:cs="宋体" w:hint="eastAsia"/>
                <w:b/>
                <w:bCs/>
                <w:color w:val="000000"/>
                <w:kern w:val="0"/>
                <w:sz w:val="24"/>
              </w:rPr>
              <w:t>三级指标（参考）</w:t>
            </w:r>
          </w:p>
        </w:tc>
        <w:tc>
          <w:tcPr>
            <w:tcW w:w="2977" w:type="dxa"/>
            <w:tcBorders>
              <w:top w:val="single" w:sz="8" w:space="0" w:color="auto"/>
              <w:left w:val="nil"/>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b/>
                <w:bCs/>
                <w:color w:val="000000"/>
                <w:kern w:val="0"/>
                <w:sz w:val="24"/>
              </w:rPr>
            </w:pPr>
            <w:r>
              <w:rPr>
                <w:rFonts w:ascii="仿宋" w:eastAsia="仿宋" w:cs="宋体" w:hint="eastAsia"/>
                <w:b/>
                <w:bCs/>
                <w:color w:val="000000"/>
                <w:kern w:val="0"/>
                <w:sz w:val="24"/>
              </w:rPr>
              <w:t>指标说明</w:t>
            </w:r>
          </w:p>
        </w:tc>
        <w:tc>
          <w:tcPr>
            <w:tcW w:w="2008" w:type="dxa"/>
            <w:tcBorders>
              <w:top w:val="single" w:sz="8" w:space="0" w:color="auto"/>
              <w:left w:val="nil"/>
              <w:bottom w:val="single" w:sz="8" w:space="0" w:color="auto"/>
              <w:right w:val="single" w:sz="4" w:space="0" w:color="auto"/>
            </w:tcBorders>
            <w:noWrap/>
          </w:tcPr>
          <w:p w:rsidR="00133E5F" w:rsidRDefault="00546D50">
            <w:pPr>
              <w:widowControl/>
              <w:jc w:val="center"/>
              <w:rPr>
                <w:rFonts w:ascii="仿宋" w:eastAsia="仿宋" w:cs="宋体"/>
                <w:b/>
                <w:bCs/>
                <w:color w:val="000000"/>
                <w:kern w:val="0"/>
                <w:sz w:val="24"/>
              </w:rPr>
            </w:pPr>
            <w:r>
              <w:rPr>
                <w:rFonts w:ascii="仿宋" w:eastAsia="仿宋" w:cs="宋体"/>
                <w:b/>
                <w:bCs/>
                <w:color w:val="000000"/>
                <w:kern w:val="0"/>
                <w:sz w:val="24"/>
              </w:rPr>
              <w:t>评分依据</w:t>
            </w:r>
          </w:p>
        </w:tc>
        <w:tc>
          <w:tcPr>
            <w:tcW w:w="1379" w:type="dxa"/>
            <w:tcBorders>
              <w:top w:val="single" w:sz="8" w:space="0" w:color="auto"/>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b/>
                <w:bCs/>
                <w:color w:val="000000"/>
                <w:kern w:val="0"/>
                <w:sz w:val="24"/>
              </w:rPr>
            </w:pPr>
            <w:r>
              <w:rPr>
                <w:rFonts w:ascii="仿宋" w:eastAsia="仿宋" w:cs="宋体" w:hint="eastAsia"/>
                <w:b/>
                <w:bCs/>
                <w:color w:val="000000"/>
                <w:kern w:val="0"/>
                <w:sz w:val="24"/>
              </w:rPr>
              <w:t>扣分原因</w:t>
            </w:r>
          </w:p>
        </w:tc>
        <w:tc>
          <w:tcPr>
            <w:tcW w:w="1379" w:type="dxa"/>
            <w:tcBorders>
              <w:top w:val="single" w:sz="8" w:space="0" w:color="auto"/>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b/>
                <w:bCs/>
                <w:color w:val="000000"/>
                <w:kern w:val="0"/>
                <w:sz w:val="24"/>
              </w:rPr>
            </w:pPr>
            <w:r>
              <w:rPr>
                <w:rFonts w:ascii="仿宋" w:eastAsia="仿宋" w:cs="宋体"/>
                <w:b/>
                <w:bCs/>
                <w:color w:val="000000"/>
                <w:kern w:val="0"/>
                <w:sz w:val="24"/>
              </w:rPr>
              <w:t>自</w:t>
            </w:r>
            <w:r>
              <w:rPr>
                <w:rFonts w:ascii="仿宋" w:eastAsia="仿宋" w:cs="宋体" w:hint="eastAsia"/>
                <w:b/>
                <w:bCs/>
                <w:color w:val="000000"/>
                <w:kern w:val="0"/>
                <w:sz w:val="24"/>
              </w:rPr>
              <w:t>评得分</w:t>
            </w:r>
          </w:p>
        </w:tc>
      </w:tr>
      <w:tr w:rsidR="00133E5F">
        <w:trPr>
          <w:trHeight w:val="600"/>
          <w:jc w:val="center"/>
        </w:trPr>
        <w:tc>
          <w:tcPr>
            <w:tcW w:w="1242" w:type="dxa"/>
            <w:vMerge w:val="restart"/>
            <w:tcBorders>
              <w:top w:val="nil"/>
              <w:left w:val="single" w:sz="8" w:space="0" w:color="auto"/>
              <w:bottom w:val="single" w:sz="8" w:space="0" w:color="000000"/>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A单位决策（15分）</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A1决策机制（5分）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A11决策制度的规范性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b/>
                <w:bCs/>
                <w:color w:val="000000"/>
                <w:kern w:val="0"/>
                <w:sz w:val="24"/>
              </w:rPr>
            </w:pPr>
            <w:r>
              <w:rPr>
                <w:rFonts w:ascii="仿宋" w:eastAsia="仿宋" w:cs="宋体" w:hint="eastAsia"/>
                <w:color w:val="000000"/>
                <w:kern w:val="0"/>
                <w:sz w:val="24"/>
              </w:rPr>
              <w:t>“规范”衡量流程执行</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bCs/>
                <w:color w:val="000000"/>
                <w:kern w:val="0"/>
                <w:sz w:val="24"/>
              </w:rPr>
            </w:pPr>
            <w:r>
              <w:rPr>
                <w:rFonts w:ascii="仿宋" w:eastAsia="仿宋" w:cs="宋体" w:hint="eastAsia"/>
                <w:bCs/>
                <w:color w:val="000000"/>
                <w:kern w:val="0"/>
                <w:sz w:val="24"/>
              </w:rPr>
              <w:t>决策制度有相关的流程图</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bCs/>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bCs/>
                <w:color w:val="000000"/>
                <w:kern w:val="0"/>
                <w:sz w:val="24"/>
              </w:rPr>
            </w:pPr>
            <w:r>
              <w:rPr>
                <w:rFonts w:ascii="仿宋" w:eastAsia="仿宋" w:cs="宋体" w:hint="eastAsia"/>
                <w:bCs/>
                <w:color w:val="000000"/>
                <w:kern w:val="0"/>
                <w:sz w:val="24"/>
              </w:rPr>
              <w:t>2</w:t>
            </w:r>
          </w:p>
        </w:tc>
      </w:tr>
      <w:tr w:rsidR="00133E5F">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133E5F" w:rsidRDefault="00133E5F"/>
        </w:tc>
        <w:tc>
          <w:tcPr>
            <w:tcW w:w="1560" w:type="dxa"/>
            <w:vMerge/>
            <w:tcBorders>
              <w:top w:val="nil"/>
              <w:left w:val="single" w:sz="8" w:space="0" w:color="auto"/>
              <w:bottom w:val="single" w:sz="8" w:space="0" w:color="000000"/>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A12决策流程的科学性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“科学”衡量流程的设计</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流程设计科学合理</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133E5F">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133E5F" w:rsidRDefault="00133E5F"/>
        </w:tc>
        <w:tc>
          <w:tcPr>
            <w:tcW w:w="1560" w:type="dxa"/>
            <w:vMerge/>
            <w:tcBorders>
              <w:top w:val="nil"/>
              <w:left w:val="single" w:sz="8" w:space="0" w:color="auto"/>
              <w:bottom w:val="single" w:sz="8" w:space="0" w:color="000000"/>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A13决策执行监督制衡机制</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监督制衡机制的设置与运行</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2"/>
              </w:rPr>
            </w:pPr>
            <w:r>
              <w:rPr>
                <w:rFonts w:ascii="仿宋" w:eastAsia="仿宋" w:cs="宋体" w:hint="eastAsia"/>
                <w:color w:val="000000"/>
                <w:kern w:val="0"/>
                <w:sz w:val="22"/>
              </w:rPr>
              <w:t>监督制衡机制设置有效且正常运行</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2"/>
              </w:rPr>
            </w:pPr>
            <w:r>
              <w:rPr>
                <w:rFonts w:ascii="仿宋" w:eastAsia="仿宋" w:cs="宋体" w:hint="eastAsia"/>
                <w:color w:val="000000"/>
                <w:kern w:val="0"/>
                <w:sz w:val="22"/>
              </w:rPr>
              <w:t>1</w:t>
            </w:r>
          </w:p>
        </w:tc>
      </w:tr>
      <w:tr w:rsidR="00133E5F">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133E5F" w:rsidRDefault="00133E5F"/>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A2中长期规划（3分）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A21中长期规划明确性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符合国家法律法规、国民经济和社会发展规划要求</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具体明确可执行</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133E5F">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A22中长期规划与部门职能的匹配性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与单位职能、发展规划和工作计划密切相关</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部门职能相匹配</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133E5F" w:rsidRDefault="00133E5F"/>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A3年度工作计划（3分）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A31年度工作计划明确性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年度工作计划明确可行</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评价年度工作计划是否明确可执行</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133E5F">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A32年度工作计划与部门职能的匹配性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与部门职能密切相关</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评价其与部门职能相匹配</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133E5F" w:rsidRDefault="00133E5F"/>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A4部门预算编制（4分）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A41预算编制科学规范</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预算编制指“内部预算编制”，“科学”衡量制度设计，“规范”衡量流程执行</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检查相关的预算制度文件</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133E5F">
        <w:trPr>
          <w:trHeight w:val="600"/>
          <w:jc w:val="center"/>
        </w:trPr>
        <w:tc>
          <w:tcPr>
            <w:tcW w:w="1242" w:type="dxa"/>
            <w:vMerge/>
            <w:tcBorders>
              <w:top w:val="nil"/>
              <w:left w:val="single" w:sz="8" w:space="0" w:color="auto"/>
              <w:bottom w:val="single" w:sz="8" w:space="0" w:color="000000"/>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A42预算编制与重点工作任务的匹配性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预算编制指“内部预算编制”</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工作任务分解表</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2</w:t>
            </w:r>
          </w:p>
        </w:tc>
      </w:tr>
      <w:tr w:rsidR="00133E5F">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B单位管理（20分）</w:t>
            </w:r>
          </w:p>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B1预算执行（4分）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B11部门预算执行率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与市财政局预算处考核口径一致</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2"/>
              </w:rPr>
            </w:pPr>
            <w:r>
              <w:rPr>
                <w:rFonts w:ascii="仿宋" w:eastAsia="仿宋" w:cs="宋体" w:hint="eastAsia"/>
                <w:color w:val="000000"/>
                <w:kern w:val="0"/>
                <w:sz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2"/>
              </w:rPr>
            </w:pPr>
            <w:r>
              <w:rPr>
                <w:rFonts w:ascii="仿宋" w:eastAsia="仿宋" w:cs="宋体"/>
                <w:color w:val="000000"/>
                <w:kern w:val="0"/>
                <w:sz w:val="22"/>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B12专项资金执行率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与市财政局预算处考核口径一致</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2"/>
              </w:rPr>
            </w:pPr>
            <w:r>
              <w:rPr>
                <w:rFonts w:ascii="仿宋" w:eastAsia="仿宋" w:cs="宋体" w:hint="eastAsia"/>
                <w:color w:val="000000"/>
                <w:kern w:val="0"/>
                <w:sz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2"/>
              </w:rPr>
            </w:pPr>
            <w:r>
              <w:rPr>
                <w:rFonts w:ascii="仿宋" w:eastAsia="仿宋" w:cs="宋体"/>
                <w:color w:val="000000"/>
                <w:kern w:val="0"/>
                <w:sz w:val="22"/>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B13“三公”经费控制率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“三公”经费使用超支扣分，若不超支则不扣分</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2"/>
              </w:rPr>
            </w:pPr>
            <w:r>
              <w:rPr>
                <w:rFonts w:ascii="仿宋" w:eastAsia="仿宋" w:cs="宋体" w:hint="eastAsia"/>
                <w:color w:val="000000"/>
                <w:kern w:val="0"/>
                <w:sz w:val="22"/>
              </w:rPr>
              <w:t>三公经费使用情况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2"/>
              </w:rPr>
            </w:pPr>
            <w:r>
              <w:rPr>
                <w:rFonts w:ascii="仿宋" w:eastAsia="仿宋" w:cs="宋体" w:hint="eastAsia"/>
                <w:color w:val="000000"/>
                <w:kern w:val="0"/>
                <w:sz w:val="22"/>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B14预决算信息公开情况 </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预决算是否在“双平台”进行公开，内容和时限是否符合要求</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2"/>
              </w:rPr>
            </w:pPr>
            <w:r>
              <w:rPr>
                <w:rFonts w:ascii="仿宋" w:eastAsia="仿宋" w:cs="宋体" w:hint="eastAsia"/>
                <w:color w:val="000000"/>
                <w:kern w:val="0"/>
                <w:sz w:val="22"/>
              </w:rPr>
              <w:t>积极配合主管部门完成预决算信息公开工作</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2"/>
              </w:rPr>
            </w:pPr>
            <w:r>
              <w:rPr>
                <w:rFonts w:ascii="仿宋" w:eastAsia="仿宋" w:cs="宋体" w:hint="eastAsia"/>
                <w:color w:val="000000"/>
                <w:kern w:val="0"/>
                <w:sz w:val="22"/>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B2收支管理（2分）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B21收支管理制度健全性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制度建立健全</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制度建立健全</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000000"/>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B22收支管理是否按制度执行</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制度执行并运行有效</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制度执行并运行有效</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B3资产管理（2分）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B31资产管理制度健全性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制度建立健全</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制度是否建立健全</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000000"/>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B32资产管理是否按制度执行</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制度执行并运行有效</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制度是否执行并运行有效</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B4政府采购管理（2分）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B41政府采购管理制度健全性</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制度建立健全</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制度是否建立健全</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000000"/>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B42政府采购管理是否按制度执行</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制度执行并运行有效</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制度是否执行并运行有效</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B5建设项目管理（适用）（2分）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B51建设项目管理制度健全性</w:t>
            </w:r>
          </w:p>
        </w:tc>
        <w:tc>
          <w:tcPr>
            <w:tcW w:w="2977" w:type="dxa"/>
            <w:vMerge w:val="restart"/>
            <w:tcBorders>
              <w:top w:val="nil"/>
              <w:left w:val="single" w:sz="8" w:space="0" w:color="auto"/>
              <w:bottom w:val="single" w:sz="8" w:space="0" w:color="000000"/>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此项指标根据各个单位具体职能选择是否适用</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如不适用得满分</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000000"/>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B52建设项目管理是否按制度执行</w:t>
            </w:r>
          </w:p>
        </w:tc>
        <w:tc>
          <w:tcPr>
            <w:tcW w:w="2977" w:type="dxa"/>
            <w:vMerge/>
            <w:tcBorders>
              <w:top w:val="nil"/>
              <w:left w:val="single" w:sz="8" w:space="0" w:color="auto"/>
              <w:bottom w:val="single" w:sz="8" w:space="0" w:color="000000"/>
              <w:right w:val="single" w:sz="8" w:space="0" w:color="auto"/>
            </w:tcBorders>
            <w:noWrap/>
            <w:vAlign w:val="center"/>
          </w:tcPr>
          <w:p w:rsidR="00133E5F" w:rsidRDefault="00133E5F"/>
        </w:tc>
        <w:tc>
          <w:tcPr>
            <w:tcW w:w="2008" w:type="dxa"/>
            <w:tcBorders>
              <w:top w:val="single" w:sz="4" w:space="0" w:color="auto"/>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如不适用得满分</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color w:val="000000"/>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kern w:val="0"/>
                <w:sz w:val="24"/>
              </w:rPr>
            </w:pPr>
            <w:r>
              <w:rPr>
                <w:rFonts w:ascii="仿宋" w:eastAsia="仿宋" w:cs="宋体" w:hint="eastAsia"/>
                <w:kern w:val="0"/>
                <w:sz w:val="24"/>
              </w:rPr>
              <w:t>B6内部控制管理（4分）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B61内部控制建设情况</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 xml:space="preserve">　内部控制领导小组、工作小组的成立、内控制度设计、手册编制等</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kern w:val="0"/>
                <w:sz w:val="24"/>
              </w:rPr>
            </w:pPr>
            <w:r>
              <w:rPr>
                <w:rFonts w:ascii="仿宋" w:eastAsia="仿宋" w:cs="宋体" w:hint="eastAsia"/>
                <w:kern w:val="0"/>
                <w:sz w:val="24"/>
              </w:rPr>
              <w:t>是否成立内控领导小组、工作小组，是否有内部控制制度落实在手册等文本上</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kern w:val="0"/>
                <w:sz w:val="24"/>
              </w:rPr>
            </w:pPr>
            <w:r>
              <w:rPr>
                <w:rFonts w:ascii="仿宋" w:eastAsia="仿宋" w:cs="宋体" w:hint="eastAsia"/>
                <w:kern w:val="0"/>
                <w:sz w:val="24"/>
              </w:rPr>
              <w:t>2</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B62内部控制执行情况</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 xml:space="preserve">　内部控制执行并一贯执行</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kern w:val="0"/>
                <w:sz w:val="24"/>
              </w:rPr>
            </w:pPr>
            <w:r>
              <w:rPr>
                <w:rFonts w:ascii="仿宋" w:eastAsia="仿宋" w:cs="宋体" w:hint="eastAsia"/>
                <w:kern w:val="0"/>
                <w:sz w:val="24"/>
              </w:rPr>
              <w:t>通过重新执行程序评价内控是否有效</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kern w:val="0"/>
                <w:sz w:val="24"/>
              </w:rPr>
            </w:pPr>
            <w:r>
              <w:rPr>
                <w:rFonts w:ascii="仿宋" w:eastAsia="仿宋" w:cs="宋体"/>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B63内部控制监督评价</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 xml:space="preserve">　内部控制监督设计评价和运行评价</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kern w:val="0"/>
                <w:sz w:val="24"/>
              </w:rPr>
            </w:pPr>
            <w:r>
              <w:rPr>
                <w:rFonts w:ascii="仿宋" w:eastAsia="仿宋" w:cs="宋体" w:hint="eastAsia"/>
                <w:kern w:val="0"/>
                <w:sz w:val="24"/>
              </w:rPr>
              <w:t>是否有单位内部内控评价报告</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kern w:val="0"/>
                <w:sz w:val="24"/>
              </w:rPr>
            </w:pPr>
            <w:r>
              <w:rPr>
                <w:rFonts w:ascii="仿宋" w:eastAsia="仿宋" w:cs="宋体" w:hint="eastAsia"/>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B7预算绩效管理（4分）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B71组织管理情况</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主要包含制度建设、职能配置、分行业的指标体系</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是否有</w:t>
            </w:r>
            <w:r>
              <w:rPr>
                <w:rFonts w:ascii="仿宋" w:eastAsia="仿宋" w:cs="宋体"/>
                <w:color w:val="000000"/>
                <w:kern w:val="0"/>
                <w:sz w:val="24"/>
              </w:rPr>
              <w:t>制度</w:t>
            </w:r>
            <w:r>
              <w:rPr>
                <w:rFonts w:ascii="仿宋" w:eastAsia="仿宋" w:cs="宋体" w:hint="eastAsia"/>
                <w:color w:val="000000"/>
                <w:kern w:val="0"/>
                <w:sz w:val="24"/>
              </w:rPr>
              <w:t>建设，与职能配置情况，指标体系构成</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color w:val="000000"/>
                <w:kern w:val="0"/>
                <w:sz w:val="24"/>
              </w:rPr>
              <w:t>2</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B72工作开展情况</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包含事前评估、目标管理、跟踪评价、自评价和整改落实</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考察政策（项目）是否有5个报告</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color w:val="000000"/>
                <w:kern w:val="0"/>
                <w:sz w:val="24"/>
              </w:rPr>
              <w:t>1</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vMerge/>
            <w:tcBorders>
              <w:top w:val="nil"/>
              <w:left w:val="single" w:sz="8" w:space="0" w:color="auto"/>
              <w:bottom w:val="single" w:sz="8" w:space="0" w:color="auto"/>
              <w:right w:val="single" w:sz="8" w:space="0" w:color="auto"/>
            </w:tcBorders>
            <w:noWrap/>
            <w:vAlign w:val="center"/>
          </w:tcPr>
          <w:p w:rsidR="00133E5F" w:rsidRDefault="00133E5F"/>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B73绩效信息公开</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绩效信息是否按照规定的内容和时限在“双平台”进行公开</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积极配合主管部门完成相关数据的提供</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1</w:t>
            </w:r>
          </w:p>
        </w:tc>
      </w:tr>
      <w:tr w:rsidR="00133E5F">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C单位履职(可选方式1：重</w:t>
            </w:r>
            <w:r>
              <w:rPr>
                <w:rFonts w:ascii="仿宋" w:eastAsia="仿宋" w:cs="宋体" w:hint="eastAsia"/>
                <w:color w:val="000000"/>
                <w:kern w:val="0"/>
                <w:sz w:val="24"/>
              </w:rPr>
              <w:lastRenderedPageBreak/>
              <w:t>点工作完成情况)（30分）</w:t>
            </w:r>
          </w:p>
        </w:tc>
        <w:tc>
          <w:tcPr>
            <w:tcW w:w="1560" w:type="dxa"/>
            <w:tcBorders>
              <w:top w:val="nil"/>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lastRenderedPageBreak/>
              <w:t>C1重点工作数量完成率（1</w:t>
            </w:r>
            <w:r>
              <w:rPr>
                <w:rFonts w:ascii="仿宋" w:eastAsia="仿宋" w:cs="宋体"/>
                <w:color w:val="000000"/>
                <w:kern w:val="0"/>
                <w:sz w:val="24"/>
              </w:rPr>
              <w:t>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与年初计划相比较</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检查数量完成情况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color w:val="000000"/>
                <w:kern w:val="0"/>
                <w:sz w:val="24"/>
              </w:rPr>
              <w:t>10</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tcBorders>
              <w:top w:val="nil"/>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C2重点工作质量达标率（1</w:t>
            </w:r>
            <w:r>
              <w:rPr>
                <w:rFonts w:ascii="仿宋" w:eastAsia="仿宋" w:cs="宋体"/>
                <w:color w:val="000000"/>
                <w:kern w:val="0"/>
                <w:sz w:val="24"/>
              </w:rPr>
              <w:t>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与年初自定的绩效目标相比较</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检查质量完成情况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color w:val="000000"/>
                <w:kern w:val="0"/>
                <w:sz w:val="24"/>
              </w:rPr>
              <w:t>10</w:t>
            </w:r>
          </w:p>
        </w:tc>
      </w:tr>
      <w:tr w:rsidR="00133E5F">
        <w:trPr>
          <w:trHeight w:val="600"/>
          <w:jc w:val="center"/>
        </w:trPr>
        <w:tc>
          <w:tcPr>
            <w:tcW w:w="1242" w:type="dxa"/>
            <w:vMerge/>
            <w:tcBorders>
              <w:top w:val="nil"/>
              <w:left w:val="single" w:sz="8" w:space="0" w:color="auto"/>
              <w:bottom w:val="single" w:sz="8" w:space="0" w:color="auto"/>
              <w:right w:val="single" w:sz="8" w:space="0" w:color="auto"/>
            </w:tcBorders>
            <w:noWrap/>
            <w:vAlign w:val="center"/>
          </w:tcPr>
          <w:p w:rsidR="00133E5F" w:rsidRDefault="00133E5F"/>
        </w:tc>
        <w:tc>
          <w:tcPr>
            <w:tcW w:w="1560" w:type="dxa"/>
            <w:tcBorders>
              <w:top w:val="nil"/>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C3重点工作完成及时率（1</w:t>
            </w:r>
            <w:r>
              <w:rPr>
                <w:rFonts w:ascii="仿宋" w:eastAsia="仿宋" w:cs="宋体"/>
                <w:color w:val="000000"/>
                <w:kern w:val="0"/>
                <w:sz w:val="24"/>
              </w:rPr>
              <w:t>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参照财政部门及主管部门规定的要求</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检查比如资金的使用，审计报告、验收报告等完成情况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少数项目验收报告出具稍晚</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9</w:t>
            </w:r>
          </w:p>
        </w:tc>
      </w:tr>
      <w:tr w:rsidR="00133E5F">
        <w:trPr>
          <w:trHeight w:val="600"/>
          <w:jc w:val="center"/>
        </w:trPr>
        <w:tc>
          <w:tcPr>
            <w:tcW w:w="1242" w:type="dxa"/>
            <w:vMerge w:val="restart"/>
            <w:tcBorders>
              <w:top w:val="nil"/>
              <w:left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D履职绩效（30分）</w:t>
            </w:r>
          </w:p>
        </w:tc>
        <w:tc>
          <w:tcPr>
            <w:tcW w:w="1560" w:type="dxa"/>
            <w:tcBorders>
              <w:top w:val="nil"/>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kern w:val="0"/>
                <w:sz w:val="24"/>
              </w:rPr>
            </w:pPr>
            <w:r>
              <w:rPr>
                <w:rFonts w:ascii="仿宋" w:eastAsia="仿宋" w:cs="宋体" w:hint="eastAsia"/>
                <w:kern w:val="0"/>
                <w:sz w:val="24"/>
              </w:rPr>
              <w:t>D1经济效益（</w:t>
            </w:r>
            <w:r>
              <w:rPr>
                <w:rFonts w:ascii="仿宋" w:eastAsia="仿宋" w:cs="宋体"/>
                <w:kern w:val="0"/>
                <w:sz w:val="24"/>
              </w:rPr>
              <w:t>8</w:t>
            </w:r>
            <w:r>
              <w:rPr>
                <w:rFonts w:ascii="仿宋" w:eastAsia="仿宋" w:cs="宋体" w:hint="eastAsia"/>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 xml:space="preserve">　经济活动中取得的收益性成果</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kern w:val="0"/>
                <w:sz w:val="24"/>
              </w:rPr>
            </w:pPr>
            <w:r>
              <w:rPr>
                <w:rFonts w:ascii="仿宋" w:eastAsia="仿宋" w:cs="宋体" w:hint="eastAsia"/>
                <w:kern w:val="0"/>
                <w:sz w:val="24"/>
              </w:rPr>
              <w:t>计算经济性成果</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kern w:val="0"/>
                <w:sz w:val="24"/>
              </w:rPr>
            </w:pPr>
            <w:r>
              <w:rPr>
                <w:rFonts w:ascii="仿宋" w:eastAsia="仿宋" w:cs="宋体" w:hint="eastAsia"/>
                <w:kern w:val="0"/>
                <w:sz w:val="24"/>
              </w:rPr>
              <w:t>公益性单位不涉及经济收益，故未充分考虑经济效益</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kern w:val="0"/>
                <w:sz w:val="24"/>
              </w:rPr>
            </w:pPr>
            <w:r>
              <w:rPr>
                <w:rFonts w:ascii="仿宋" w:eastAsia="仿宋" w:cs="宋体" w:hint="eastAsia"/>
                <w:kern w:val="0"/>
                <w:sz w:val="24"/>
              </w:rPr>
              <w:t>7</w:t>
            </w:r>
          </w:p>
        </w:tc>
      </w:tr>
      <w:tr w:rsidR="00133E5F">
        <w:trPr>
          <w:trHeight w:val="600"/>
          <w:jc w:val="center"/>
        </w:trPr>
        <w:tc>
          <w:tcPr>
            <w:tcW w:w="1242" w:type="dxa"/>
            <w:vMerge/>
            <w:tcBorders>
              <w:left w:val="single" w:sz="8" w:space="0" w:color="auto"/>
              <w:right w:val="single" w:sz="8" w:space="0" w:color="auto"/>
            </w:tcBorders>
            <w:noWrap/>
            <w:vAlign w:val="center"/>
          </w:tcPr>
          <w:p w:rsidR="00133E5F" w:rsidRDefault="00133E5F"/>
        </w:tc>
        <w:tc>
          <w:tcPr>
            <w:tcW w:w="1560" w:type="dxa"/>
            <w:tcBorders>
              <w:top w:val="nil"/>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kern w:val="0"/>
                <w:sz w:val="24"/>
              </w:rPr>
            </w:pPr>
            <w:r>
              <w:rPr>
                <w:rFonts w:ascii="仿宋" w:eastAsia="仿宋" w:cs="宋体" w:hint="eastAsia"/>
                <w:kern w:val="0"/>
                <w:sz w:val="24"/>
              </w:rPr>
              <w:t>D2社会效益（</w:t>
            </w:r>
            <w:r>
              <w:rPr>
                <w:rFonts w:ascii="仿宋" w:eastAsia="仿宋" w:cs="宋体"/>
                <w:kern w:val="0"/>
                <w:sz w:val="24"/>
              </w:rPr>
              <w:t>8</w:t>
            </w:r>
            <w:r>
              <w:rPr>
                <w:rFonts w:ascii="仿宋" w:eastAsia="仿宋" w:cs="宋体" w:hint="eastAsia"/>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 xml:space="preserve">　经济效益之外的对社会有益的效果 </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kern w:val="0"/>
                <w:sz w:val="24"/>
              </w:rPr>
            </w:pPr>
            <w:r>
              <w:rPr>
                <w:rFonts w:ascii="仿宋" w:eastAsia="仿宋" w:cs="宋体" w:hint="eastAsia"/>
                <w:kern w:val="0"/>
                <w:sz w:val="24"/>
              </w:rPr>
              <w:t xml:space="preserve">评价社会性有益效果 </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kern w:val="0"/>
                <w:sz w:val="24"/>
              </w:rPr>
            </w:pPr>
            <w:r>
              <w:rPr>
                <w:rFonts w:ascii="仿宋" w:eastAsia="仿宋" w:cs="宋体" w:hint="eastAsia"/>
                <w:kern w:val="0"/>
                <w:sz w:val="24"/>
              </w:rPr>
              <w:t>8</w:t>
            </w:r>
          </w:p>
        </w:tc>
      </w:tr>
      <w:tr w:rsidR="00133E5F">
        <w:trPr>
          <w:trHeight w:val="600"/>
          <w:jc w:val="center"/>
        </w:trPr>
        <w:tc>
          <w:tcPr>
            <w:tcW w:w="1242" w:type="dxa"/>
            <w:vMerge/>
            <w:tcBorders>
              <w:left w:val="single" w:sz="8" w:space="0" w:color="auto"/>
              <w:right w:val="single" w:sz="8" w:space="0" w:color="auto"/>
            </w:tcBorders>
            <w:noWrap/>
            <w:vAlign w:val="center"/>
          </w:tcPr>
          <w:p w:rsidR="00133E5F" w:rsidRDefault="00133E5F"/>
        </w:tc>
        <w:tc>
          <w:tcPr>
            <w:tcW w:w="1560" w:type="dxa"/>
            <w:tcBorders>
              <w:top w:val="nil"/>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kern w:val="0"/>
                <w:sz w:val="24"/>
              </w:rPr>
            </w:pPr>
            <w:r>
              <w:rPr>
                <w:rFonts w:ascii="仿宋" w:eastAsia="仿宋" w:cs="宋体" w:hint="eastAsia"/>
                <w:kern w:val="0"/>
                <w:sz w:val="24"/>
              </w:rPr>
              <w:t>D3生态效益（</w:t>
            </w:r>
            <w:r>
              <w:rPr>
                <w:rFonts w:ascii="仿宋" w:eastAsia="仿宋" w:cs="宋体"/>
                <w:kern w:val="0"/>
                <w:sz w:val="24"/>
              </w:rPr>
              <w:t>8</w:t>
            </w:r>
            <w:r>
              <w:rPr>
                <w:rFonts w:ascii="仿宋" w:eastAsia="仿宋" w:cs="宋体" w:hint="eastAsia"/>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kern w:val="0"/>
                <w:sz w:val="24"/>
              </w:rPr>
            </w:pPr>
            <w:r>
              <w:rPr>
                <w:rFonts w:ascii="仿宋" w:eastAsia="仿宋" w:cs="宋体" w:hint="eastAsia"/>
                <w:kern w:val="0"/>
                <w:sz w:val="24"/>
              </w:rPr>
              <w:t xml:space="preserve">　生态平衡和生态系统的良性高效循环</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kern w:val="0"/>
                <w:sz w:val="24"/>
              </w:rPr>
            </w:pPr>
            <w:r>
              <w:rPr>
                <w:rFonts w:ascii="仿宋" w:eastAsia="仿宋" w:cs="宋体" w:hint="eastAsia"/>
                <w:kern w:val="0"/>
                <w:sz w:val="24"/>
              </w:rPr>
              <w:t>评价生态平衡及系统循环情况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kern w:val="0"/>
                <w:sz w:val="24"/>
              </w:rPr>
            </w:pPr>
            <w:r>
              <w:rPr>
                <w:rFonts w:ascii="仿宋" w:eastAsia="仿宋" w:cs="宋体" w:hint="eastAsia"/>
                <w:kern w:val="0"/>
                <w:sz w:val="24"/>
              </w:rPr>
              <w:t>8</w:t>
            </w:r>
          </w:p>
        </w:tc>
      </w:tr>
      <w:tr w:rsidR="00133E5F">
        <w:trPr>
          <w:trHeight w:val="915"/>
          <w:jc w:val="center"/>
        </w:trPr>
        <w:tc>
          <w:tcPr>
            <w:tcW w:w="1242" w:type="dxa"/>
            <w:vMerge/>
            <w:tcBorders>
              <w:left w:val="single" w:sz="8" w:space="0" w:color="auto"/>
              <w:bottom w:val="single" w:sz="4" w:space="0" w:color="auto"/>
              <w:right w:val="single" w:sz="8" w:space="0" w:color="auto"/>
            </w:tcBorders>
            <w:noWrap/>
            <w:vAlign w:val="center"/>
          </w:tcPr>
          <w:p w:rsidR="00133E5F" w:rsidRDefault="00133E5F"/>
        </w:tc>
        <w:tc>
          <w:tcPr>
            <w:tcW w:w="1560" w:type="dxa"/>
            <w:tcBorders>
              <w:top w:val="nil"/>
              <w:left w:val="nil"/>
              <w:bottom w:val="single" w:sz="4"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D4满意度（6分）</w:t>
            </w:r>
          </w:p>
        </w:tc>
        <w:tc>
          <w:tcPr>
            <w:tcW w:w="4110" w:type="dxa"/>
            <w:tcBorders>
              <w:top w:val="nil"/>
              <w:left w:val="nil"/>
              <w:bottom w:val="single" w:sz="4"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不设三级指标</w:t>
            </w:r>
          </w:p>
        </w:tc>
        <w:tc>
          <w:tcPr>
            <w:tcW w:w="2977" w:type="dxa"/>
            <w:tcBorders>
              <w:top w:val="nil"/>
              <w:left w:val="nil"/>
              <w:bottom w:val="single" w:sz="4"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包含服务对象（可选）、管理对象（可选）、间接受益对象（可选）等</w:t>
            </w:r>
          </w:p>
        </w:tc>
        <w:tc>
          <w:tcPr>
            <w:tcW w:w="2008" w:type="dxa"/>
            <w:tcBorders>
              <w:top w:val="nil"/>
              <w:left w:val="nil"/>
              <w:bottom w:val="single" w:sz="4"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涉及检查服务对象、管理对象、间接受益对象评价表；未涉及可得满分</w:t>
            </w:r>
          </w:p>
        </w:tc>
        <w:tc>
          <w:tcPr>
            <w:tcW w:w="1379" w:type="dxa"/>
            <w:tcBorders>
              <w:top w:val="nil"/>
              <w:left w:val="single" w:sz="4" w:space="0" w:color="auto"/>
              <w:bottom w:val="single" w:sz="4" w:space="0" w:color="auto"/>
              <w:right w:val="single" w:sz="8" w:space="0" w:color="auto"/>
            </w:tcBorders>
            <w:shd w:val="clear" w:color="auto" w:fill="auto"/>
            <w:noWrap/>
            <w:vAlign w:val="center"/>
          </w:tcPr>
          <w:p w:rsidR="00133E5F" w:rsidRDefault="00133E5F">
            <w:pPr>
              <w:widowControl/>
              <w:jc w:val="center"/>
              <w:rPr>
                <w:rFonts w:ascii="仿宋" w:eastAsia="仿宋" w:cs="宋体"/>
                <w:kern w:val="0"/>
                <w:sz w:val="24"/>
              </w:rPr>
            </w:pPr>
          </w:p>
        </w:tc>
        <w:tc>
          <w:tcPr>
            <w:tcW w:w="1379" w:type="dxa"/>
            <w:tcBorders>
              <w:top w:val="nil"/>
              <w:left w:val="single" w:sz="4" w:space="0" w:color="auto"/>
              <w:bottom w:val="single" w:sz="4" w:space="0" w:color="auto"/>
              <w:right w:val="single" w:sz="8" w:space="0" w:color="auto"/>
            </w:tcBorders>
            <w:shd w:val="clear" w:color="auto" w:fill="auto"/>
            <w:noWrap/>
            <w:vAlign w:val="center"/>
          </w:tcPr>
          <w:p w:rsidR="00133E5F" w:rsidRDefault="00546D50">
            <w:pPr>
              <w:widowControl/>
              <w:jc w:val="center"/>
              <w:rPr>
                <w:rFonts w:ascii="仿宋" w:eastAsia="仿宋" w:cs="宋体"/>
                <w:kern w:val="0"/>
                <w:sz w:val="24"/>
              </w:rPr>
            </w:pPr>
            <w:r>
              <w:rPr>
                <w:rFonts w:ascii="仿宋" w:eastAsia="仿宋" w:cs="宋体" w:hint="eastAsia"/>
                <w:kern w:val="0"/>
                <w:sz w:val="24"/>
              </w:rPr>
              <w:t>6</w:t>
            </w:r>
          </w:p>
        </w:tc>
      </w:tr>
      <w:tr w:rsidR="00133E5F">
        <w:trPr>
          <w:trHeight w:val="600"/>
          <w:jc w:val="center"/>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E可持续发展能力</w:t>
            </w:r>
            <w:r>
              <w:rPr>
                <w:rFonts w:ascii="仿宋" w:eastAsia="仿宋" w:cs="宋体" w:hint="eastAsia"/>
                <w:color w:val="000000"/>
                <w:kern w:val="0"/>
                <w:sz w:val="24"/>
              </w:rPr>
              <w:lastRenderedPageBreak/>
              <w:t>（5分）</w:t>
            </w:r>
          </w:p>
        </w:tc>
        <w:tc>
          <w:tcPr>
            <w:tcW w:w="1560" w:type="dxa"/>
            <w:tcBorders>
              <w:top w:val="single" w:sz="8" w:space="0" w:color="auto"/>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lastRenderedPageBreak/>
              <w:t>E1信息化建设情况（5</w:t>
            </w:r>
            <w:r>
              <w:rPr>
                <w:rFonts w:ascii="仿宋" w:eastAsia="仿宋" w:cs="宋体" w:hint="eastAsia"/>
                <w:color w:val="000000"/>
                <w:kern w:val="0"/>
                <w:sz w:val="24"/>
              </w:rPr>
              <w:lastRenderedPageBreak/>
              <w:t>分）</w:t>
            </w:r>
          </w:p>
        </w:tc>
        <w:tc>
          <w:tcPr>
            <w:tcW w:w="4110" w:type="dxa"/>
            <w:tcBorders>
              <w:top w:val="single" w:sz="8" w:space="0" w:color="auto"/>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lastRenderedPageBreak/>
              <w:t xml:space="preserve">　不设三级指标</w:t>
            </w:r>
          </w:p>
        </w:tc>
        <w:tc>
          <w:tcPr>
            <w:tcW w:w="2977" w:type="dxa"/>
            <w:tcBorders>
              <w:top w:val="single" w:sz="8" w:space="0" w:color="auto"/>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办公流程、业务开展是否能通过单位的信息系统实现</w:t>
            </w:r>
          </w:p>
        </w:tc>
        <w:tc>
          <w:tcPr>
            <w:tcW w:w="2008" w:type="dxa"/>
            <w:tcBorders>
              <w:top w:val="single" w:sz="8" w:space="0" w:color="auto"/>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检查或进行穿行测试</w:t>
            </w:r>
          </w:p>
        </w:tc>
        <w:tc>
          <w:tcPr>
            <w:tcW w:w="1379" w:type="dxa"/>
            <w:tcBorders>
              <w:top w:val="single" w:sz="8" w:space="0" w:color="auto"/>
              <w:left w:val="single" w:sz="4" w:space="0" w:color="auto"/>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信息化仅在部分业</w:t>
            </w:r>
            <w:r>
              <w:rPr>
                <w:rFonts w:ascii="仿宋" w:eastAsia="仿宋" w:cs="宋体" w:hint="eastAsia"/>
                <w:color w:val="000000"/>
                <w:kern w:val="0"/>
                <w:sz w:val="24"/>
              </w:rPr>
              <w:lastRenderedPageBreak/>
              <w:t>务活动中使用</w:t>
            </w:r>
          </w:p>
        </w:tc>
        <w:tc>
          <w:tcPr>
            <w:tcW w:w="1379" w:type="dxa"/>
            <w:tcBorders>
              <w:top w:val="single" w:sz="8" w:space="0" w:color="auto"/>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lastRenderedPageBreak/>
              <w:t>4</w:t>
            </w:r>
          </w:p>
        </w:tc>
      </w:tr>
      <w:tr w:rsidR="00133E5F">
        <w:trPr>
          <w:trHeight w:val="600"/>
          <w:jc w:val="center"/>
        </w:trPr>
        <w:tc>
          <w:tcPr>
            <w:tcW w:w="1242" w:type="dxa"/>
            <w:vMerge/>
            <w:tcBorders>
              <w:top w:val="single" w:sz="8" w:space="0" w:color="auto"/>
              <w:left w:val="single" w:sz="8" w:space="0" w:color="auto"/>
              <w:bottom w:val="single" w:sz="8" w:space="0" w:color="auto"/>
              <w:right w:val="single" w:sz="8" w:space="0" w:color="auto"/>
            </w:tcBorders>
            <w:noWrap/>
            <w:vAlign w:val="center"/>
          </w:tcPr>
          <w:p w:rsidR="00133E5F" w:rsidRDefault="00133E5F"/>
        </w:tc>
        <w:tc>
          <w:tcPr>
            <w:tcW w:w="1560" w:type="dxa"/>
            <w:tcBorders>
              <w:top w:val="nil"/>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E2人力资源建设情况（可选）</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cs="宋体"/>
                <w:color w:val="000000"/>
                <w:kern w:val="0"/>
                <w:sz w:val="22"/>
              </w:rPr>
            </w:pPr>
            <w:r>
              <w:rPr>
                <w:rFonts w:cs="宋体" w:hint="eastAsia"/>
                <w:color w:val="000000"/>
                <w:kern w:val="0"/>
                <w:sz w:val="22"/>
              </w:rPr>
              <w:t xml:space="preserve">　</w:t>
            </w: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包含人才培养计划、人才选拔运用、激励措施等</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适用检查是否有人才培养计划、人才选拔运用及激励措施方面形成的文件；不适用可得满分</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rPr>
                <w:rFonts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rPr>
                <w:rFonts w:cs="宋体"/>
                <w:color w:val="000000"/>
                <w:kern w:val="0"/>
                <w:sz w:val="22"/>
              </w:rPr>
            </w:pPr>
            <w:r>
              <w:rPr>
                <w:rFonts w:cs="宋体" w:hint="eastAsia"/>
                <w:color w:val="000000"/>
                <w:kern w:val="0"/>
                <w:sz w:val="22"/>
              </w:rPr>
              <w:t xml:space="preserve">　</w:t>
            </w:r>
            <w:r>
              <w:rPr>
                <w:rFonts w:cs="宋体" w:hint="eastAsia"/>
                <w:color w:val="000000"/>
                <w:kern w:val="0"/>
                <w:sz w:val="22"/>
              </w:rPr>
              <w:t>0</w:t>
            </w:r>
          </w:p>
        </w:tc>
      </w:tr>
      <w:tr w:rsidR="00133E5F">
        <w:trPr>
          <w:trHeight w:val="600"/>
          <w:jc w:val="center"/>
        </w:trPr>
        <w:tc>
          <w:tcPr>
            <w:tcW w:w="1242" w:type="dxa"/>
            <w:vMerge/>
            <w:tcBorders>
              <w:top w:val="single" w:sz="8" w:space="0" w:color="auto"/>
              <w:left w:val="single" w:sz="8" w:space="0" w:color="auto"/>
              <w:bottom w:val="single" w:sz="8" w:space="0" w:color="auto"/>
              <w:right w:val="single" w:sz="8" w:space="0" w:color="auto"/>
            </w:tcBorders>
            <w:noWrap/>
            <w:vAlign w:val="center"/>
          </w:tcPr>
          <w:p w:rsidR="00133E5F" w:rsidRDefault="00133E5F"/>
        </w:tc>
        <w:tc>
          <w:tcPr>
            <w:tcW w:w="1560" w:type="dxa"/>
            <w:tcBorders>
              <w:top w:val="nil"/>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E3部门创新情况（可选）</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2"/>
              </w:rPr>
            </w:pPr>
            <w:r>
              <w:rPr>
                <w:rFonts w:ascii="仿宋" w:eastAsia="仿宋" w:cs="宋体" w:hint="eastAsia"/>
                <w:color w:val="000000"/>
                <w:kern w:val="0"/>
                <w:sz w:val="22"/>
              </w:rPr>
              <w:t xml:space="preserve">　</w:t>
            </w:r>
            <w:r>
              <w:rPr>
                <w:rFonts w:ascii="仿宋" w:eastAsia="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包含制度创新、方法创新等</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2"/>
              </w:rPr>
            </w:pPr>
            <w:r>
              <w:rPr>
                <w:rFonts w:ascii="仿宋" w:eastAsia="仿宋" w:cs="宋体" w:hint="eastAsia"/>
                <w:color w:val="000000"/>
                <w:kern w:val="0"/>
                <w:sz w:val="22"/>
              </w:rPr>
              <w:t>部门（单位）需提供创新案例被官方媒体报道的佐证材料</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2"/>
              </w:rPr>
            </w:pPr>
            <w:r>
              <w:rPr>
                <w:rFonts w:ascii="仿宋" w:eastAsia="仿宋" w:cs="宋体" w:hint="eastAsia"/>
                <w:color w:val="000000"/>
                <w:kern w:val="0"/>
                <w:sz w:val="22"/>
              </w:rPr>
              <w:t>0</w:t>
            </w:r>
          </w:p>
        </w:tc>
      </w:tr>
      <w:tr w:rsidR="00133E5F">
        <w:trPr>
          <w:trHeight w:val="923"/>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F加减分项（≤5分）</w:t>
            </w:r>
          </w:p>
        </w:tc>
        <w:tc>
          <w:tcPr>
            <w:tcW w:w="1560" w:type="dxa"/>
            <w:tcBorders>
              <w:top w:val="nil"/>
              <w:left w:val="nil"/>
              <w:bottom w:val="single" w:sz="8"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F1加分项</w:t>
            </w:r>
          </w:p>
        </w:tc>
        <w:tc>
          <w:tcPr>
            <w:tcW w:w="4110"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 xml:space="preserve">　不设三级指标</w:t>
            </w:r>
          </w:p>
        </w:tc>
        <w:tc>
          <w:tcPr>
            <w:tcW w:w="2977" w:type="dxa"/>
            <w:tcBorders>
              <w:top w:val="nil"/>
              <w:left w:val="nil"/>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部门（单位）受到国务院、省级、市级嘉奖</w:t>
            </w:r>
          </w:p>
        </w:tc>
        <w:tc>
          <w:tcPr>
            <w:tcW w:w="2008" w:type="dxa"/>
            <w:tcBorders>
              <w:top w:val="nil"/>
              <w:left w:val="nil"/>
              <w:bottom w:val="single" w:sz="8"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受到国务院嘉奖加3分，受到省级嘉奖加2分，得到市级考核一等奖加1分，得到市级考核二等奖加0.5分；同一项工作不累计加分</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133E5F">
            <w:pPr>
              <w:widowControl/>
              <w:rPr>
                <w:rFonts w:ascii="仿宋" w:eastAsia="仿宋" w:cs="宋体"/>
                <w:color w:val="000000"/>
                <w:kern w:val="0"/>
                <w:sz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0</w:t>
            </w:r>
          </w:p>
        </w:tc>
      </w:tr>
      <w:tr w:rsidR="00133E5F">
        <w:trPr>
          <w:trHeight w:val="600"/>
          <w:jc w:val="center"/>
        </w:trPr>
        <w:tc>
          <w:tcPr>
            <w:tcW w:w="1242" w:type="dxa"/>
            <w:vMerge/>
            <w:tcBorders>
              <w:top w:val="nil"/>
              <w:left w:val="single" w:sz="8" w:space="0" w:color="auto"/>
              <w:bottom w:val="single" w:sz="4" w:space="0" w:color="auto"/>
              <w:right w:val="single" w:sz="8" w:space="0" w:color="auto"/>
            </w:tcBorders>
            <w:noWrap/>
            <w:vAlign w:val="center"/>
          </w:tcPr>
          <w:p w:rsidR="00133E5F" w:rsidRDefault="00133E5F"/>
        </w:tc>
        <w:tc>
          <w:tcPr>
            <w:tcW w:w="1560" w:type="dxa"/>
            <w:tcBorders>
              <w:top w:val="nil"/>
              <w:left w:val="nil"/>
              <w:bottom w:val="single" w:sz="4" w:space="0" w:color="auto"/>
              <w:right w:val="single" w:sz="8" w:space="0" w:color="auto"/>
            </w:tcBorders>
            <w:shd w:val="clear" w:color="auto" w:fill="auto"/>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t>F2减分项</w:t>
            </w:r>
          </w:p>
        </w:tc>
        <w:tc>
          <w:tcPr>
            <w:tcW w:w="4110" w:type="dxa"/>
            <w:tcBorders>
              <w:top w:val="nil"/>
              <w:left w:val="nil"/>
              <w:bottom w:val="single" w:sz="4" w:space="0" w:color="auto"/>
              <w:right w:val="single" w:sz="8" w:space="0" w:color="auto"/>
            </w:tcBorders>
            <w:shd w:val="clear" w:color="auto" w:fill="auto"/>
            <w:noWrap/>
            <w:vAlign w:val="center"/>
          </w:tcPr>
          <w:p w:rsidR="00133E5F" w:rsidRDefault="00546D50">
            <w:pPr>
              <w:widowControl/>
              <w:rPr>
                <w:rFonts w:cs="宋体"/>
                <w:color w:val="000000"/>
                <w:kern w:val="0"/>
                <w:sz w:val="22"/>
              </w:rPr>
            </w:pPr>
            <w:r>
              <w:rPr>
                <w:rFonts w:cs="宋体" w:hint="eastAsia"/>
                <w:color w:val="000000"/>
                <w:kern w:val="0"/>
                <w:sz w:val="22"/>
              </w:rPr>
              <w:t xml:space="preserve">　</w:t>
            </w:r>
            <w:r>
              <w:rPr>
                <w:rFonts w:ascii="仿宋" w:eastAsia="仿宋" w:cs="宋体" w:hint="eastAsia"/>
                <w:color w:val="000000"/>
                <w:kern w:val="0"/>
                <w:sz w:val="24"/>
              </w:rPr>
              <w:t>不设三级指标</w:t>
            </w:r>
          </w:p>
        </w:tc>
        <w:tc>
          <w:tcPr>
            <w:tcW w:w="2977" w:type="dxa"/>
            <w:tcBorders>
              <w:top w:val="nil"/>
              <w:left w:val="nil"/>
              <w:bottom w:val="single" w:sz="4"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部门（单位）或工作人员违法违纪</w:t>
            </w:r>
          </w:p>
        </w:tc>
        <w:tc>
          <w:tcPr>
            <w:tcW w:w="2008" w:type="dxa"/>
            <w:tcBorders>
              <w:top w:val="nil"/>
              <w:left w:val="nil"/>
              <w:bottom w:val="single" w:sz="4" w:space="0" w:color="auto"/>
              <w:right w:val="single" w:sz="4" w:space="0" w:color="auto"/>
            </w:tcBorders>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酌情扣分</w:t>
            </w:r>
          </w:p>
        </w:tc>
        <w:tc>
          <w:tcPr>
            <w:tcW w:w="1379" w:type="dxa"/>
            <w:tcBorders>
              <w:top w:val="nil"/>
              <w:left w:val="single" w:sz="4" w:space="0" w:color="auto"/>
              <w:bottom w:val="single" w:sz="4" w:space="0" w:color="auto"/>
              <w:right w:val="single" w:sz="8" w:space="0" w:color="auto"/>
            </w:tcBorders>
            <w:shd w:val="clear" w:color="auto" w:fill="auto"/>
            <w:noWrap/>
            <w:vAlign w:val="center"/>
          </w:tcPr>
          <w:p w:rsidR="00133E5F" w:rsidRDefault="00133E5F">
            <w:pPr>
              <w:widowControl/>
              <w:rPr>
                <w:rFonts w:ascii="仿宋" w:eastAsia="仿宋" w:cs="宋体"/>
                <w:color w:val="000000"/>
                <w:kern w:val="0"/>
                <w:sz w:val="24"/>
              </w:rPr>
            </w:pPr>
          </w:p>
        </w:tc>
        <w:tc>
          <w:tcPr>
            <w:tcW w:w="1379" w:type="dxa"/>
            <w:tcBorders>
              <w:top w:val="nil"/>
              <w:left w:val="single" w:sz="4" w:space="0" w:color="auto"/>
              <w:bottom w:val="single" w:sz="4" w:space="0" w:color="auto"/>
              <w:right w:val="single" w:sz="8" w:space="0" w:color="auto"/>
            </w:tcBorders>
            <w:shd w:val="clear" w:color="auto" w:fill="auto"/>
            <w:noWrap/>
            <w:vAlign w:val="center"/>
          </w:tcPr>
          <w:p w:rsidR="00133E5F" w:rsidRDefault="00546D50">
            <w:pPr>
              <w:widowControl/>
              <w:rPr>
                <w:rFonts w:ascii="仿宋" w:eastAsia="仿宋" w:cs="宋体"/>
                <w:color w:val="000000"/>
                <w:kern w:val="0"/>
                <w:sz w:val="24"/>
              </w:rPr>
            </w:pPr>
            <w:r>
              <w:rPr>
                <w:rFonts w:ascii="仿宋" w:eastAsia="仿宋" w:cs="宋体" w:hint="eastAsia"/>
                <w:color w:val="000000"/>
                <w:kern w:val="0"/>
                <w:sz w:val="24"/>
              </w:rPr>
              <w:t>0</w:t>
            </w:r>
          </w:p>
        </w:tc>
      </w:tr>
      <w:tr w:rsidR="00133E5F">
        <w:trPr>
          <w:trHeight w:val="600"/>
          <w:jc w:val="center"/>
        </w:trPr>
        <w:tc>
          <w:tcPr>
            <w:tcW w:w="11897" w:type="dxa"/>
            <w:gridSpan w:val="5"/>
            <w:tcBorders>
              <w:top w:val="single" w:sz="4" w:space="0" w:color="auto"/>
              <w:left w:val="single" w:sz="8" w:space="0" w:color="auto"/>
              <w:bottom w:val="single" w:sz="8" w:space="0" w:color="auto"/>
              <w:right w:val="single" w:sz="4" w:space="0" w:color="auto"/>
            </w:tcBorders>
            <w:noWrap/>
            <w:vAlign w:val="center"/>
          </w:tcPr>
          <w:p w:rsidR="00133E5F" w:rsidRDefault="00546D50">
            <w:pPr>
              <w:widowControl/>
              <w:jc w:val="left"/>
              <w:rPr>
                <w:rFonts w:ascii="仿宋" w:eastAsia="仿宋" w:cs="宋体"/>
                <w:color w:val="000000"/>
                <w:kern w:val="0"/>
                <w:sz w:val="24"/>
              </w:rPr>
            </w:pPr>
            <w:r>
              <w:rPr>
                <w:rFonts w:ascii="仿宋" w:eastAsia="仿宋" w:cs="宋体" w:hint="eastAsia"/>
                <w:color w:val="000000"/>
                <w:kern w:val="0"/>
                <w:sz w:val="24"/>
              </w:rPr>
              <w:lastRenderedPageBreak/>
              <w:t>合计得分</w:t>
            </w:r>
          </w:p>
        </w:tc>
        <w:tc>
          <w:tcPr>
            <w:tcW w:w="1379" w:type="dxa"/>
            <w:tcBorders>
              <w:top w:val="single" w:sz="4" w:space="0" w:color="auto"/>
              <w:left w:val="single" w:sz="4" w:space="0" w:color="auto"/>
              <w:bottom w:val="single" w:sz="8" w:space="0" w:color="auto"/>
              <w:right w:val="single" w:sz="8" w:space="0" w:color="auto"/>
            </w:tcBorders>
            <w:shd w:val="clear" w:color="auto" w:fill="auto"/>
            <w:noWrap/>
            <w:vAlign w:val="center"/>
          </w:tcPr>
          <w:p w:rsidR="00133E5F" w:rsidRDefault="00133E5F">
            <w:pPr>
              <w:widowControl/>
              <w:jc w:val="center"/>
              <w:rPr>
                <w:rFonts w:ascii="仿宋" w:eastAsia="仿宋" w:cs="宋体"/>
                <w:color w:val="000000"/>
                <w:kern w:val="0"/>
                <w:sz w:val="24"/>
              </w:rPr>
            </w:pPr>
          </w:p>
        </w:tc>
        <w:tc>
          <w:tcPr>
            <w:tcW w:w="1379" w:type="dxa"/>
            <w:tcBorders>
              <w:top w:val="single" w:sz="4" w:space="0" w:color="auto"/>
              <w:left w:val="single" w:sz="4" w:space="0" w:color="auto"/>
              <w:bottom w:val="single" w:sz="8" w:space="0" w:color="auto"/>
              <w:right w:val="single" w:sz="8" w:space="0" w:color="auto"/>
            </w:tcBorders>
            <w:shd w:val="clear" w:color="auto" w:fill="auto"/>
            <w:noWrap/>
            <w:vAlign w:val="center"/>
          </w:tcPr>
          <w:p w:rsidR="00133E5F" w:rsidRDefault="00546D50">
            <w:pPr>
              <w:widowControl/>
              <w:jc w:val="center"/>
              <w:rPr>
                <w:rFonts w:ascii="仿宋" w:eastAsia="仿宋" w:cs="宋体"/>
                <w:color w:val="000000"/>
                <w:kern w:val="0"/>
                <w:sz w:val="24"/>
              </w:rPr>
            </w:pPr>
            <w:r>
              <w:rPr>
                <w:rFonts w:ascii="仿宋" w:eastAsia="仿宋" w:cs="宋体" w:hint="eastAsia"/>
                <w:color w:val="000000"/>
                <w:kern w:val="0"/>
                <w:sz w:val="24"/>
              </w:rPr>
              <w:t>97</w:t>
            </w:r>
          </w:p>
        </w:tc>
      </w:tr>
    </w:tbl>
    <w:p w:rsidR="00133E5F" w:rsidRDefault="00133E5F"/>
    <w:sectPr w:rsidR="00133E5F">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50" w:rsidRDefault="00546D50">
      <w:r>
        <w:separator/>
      </w:r>
    </w:p>
  </w:endnote>
  <w:endnote w:type="continuationSeparator" w:id="0">
    <w:p w:rsidR="00546D50" w:rsidRDefault="0054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xi Sans">
    <w:altName w:val="DejaVu Sans"/>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Arial Unicode MS"/>
    <w:charset w:val="86"/>
    <w:family w:val="auto"/>
    <w:pitch w:val="variable"/>
    <w:sig w:usb0="00000000" w:usb1="38CF7CFA" w:usb2="00082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5F" w:rsidRDefault="00546D50">
    <w:pPr>
      <w:pStyle w:val="a6"/>
    </w:pPr>
    <w:r>
      <w:rPr>
        <w:noProof/>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_x0000_s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559"/>
                      </a:xfrm>
                      <a:prstGeom prst="rect">
                        <a:avLst/>
                      </a:prstGeom>
                      <a:noFill/>
                      <a:ln w="9525" cap="flat" cmpd="sng">
                        <a:noFill/>
                        <a:prstDash val="solid"/>
                        <a:miter/>
                      </a:ln>
                    </wps:spPr>
                    <wps:txbx>
                      <w:txbxContent>
                        <w:p w:rsidR="00133E5F" w:rsidRDefault="00546D50">
                          <w:pPr>
                            <w:pStyle w:val="a6"/>
                          </w:pPr>
                          <w:r>
                            <w:fldChar w:fldCharType="begin"/>
                          </w:r>
                          <w:r>
                            <w:instrText xml:space="preserve"> PAGE  \* MERGEFORMAT </w:instrText>
                          </w:r>
                          <w:r>
                            <w:fldChar w:fldCharType="separate"/>
                          </w:r>
                          <w:r w:rsidR="00A93B89">
                            <w:rPr>
                              <w:noProof/>
                            </w:rPr>
                            <w:t>2</w:t>
                          </w:r>
                          <w:r>
                            <w:fldChar w:fldCharType="end"/>
                          </w:r>
                        </w:p>
                      </w:txbxContent>
                    </wps:txbx>
                    <wps:bodyPr vert="horz" wrap="none" lIns="0" tIns="0" rIns="0" bIns="0" anchor="t" anchorCtr="0" upright="1">
                      <a:spAutoFit/>
                    </wps:bodyPr>
                  </wps:wsp>
                </a:graphicData>
              </a:graphic>
            </wp:anchor>
          </w:drawing>
        </mc:Choice>
        <mc:Fallback>
          <w:pict>
            <v:rect id="_x0000_s1026" o:spid="_x0000_s1026" style="position:absolute;margin-left:0;margin-top:0;width:4.5pt;height:10.35pt;z-index:12;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" filled="f" stroked="f">
              <v:path arrowok="t"/>
              <v:textbox style="mso-fit-shape-to-text:t" inset="0,0,0,0">
                <w:txbxContent>
                  <w:p w:rsidR="00133E5F" w:rsidRDefault="00546D50">
                    <w:pPr>
                      <w:pStyle w:val="a6"/>
                    </w:pPr>
                    <w:r>
                      <w:fldChar w:fldCharType="begin"/>
                    </w:r>
                    <w:r>
                      <w:instrText xml:space="preserve"> PAGE  \* MERGEFORMAT </w:instrText>
                    </w:r>
                    <w:r>
                      <w:fldChar w:fldCharType="separate"/>
                    </w:r>
                    <w:r w:rsidR="00A93B89">
                      <w:rPr>
                        <w:noProof/>
                      </w:rPr>
                      <w:t>2</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50" w:rsidRDefault="00546D50">
      <w:r>
        <w:separator/>
      </w:r>
    </w:p>
  </w:footnote>
  <w:footnote w:type="continuationSeparator" w:id="0">
    <w:p w:rsidR="00546D50" w:rsidRDefault="00546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24C37"/>
    <w:multiLevelType w:val="singleLevel"/>
    <w:tmpl w:val="86624C37"/>
    <w:lvl w:ilvl="0">
      <w:start w:val="5"/>
      <w:numFmt w:val="chineseCounting"/>
      <w:lvlRestart w:val="0"/>
      <w:suff w:val="nothing"/>
      <w:lvlText w:val="%1、"/>
      <w:lvlJc w:val="left"/>
      <w:pPr>
        <w:tabs>
          <w:tab w:val="num"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5F"/>
    <w:rsid w:val="00133E5F"/>
    <w:rsid w:val="00546D50"/>
    <w:rsid w:val="00A93B89"/>
    <w:rsid w:val="00D60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0"/>
    <w:pPr>
      <w:spacing w:line="500" w:lineRule="exact"/>
    </w:pPr>
    <w:rPr>
      <w:rFonts w:ascii="仿宋_GB2312" w:hAnsi="仿宋_GB2312"/>
      <w:sz w:val="28"/>
    </w:rPr>
  </w:style>
  <w:style w:type="paragraph" w:styleId="10">
    <w:name w:val="index 1"/>
    <w:basedOn w:val="a"/>
    <w:next w:val="a"/>
  </w:style>
  <w:style w:type="paragraph" w:styleId="a4">
    <w:name w:val="Body Text"/>
    <w:basedOn w:val="a"/>
    <w:next w:val="a5"/>
    <w:pPr>
      <w:spacing w:after="120"/>
    </w:pPr>
  </w:style>
  <w:style w:type="paragraph" w:styleId="a5">
    <w:name w:val="Title"/>
    <w:basedOn w:val="a"/>
    <w:next w:val="a"/>
    <w:pPr>
      <w:jc w:val="center"/>
      <w:outlineLvl w:val="0"/>
    </w:pPr>
    <w:rPr>
      <w:rFonts w:ascii="方正小标宋_GBK" w:eastAsia="方正小标宋_GBK" w:cs="方正小标宋_GBK"/>
      <w:sz w:val="44"/>
      <w:szCs w:val="44"/>
    </w:rPr>
  </w:style>
  <w:style w:type="paragraph" w:styleId="a6">
    <w:name w:val="footer"/>
    <w:basedOn w:val="a"/>
    <w:pPr>
      <w:tabs>
        <w:tab w:val="center" w:pos="4153"/>
        <w:tab w:val="right" w:pos="8306"/>
      </w:tabs>
      <w:snapToGrid w:val="0"/>
      <w:jc w:val="left"/>
    </w:pPr>
    <w:rPr>
      <w:sz w:val="18"/>
    </w:rPr>
  </w:style>
  <w:style w:type="paragraph" w:styleId="a7">
    <w:name w:val="header"/>
    <w:basedOn w:val="a"/>
    <w:pPr>
      <w:tabs>
        <w:tab w:val="center" w:pos="4153"/>
        <w:tab w:val="right" w:pos="8306"/>
      </w:tabs>
      <w:snapToGrid w:val="0"/>
    </w:pPr>
    <w:rPr>
      <w:sz w:val="18"/>
    </w:rPr>
  </w:style>
  <w:style w:type="paragraph" w:styleId="a8">
    <w:name w:val="List Paragraph"/>
    <w:basedOn w:val="a"/>
    <w:pPr>
      <w:ind w:firstLineChars="200" w:firstLine="200"/>
    </w:pPr>
    <w:rPr>
      <w:rFonts w:ascii="Calibri" w:hAnsi="Calibri"/>
    </w:rPr>
  </w:style>
  <w:style w:type="paragraph" w:customStyle="1" w:styleId="BodyTextIndent">
    <w:name w:val="BodyTextIndent"/>
    <w:basedOn w:val="a"/>
    <w:pPr>
      <w:snapToGrid w:val="0"/>
      <w:spacing w:after="120" w:line="590" w:lineRule="atLeast"/>
      <w:ind w:leftChars="200" w:left="200" w:firstLineChars="200" w:firstLine="200"/>
      <w:textAlignment w:val="baseline"/>
    </w:pPr>
    <w:rPr>
      <w:rFonts w:eastAsia="仿宋_GB2312"/>
      <w:sz w:val="32"/>
      <w:szCs w:val="20"/>
    </w:rPr>
  </w:style>
  <w:style w:type="paragraph" w:customStyle="1" w:styleId="BodyText1I2">
    <w:name w:val="BodyText1I2"/>
    <w:basedOn w:val="BodyTextInde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0"/>
    <w:pPr>
      <w:spacing w:line="500" w:lineRule="exact"/>
    </w:pPr>
    <w:rPr>
      <w:rFonts w:ascii="仿宋_GB2312" w:hAnsi="仿宋_GB2312"/>
      <w:sz w:val="28"/>
    </w:rPr>
  </w:style>
  <w:style w:type="paragraph" w:styleId="10">
    <w:name w:val="index 1"/>
    <w:basedOn w:val="a"/>
    <w:next w:val="a"/>
  </w:style>
  <w:style w:type="paragraph" w:styleId="a4">
    <w:name w:val="Body Text"/>
    <w:basedOn w:val="a"/>
    <w:next w:val="a5"/>
    <w:pPr>
      <w:spacing w:after="120"/>
    </w:pPr>
  </w:style>
  <w:style w:type="paragraph" w:styleId="a5">
    <w:name w:val="Title"/>
    <w:basedOn w:val="a"/>
    <w:next w:val="a"/>
    <w:pPr>
      <w:jc w:val="center"/>
      <w:outlineLvl w:val="0"/>
    </w:pPr>
    <w:rPr>
      <w:rFonts w:ascii="方正小标宋_GBK" w:eastAsia="方正小标宋_GBK" w:cs="方正小标宋_GBK"/>
      <w:sz w:val="44"/>
      <w:szCs w:val="44"/>
    </w:rPr>
  </w:style>
  <w:style w:type="paragraph" w:styleId="a6">
    <w:name w:val="footer"/>
    <w:basedOn w:val="a"/>
    <w:pPr>
      <w:tabs>
        <w:tab w:val="center" w:pos="4153"/>
        <w:tab w:val="right" w:pos="8306"/>
      </w:tabs>
      <w:snapToGrid w:val="0"/>
      <w:jc w:val="left"/>
    </w:pPr>
    <w:rPr>
      <w:sz w:val="18"/>
    </w:rPr>
  </w:style>
  <w:style w:type="paragraph" w:styleId="a7">
    <w:name w:val="header"/>
    <w:basedOn w:val="a"/>
    <w:pPr>
      <w:tabs>
        <w:tab w:val="center" w:pos="4153"/>
        <w:tab w:val="right" w:pos="8306"/>
      </w:tabs>
      <w:snapToGrid w:val="0"/>
    </w:pPr>
    <w:rPr>
      <w:sz w:val="18"/>
    </w:rPr>
  </w:style>
  <w:style w:type="paragraph" w:styleId="a8">
    <w:name w:val="List Paragraph"/>
    <w:basedOn w:val="a"/>
    <w:pPr>
      <w:ind w:firstLineChars="200" w:firstLine="200"/>
    </w:pPr>
    <w:rPr>
      <w:rFonts w:ascii="Calibri" w:hAnsi="Calibri"/>
    </w:rPr>
  </w:style>
  <w:style w:type="paragraph" w:customStyle="1" w:styleId="BodyTextIndent">
    <w:name w:val="BodyTextIndent"/>
    <w:basedOn w:val="a"/>
    <w:pPr>
      <w:snapToGrid w:val="0"/>
      <w:spacing w:after="120" w:line="590" w:lineRule="atLeast"/>
      <w:ind w:leftChars="200" w:left="200" w:firstLineChars="200" w:firstLine="200"/>
      <w:textAlignment w:val="baseline"/>
    </w:pPr>
    <w:rPr>
      <w:rFonts w:eastAsia="仿宋_GB2312"/>
      <w:sz w:val="32"/>
      <w:szCs w:val="20"/>
    </w:rPr>
  </w:style>
  <w:style w:type="paragraph" w:customStyle="1" w:styleId="BodyText1I2">
    <w:name w:val="BodyText1I2"/>
    <w:basedOn w:val="BodyTextInd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990</Words>
  <Characters>5647</Characters>
  <Application>Microsoft Office Word</Application>
  <DocSecurity>4</DocSecurity>
  <Lines>47</Lines>
  <Paragraphs>13</Paragraphs>
  <ScaleCrop>false</ScaleCrop>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金维佳</dc:creator>
  <cp:lastModifiedBy>Windows 用户</cp:lastModifiedBy>
  <cp:revision>2</cp:revision>
  <dcterms:created xsi:type="dcterms:W3CDTF">2025-12-18T08:49:00Z</dcterms:created>
  <dcterms:modified xsi:type="dcterms:W3CDTF">2025-12-18T08:49:00Z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C70F5237FB624FA5B5F73A2F954E58DE_11</vt:lpwstr>
  </property>
  <property fmtid="{D5CDD505-2E9C-101B-9397-08002B2CF9AE}" pid="4" name="KSOTemplateDocerSaveRecord">
    <vt:lpwstr>eyJoZGlkIjoiYmZlYjc2NjE5ZmYzYWRlYjRlMzY0OTAxODhjN2MxZDIiLCJ1c2VySWQiOiI0MTQwMzA2MTQifQ==</vt:lpwstr>
  </property>
</Properties>
</file>