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南京市畜牧家禽科学研究所</w:t>
            </w:r>
            <w:r>
              <w:rPr>
                <w:b w:val="on"/>
                <w:rFonts w:ascii="宋体" w:eastAsia="宋体" w:hAnsi="宋体" w:cs="宋体"/>
                <w:sz w:val="52"/>
                <w:u w:color="auto"/>
              </w:rPr>
              <w:t xml:space="preserve"></w:t>
              <w:br w:type="textWrapping"/>
              <w:t>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承担地方畜禽种质资源保护与利用研究；负责畜禽品质的引进改良工作；开展畜禽新品种、新技术的推广；承担畜禽健康养殖方式推广与服务指导；开展畜禽养殖粪污利用服务指导；开展畜牧业产业经济运行分析和培训指导；完成市农业农村局交办的其他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禽业科技推广应用研究室、猪业科技推广应用研究室、环境控制与资源利用研究室、办公室、财务室、科管室、安全与物业管理办公室。</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1、开展金陵白鸭配套系选育，适时进行配套系继代繁育和选留选配，组建下一个世代各专门化品系选育观测群；</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2、依托金陵白鸭核心场，开展金陵白鸭父母代繁育，做好金陵白鸭商品代的推广饲养。</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3、对照淮猪（山猪）抢救性保护工作方案，提升淮猪（山猪）群体规模，持续推进生物保种相关工作。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4、稳固现有淮猪（山猪）保种备份点，探索开发利用相关工作。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5、开展面上产业服务，认真落实好畜牧信息直联直报和全市信息统计员的业务培训工作。</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南京市畜牧家禽科学研究所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南京市畜牧家禽科学研究所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1,265.35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121.09</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766.11</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378.15</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1,265.35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1,265.35</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1,265.35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1,265.35</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南京市畜牧家禽科学研究所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1,265.35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1,265.35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1,265.35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南京市畜牧家禽科学研究所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1,265.35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1,265.35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1,265.35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南京市畜牧家禽科学研究所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1,265.35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1,241.49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南京市畜牧家禽科学研究所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1,265.35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1,265.35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1,265.35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121.09</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766.11</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378.15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1,265.35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1,265.35</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南京市畜牧家禽科学研究所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1,265.35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1,241.49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1,157.28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84.21</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114.82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742.25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742.25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742.25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664.31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77.94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23.86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82.79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295.36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南京市畜牧家禽科学研究所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1,241.49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1,157.28</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84.21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179.29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179.29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315.89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315.89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82.79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82.79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84.21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南京市畜牧家禽科学研究所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1,265.35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1,241.49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1,157.28</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84.21</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114.82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766.11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742.25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664.31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77.94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23.86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82.79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南京市畜牧家禽科学研究所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1,241.49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1,157.28</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84.21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988.00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179.29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179.29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315.89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315.89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82.79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82.79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84.21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1.98</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南京市畜牧家禽科学研究所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5.92</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3.92</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南京市畜牧家禽科学研究所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南京市畜牧家禽科学研究所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南京市畜牧家禽科学研究所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南京市畜牧家禽科学研究所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南京市畜牧家禽科学研究所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办公设备购置2（2026）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南京市畜牧家禽科学研究所2026年度收入、支出预算总计1,265.35万元，与上年相比收、支预算总计各增加4.34万元，增长0.34%。其中：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（一）收入预算总计1,265.35万元。包括：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1．本年收入合计1,265.35万元。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（1）一般公共预算拨款收入1,265.35万元，与上年相比增加4.34万元，增长0.34%。主要原因是人员变动及岗位调整。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（二）支出预算总计1,265.35万元。包括：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1．本年支出合计1,265.35万元。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（1）社会保障和就业支出（类）支出121.09万元，主要用于缴纳机关事业单位养老保险、职业年金等。与上年相比增加5.84万元，增长5.07%。主要原因是基数调整及人员变动。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（2）农林水支出（类）支出766.11万元，主要用于员工工资发放、日常公用经费使用及部门专项支出。与上年相比减少3.71万元，减少0.48%。主要原因是人员变动及部门小专项金额压减。</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（3）住房保障支出（类）支出378.15万元，主要用于用于缴纳职工公积金，发放提租补贴。与上年相比增加2.21万元，增长0.59%。主要原因是人员变动及公积金缴纳基数调整。</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南京市畜牧家禽科学研究所2026年收入预算合计1,265.35万元，包括本年收入1,265.35万元，上年结转结余0万元。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本年一般公共预算收入1,265.35万元，占100%；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南京市畜牧家禽科学研究所2026年支出预算合计1,265.35万元，其中：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基本支出1,241.49万元，占98.11%；</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项目支出23.86万元，占1.89%；</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南京市畜牧家禽科学研究所2026年度财政拨款收、支总预算1,265.35万元。与上年相比，财政拨款收、支总计各增加4.34万元，增长0.34%。主要原因是人员变动及岗位调整等。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南京市畜牧家禽科学研究所2026年财政拨款预算支出1,265.35万元，占本年支出合计的100%。与上年相比，财政拨款支出增加4.34万元，增长0.34%。主要原因是人员增减变动及岗位调整等。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1.行政事业单位养老支出（款）事业单位离退休（项）支出6.67万元，与上年相比减少0.25万元，减少3.61%。主要原因是人员变动。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2.行政事业单位养老支出（款）机关事业单位基本养老保险缴费支出（项）支出76.28万元，与上年相比增加4.06万元，增长5.62%。主要原因是人员变动及社保缴费基数调整等。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3.行政事业单位养老支出（款）机关事业单位职业年金缴费支出（项）支出38.14万元，与上年相比增加2.03万元，增长5.62%。主要原因是人员变动及年金缴费基数调整等。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（二）农林水支出（类）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农业农村（款）事业运行（项）支出766.11万元，与上年相比减少3.71万元，减少0.48%。主要原因是人员变动及经费压减等。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1.住房改革支出（款）住房公积金（项）支出82.79万元，与上年相比增加8.3万元，增长11.14%。主要原因是人员变动及公积金缴费基数调整等。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2.住房改革支出（款）提租补贴（项）支出295.36万元，与上年相比减少6.09万元，减少2.02%。主要原因是人员变动。</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南京市畜牧家禽科学研究所2026年度财政拨款基本支出预算1,241.49万元，其中：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1,157.28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（二）公用经费84.21万元。主要包括：办公费、水费、电费、邮电费、差旅费、维修（护）费、会议费、公务接待费、工会经费、公务用车运行维护费、其他交通费用、其他商品和服务支出。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南京市畜牧家禽科学研究所2026年一般公共预算财政拨款支出预算1,265.35万元，与上年相比增加4.34万元，增长0.34%。主要原因是人员变动及岗位调整等。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南京市畜牧家禽科学研究所2026年度一般公共预算财政拨款基本支出预算1,241.49万元，其中：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1,157.28万元。主要包括：基本工资、津贴补贴、绩效工资、机关事业单位基本养老保险缴费、职业年金缴费、职工基本医疗保险缴费、其他社会保障缴费、住房公积金、医疗费、其他工资福利支出、退休费、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（二）公用经费84.21万元。主要包括：办公费、水费、电费、邮电费、差旅费、维修（护）费、会议费、公务接待费、工会经费、公务用车运行维护费、其他交通费用、其他商品和服务支出。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度一般公共预算拨款安排的“三公”经费支出预算5.92万元，比上年预算减少0.56万元，变动原因根据要求压减公务用车运行维护费。其中，因公出国（境）费支出0万元，占“三公”经费的0%；公务用车购置及运行维护费支出3.92万元，占“三公”经费的66.22%；公务接待费支出2万元，占“三公”经费的33.78%。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2．公务用车购置及运行维护费预算支出3.92万元。其中：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（2）公务用车运行维护费预算支出3.92万元，比上年预算减少0.56万元，主要原因是根据要求压减公务用车运行维护费。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3．公务接待费预算支出2万元，与上年预算数相同。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南京市畜牧家禽科学研究所2026年度一般公共预算拨款安排的会议费预算支出2万元，与上年预算数相同。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南京市畜牧家禽科学研究所2026年度一般公共预算拨款安排的培训费预算支出0万元，与上年预算数相同。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南京市畜牧家禽科学研究所2026年国有资本经营预算支出0万元。与上年预算数相同。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2026年度政府采购支出预算总额5.5万元，其中：拟采购货物支出5.5万元、拟采购工程支出0万元、拟采购服务支出0万元。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2辆，其中，副部（省）级及以上领导用车0辆、主要负责人用车0辆、机要通信用车0辆、应急保障用车0辆、执法执勤用车0辆、特种专业技术用车0辆、离退休干部用车0辆，其他用车2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1,265.35万元；本单位共4个项目纳入绩效目标管理，涉及财政性资金合计23.86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八、社会保障和就业支出(类)行政事业单位养老支出(款)事业单位离退休(项)</w:t>
      </w:r>
      <w:r>
        <w:rPr>
          <w:b w:val="on"/>
          <w:rFonts w:ascii="仿宋" w:eastAsia="仿宋" w:hAnsi="仿宋" w:cs="仿宋"/>
          <w:u w:color="auto"/>
        </w:rPr>
        <w:t>：</w:t>
      </w:r>
      <w:r>
        <w:rPr>
          <w:rFonts w:hint="eastAsia" w:ascii="仿宋" w:hAnsi="仿宋" w:eastAsia="仿宋" w:cs="仿宋"/>
        </w:rPr>
        <w:t>反映事业单位开支的离退休经费。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十一、农林水支出(类)农业农村(款)事业运行(项)</w:t>
      </w:r>
      <w:r>
        <w:rPr>
          <w:b w:val="on"/>
          <w:rFonts w:ascii="仿宋" w:eastAsia="仿宋" w:hAnsi="仿宋" w:cs="仿宋"/>
          <w:u w:color="auto"/>
        </w:rPr>
        <w:t>：</w:t>
      </w:r>
      <w:r>
        <w:rPr>
          <w:rFonts w:hint="eastAsia" w:ascii="仿宋" w:hAnsi="仿宋" w:eastAsia="仿宋" w:cs="仿宋"/>
        </w:rPr>
        <w:t>反映用于农业事业单位基本支出，事业单位设施、系统运行与资产维护等方面的支出。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南京市畜牧家禽科学研究所</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