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南京市农业综合行政执法总队</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贯彻执行国家、省市有关农业方面的法律法规和规章；以市农业农村局名义在中心城区依法集中行使兽医兽药、种子、化肥、农药、渔业、农机、农产品质量等行政处罚以及与行政处罚相关的行政检查、行政强制等执法职能；组织协调全市跨区域和重大复杂案件的查处；负责全市农业综合行政执法体系建设、市本级农业执法队伍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办公室、执法监督支队、一支队、二支队、三支队、总队党总支。</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南京农业执法工作将聚焦农业农村中心工作，立足执法办案主责主业，始终保持“进”的态势（工作状态奋进、工作能力增进、工作形势跟进、工作实绩推进、工作质量跃进），持续强化执法监管、提升执法规范、优化执法服务、建强执法队伍，以高水平农业执法护航农业农村高质量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聚焦农产品质量安全，护航产业高质量发展。着眼粮食安全“国之大者”，以农产品生产规模主体、示范主体为重点，以部省级监督抽查为抓手，加大抽检力度，强化“检打联动”，有序推进“风险分级+差异化监管+溯源严打”的监管模式。</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（二）聚焦农资打假整治，助推农业生产高效。突出抓好春耕田管、三夏生产、加强农资质量执法抽检，确保群众用上放心种、放心药、放心肥。</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聚焦动物防疫执法，守护养殖产业健康。持续加大对养殖、屠宰、运输、无害化处理等环节的执法检查力度；切实保障南京畜禽产品质量安全和公共卫生安全。推动宠物交易环节规范化，强化动物诊疗环节执法监管，促进宠物经济健康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（四）聚焦长江禁渔攻坚，筑牢生态安全屏障。常态化开展“渔政亮剑”系列专项执法行动，强化跨部门、跨区域联合执法力度，严厉打击涉渔违法犯罪行为。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聚焦农机安全监管，筑牢田间作业防线。突出重点时段、重点区域、重点机具，深入开展农机安全专项执法行动。加大对各区监督指导和执法服务力度，防范各类农机安全责任事故，确保农机安全生产形势持续稳定向好。</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聚焦职业打假规范，营造公平营商环境。积极探索建立健全网上巡查工作机制，搭建专业化处置通道，优化线索甄别、案件分流、核查反馈流程，实现线上线下协同治理，全面提升网络涉农违法行为及重点投诉举报事项的发现、甄别与处置效能。</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（七）聚焦执法队伍建设，提升行政执法效能。发挥“惠农先锋三农卫士”党建品牌引领作用，突出执法骨干培养，着力提升执法人员案件发现能力、案件办理能力、综合协同能力。</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举办2026年南京市农业执法技能竞赛，全面检验执法队伍专业化、规范化建设成效，营造比学赶超浓厚氛围。持续做好12345热线办理工作，及时关注群众诉求，帮助解决实际困难、化解矛盾纠纷，切实提高群众满意度。</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南京市农业综合行政执法总队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南京市农业综合行政执法总队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2,559.78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271.93</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1,551.17</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736.68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2,559.78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2,559.78</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2,559.78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2,559.78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2,559.78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2,559.78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2,559.78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南京市农业综合行政执法总队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2,559.78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2,559.78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2,559.78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2,412.58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南京市农业综合行政执法总队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2,559.78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271.93</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1,551.17</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736.68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2,559.78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2,412.58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2,237.13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175.45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南京市农业综合行政执法总队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2,412.58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2,559.78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2,412.58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2,237.13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175.45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147.20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2,412.58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2,237.13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1,979.63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175.45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32.83</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175.45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175.45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32.83</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南京市农业综合行政执法总队</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南京市农业综合行政执法总队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农业综合执法标准化及装备建设补助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农业综合执法标准化及装备建设补助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农业综合执法标准化及装备建设补助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南京市农业综合行政执法总队2026年度收入、支出预算总计2,559.78万元，与上年相比收、支预算总计各增加100.28万元，增长4.08%。其中：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（一）收入预算总计2,559.78万元。包括：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1．本年收入合计2,559.78万元。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（1）一般公共预算拨款收入2,559.78万元，与上年相比增加100.28万元，增长4.08%。主要原因是2026年新招聘用人员4人，调入在编人员1人，相关费用增加。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（二）支出预算总计2,559.78万元。包括：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1．本年支出合计2,559.78万元。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271.93万元，主要用于在编人员养老、职业年金及医疗、失业等保险金。与上年相比增加20.16万元，增长8.01%。主要原因是在职在编人员养老、职业年金、医疗保险缴费基数调整，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1,551.17万元，主要用于在编及聘用人员工资福利支出、商品和服务支出、对个人和家庭的补助支出、部门预算项目支出。与上年相比增加54.66万元，增长3.65%。主要原因是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736.68万元，主要用于在编人员住房公积金、逐月住房补贴、退休人员提租补贴。与上年相比增加25.46万元，增长3.58%。主要原因是调入在编人员1人，在职在编人员公积金调整，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南京市农业综合行政执法总队2026年收入预算合计2,559.78万元，包括本年收入2,559.78万元，上年结转结余0万元。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本年一般公共预算收入2,559.78万元，占100%；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南京市农业综合行政执法总队2026年支出预算合计2,559.78万元，其中：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基本支出2,412.58万元，占94.25%；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项目支出147.2万元，占5.75%；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南京市农业综合行政执法总队2026年度财政拨款收、支总预算2,559.78万元。与上年相比，财政拨款收、支总计各增加100.28万元，增长4.08%。主要原因是新招聘用人员4人，调入在编人员1人，相关费用增加。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南京市农业综合行政执法总队2026年财政拨款预算支出2,559.78万元，占本年支出合计的100%。与上年相比，财政拨款支出增加100.28万元，增长4.08%。主要原因是新招聘用人员4人，调入在编人员1人，相关费用增加。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1.行政事业单位养老支出（款）行政单位离退休（项）支出50.5万元，与上年相比增加3.34万元，增长7.08%。主要原因是新增在编转退休1人，相关费用增加。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147.62万元，与上年相比增加11.21万元，增长8.22%。主要原因是新进调入在编人员1人，在职在编人员养老保险缴费基数调整，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3.行政事业单位养老支出（款）机关事业单位职业年金缴费支出（项）支出73.81万元，与上年相比增加5.61万元，增长8.23%。主要原因是新进调入在编人员1人，在职在编人员职业年金缴费基数调整，相关费用增加。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1.农业农村（款）事业运行（项）支出1,403.97万元，与上年相比增加88.46万元，增长6.72%。主要原因是新招聘用人员4人，调入在编人员1人，相关费用增加。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2.农业农村（款）执法监管（项）支出147.2万元，与上年相比减少33.8万元，减少18.67%。主要原因是响应财政过紧日子要求压减项目资金。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1.住房改革支出（款）住房公积金（项）支出188.4万元，与上年相比增加14.46万元，增长8.31%。主要原因是新进调入在编人员1人，在职在编人员公积金调整，相关费用增加。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2.住房改革支出（款）提租补贴（项）支出548.28万元，与上年相比增加11万元，增长2.05%。主要原因是新进调入在编人员1人，相关费用增加。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南京市农业综合行政执法总队2026年度财政拨款基本支出预算2,412.58万元，其中：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2,237.13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（二）公用经费175.45万元。主要包括：办公费、印刷费、水费、电费、邮电费、差旅费、维修（护）费、会议费、培训费、公务接待费、工会经费、公务用车运行维护费、其他交通费用、其他商品和服务支出。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南京市农业综合行政执法总队2026年一般公共预算财政拨款支出预算2,559.78万元，与上年相比增加100.28万元，增长4.08%。主要原因是新招聘用人员4人，调入在编人员1人，相关费用增加。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南京市农业综合行政执法总队2026年度一般公共预算财政拨款基本支出预算2,412.58万元，其中：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2,237.13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（二）公用经费175.45万元。主要包括：办公费、印刷费、水费、电费、邮电费、差旅费、维修（护）费、会议费、培训费、公务接待费、工会经费、公务用车运行维护费、其他交通费用、其他商品和服务支出。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一般公共预算拨款安排的“三公”经费支出预算10.32万元，比上年预算减少2.18万元，变动原因响应财政过紧日子要求压减“三公”经费。其中，因公出国（境）费支出0万元，占“三公”经费的0%；公务用车购置及运行维护费支出8.32万元，占“三公”经费的80.62%；公务接待费支出2万元，占“三公”经费的19.38%。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2．公务用车购置及运行维护费预算支出8.32万元。其中：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（2）公务用车运行维护费预算支出8.32万元，比上年预算减少1.18万元，主要原因是响应财政过紧日子要求压减“三公”经费。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3．公务接待费预算支出2万元，比上年预算减少1万元，主要原因是响应财政过紧日子要求压减“三公”经费。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南京市农业综合行政执法总队2026年度一般公共预算拨款安排的会议费预算支出4万元，比上年预算减少1万元，主要原因是响应财政过紧日子要求压减会议经费。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南京市农业综合行政执法总队2026年度一般公共预算拨款安排的培训费预算支出8万元，比上年预算增加3万元，主要原因是本年度加大执法人员培训力度，提升执法水平。</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南京市农业综合行政执法总队2026年国有资本经营预算支出0万元。与上年预算数相同。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2026年本单位一般公共预算机关运行经费预算支出175.45万元，与上年相比减少12.88万元，减少6.84%。主要原因是响应财政过紧日子要求压减“三公”经费。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2026年度政府采购支出预算总额13万元，其中：拟采购货物支出13万元、拟采购工程支出0万元、拟采购服务支出0万元。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3辆，其中，副部（省）级及以上领导用车0辆、主要负责人用车0辆、机要通信用车0辆、应急保障用车0辆、执法执勤用车2辆、特种专业技术用车1辆、离退休干部用车0辆，其他用车0辆；单价100万元（含）以上的设备3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2,559.78万元；本单位共6个项目纳入绩效目标管理，涉及财政性资金合计147.2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十二、农林水支出(类)农业农村(款)执法监管(项)</w:t>
      </w:r>
      <w:r>
        <w:rPr>
          <w:b w:val="on"/>
          <w:rFonts w:ascii="仿宋" w:eastAsia="仿宋" w:hAnsi="仿宋" w:cs="仿宋"/>
          <w:u w:color="auto"/>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南京市农业综合行政执法总队</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