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B8E" w:rsidRDefault="006E6B8E">
      <w:pPr>
        <w:spacing w:line="640" w:lineRule="exact"/>
        <w:jc w:val="center"/>
        <w:rPr>
          <w:rFonts w:ascii="方正小标宋_GBK" w:eastAsia="方正小标宋_GBK" w:hint="eastAsia"/>
          <w:sz w:val="44"/>
          <w:szCs w:val="44"/>
        </w:rPr>
      </w:pPr>
      <w:bookmarkStart w:id="0" w:name="OLE_LINK2"/>
      <w:bookmarkStart w:id="1" w:name="OLE_LINK4"/>
    </w:p>
    <w:p w:rsidR="006E6B8E" w:rsidRDefault="00A76A9D">
      <w:pPr>
        <w:spacing w:line="640" w:lineRule="exact"/>
        <w:jc w:val="center"/>
        <w:rPr>
          <w:rFonts w:ascii="方正小标宋_GBK" w:eastAsia="方正小标宋_GBK"/>
          <w:sz w:val="44"/>
          <w:szCs w:val="44"/>
        </w:rPr>
      </w:pPr>
      <w:r>
        <w:rPr>
          <w:rFonts w:ascii="方正小标宋_GBK" w:eastAsia="方正小标宋_GBK" w:hint="eastAsia"/>
          <w:sz w:val="44"/>
          <w:szCs w:val="44"/>
        </w:rPr>
        <w:t>2025年度南京市农业农村局</w:t>
      </w:r>
    </w:p>
    <w:p w:rsidR="006E6B8E" w:rsidRDefault="00A76A9D">
      <w:pPr>
        <w:spacing w:line="640" w:lineRule="exact"/>
        <w:jc w:val="center"/>
        <w:rPr>
          <w:rFonts w:ascii="方正小标宋_GBK" w:eastAsia="方正小标宋_GBK"/>
          <w:b/>
          <w:bCs/>
          <w:sz w:val="44"/>
          <w:szCs w:val="44"/>
        </w:rPr>
      </w:pPr>
      <w:r>
        <w:rPr>
          <w:rFonts w:ascii="方正小标宋_GBK" w:eastAsia="方正小标宋_GBK" w:hint="eastAsia"/>
          <w:sz w:val="44"/>
          <w:szCs w:val="44"/>
        </w:rPr>
        <w:t>农业机械化绩效评价报告</w:t>
      </w:r>
    </w:p>
    <w:p w:rsidR="006E6B8E" w:rsidRDefault="006E6B8E"/>
    <w:p w:rsidR="006E6B8E" w:rsidRDefault="00A76A9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为进一步深化财政预算管理科学化、精细化，规范专项资金使用管理，切实提高财政资金使用效益，我局聘请了第</w:t>
      </w:r>
      <w:r w:rsidR="00DD6849">
        <w:rPr>
          <w:rFonts w:ascii="仿宋_GB2312" w:eastAsia="仿宋_GB2312" w:hAnsi="仿宋_GB2312" w:cs="仿宋_GB2312" w:hint="eastAsia"/>
          <w:sz w:val="32"/>
          <w:szCs w:val="32"/>
        </w:rPr>
        <w:t>三</w:t>
      </w:r>
      <w:proofErr w:type="gramStart"/>
      <w:r w:rsidR="00DD6849">
        <w:rPr>
          <w:rFonts w:ascii="仿宋_GB2312" w:eastAsia="仿宋_GB2312" w:hAnsi="仿宋_GB2312" w:cs="仿宋_GB2312" w:hint="eastAsia"/>
          <w:sz w:val="32"/>
          <w:szCs w:val="32"/>
        </w:rPr>
        <w:t>方服务</w:t>
      </w:r>
      <w:proofErr w:type="gramEnd"/>
      <w:r w:rsidR="00DD6849">
        <w:rPr>
          <w:rFonts w:ascii="仿宋_GB2312" w:eastAsia="仿宋_GB2312" w:hAnsi="仿宋_GB2312" w:cs="仿宋_GB2312" w:hint="eastAsia"/>
          <w:sz w:val="32"/>
          <w:szCs w:val="32"/>
        </w:rPr>
        <w:t>机构，根据有关要求完成了资料归集、数据核验、现场核查等</w:t>
      </w:r>
      <w:r>
        <w:rPr>
          <w:rFonts w:ascii="仿宋_GB2312" w:eastAsia="仿宋_GB2312" w:hAnsi="仿宋_GB2312" w:cs="仿宋_GB2312" w:hint="eastAsia"/>
          <w:sz w:val="32"/>
          <w:szCs w:val="32"/>
        </w:rPr>
        <w:t>必要的评价程序，对2025年市级农业机械化专项资金项目实施和资金使用情况进行了绩效评价。现将</w:t>
      </w:r>
      <w:proofErr w:type="gramStart"/>
      <w:r>
        <w:rPr>
          <w:rFonts w:ascii="仿宋_GB2312" w:eastAsia="仿宋_GB2312" w:hAnsi="仿宋_GB2312" w:cs="仿宋_GB2312" w:hint="eastAsia"/>
          <w:sz w:val="32"/>
          <w:szCs w:val="32"/>
        </w:rPr>
        <w:t>自评价</w:t>
      </w:r>
      <w:proofErr w:type="gramEnd"/>
      <w:r>
        <w:rPr>
          <w:rFonts w:ascii="仿宋_GB2312" w:eastAsia="仿宋_GB2312" w:hAnsi="仿宋_GB2312" w:cs="仿宋_GB2312" w:hint="eastAsia"/>
          <w:sz w:val="32"/>
          <w:szCs w:val="32"/>
        </w:rPr>
        <w:t>情况及结果报告如下：</w:t>
      </w:r>
    </w:p>
    <w:p w:rsidR="006E6B8E" w:rsidRDefault="00A76A9D">
      <w:pPr>
        <w:pStyle w:val="2"/>
        <w:numPr>
          <w:ilvl w:val="0"/>
          <w:numId w:val="1"/>
        </w:numPr>
        <w:ind w:firstLine="640"/>
        <w:rPr>
          <w:rFonts w:ascii="Times New Roman" w:eastAsia="黑体" w:hAnsi="Times New Roman" w:cs="Times New Roman"/>
          <w:b w:val="0"/>
          <w:bCs w:val="0"/>
          <w:sz w:val="32"/>
        </w:rPr>
      </w:pPr>
      <w:bookmarkStart w:id="2" w:name="_Toc205393167"/>
      <w:r>
        <w:rPr>
          <w:rFonts w:ascii="Times New Roman" w:eastAsia="黑体" w:hAnsi="Times New Roman" w:cs="Times New Roman" w:hint="eastAsia"/>
          <w:b w:val="0"/>
          <w:bCs w:val="0"/>
          <w:sz w:val="32"/>
        </w:rPr>
        <w:t>专项资金概况</w:t>
      </w:r>
    </w:p>
    <w:p w:rsidR="006E6B8E" w:rsidRDefault="00A76A9D">
      <w:pPr>
        <w:pStyle w:val="2"/>
        <w:ind w:firstLine="643"/>
        <w:rPr>
          <w:rFonts w:ascii="楷体" w:eastAsia="楷体" w:hAnsi="楷体" w:cs="楷体"/>
          <w:sz w:val="32"/>
        </w:rPr>
      </w:pPr>
      <w:bookmarkStart w:id="3" w:name="_Toc205393168"/>
      <w:bookmarkStart w:id="4" w:name="_Toc139007053"/>
      <w:bookmarkEnd w:id="2"/>
      <w:r>
        <w:rPr>
          <w:rFonts w:ascii="楷体" w:eastAsia="楷体" w:hAnsi="楷体" w:cs="楷体" w:hint="eastAsia"/>
          <w:sz w:val="32"/>
        </w:rPr>
        <w:t>（一）基本情况</w:t>
      </w:r>
    </w:p>
    <w:p w:rsidR="006E6B8E" w:rsidRDefault="00A76A9D">
      <w:pPr>
        <w:pStyle w:val="2"/>
        <w:keepNext w:val="0"/>
        <w:keepLines w:val="0"/>
        <w:widowControl/>
        <w:ind w:firstLine="643"/>
        <w:jc w:val="left"/>
        <w:rPr>
          <w:rFonts w:ascii="仿宋_GB2312" w:eastAsia="仿宋_GB2312" w:hAnsi="仿宋_GB2312" w:cs="仿宋_GB2312"/>
          <w:sz w:val="32"/>
        </w:rPr>
      </w:pPr>
      <w:r>
        <w:rPr>
          <w:rFonts w:ascii="仿宋_GB2312" w:eastAsia="仿宋_GB2312" w:hAnsi="仿宋_GB2312" w:cs="仿宋_GB2312" w:hint="eastAsia"/>
          <w:sz w:val="32"/>
        </w:rPr>
        <w:t>1.立项背景</w:t>
      </w:r>
      <w:bookmarkEnd w:id="3"/>
      <w:bookmarkEnd w:id="4"/>
      <w:r>
        <w:rPr>
          <w:rFonts w:ascii="仿宋_GB2312" w:eastAsia="仿宋_GB2312" w:hAnsi="仿宋_GB2312" w:cs="仿宋_GB2312" w:hint="eastAsia"/>
          <w:sz w:val="32"/>
        </w:rPr>
        <w:t>及目的</w:t>
      </w:r>
    </w:p>
    <w:p w:rsidR="006E6B8E" w:rsidRDefault="00A76A9D" w:rsidP="00643421">
      <w:pPr>
        <w:pStyle w:val="2"/>
        <w:keepNext w:val="0"/>
        <w:keepLines w:val="0"/>
        <w:widowControl/>
        <w:ind w:firstLine="640"/>
        <w:jc w:val="left"/>
        <w:rPr>
          <w:rFonts w:ascii="仿宋_GB2312" w:eastAsia="仿宋_GB2312" w:hAnsi="仿宋_GB2312" w:cs="仿宋_GB2312"/>
          <w:b w:val="0"/>
          <w:bCs w:val="0"/>
          <w:sz w:val="32"/>
        </w:rPr>
      </w:pPr>
      <w:r>
        <w:rPr>
          <w:rFonts w:ascii="仿宋_GB2312" w:eastAsia="仿宋_GB2312" w:hAnsi="仿宋_GB2312" w:cs="仿宋_GB2312" w:hint="eastAsia"/>
          <w:b w:val="0"/>
          <w:bCs w:val="0"/>
          <w:sz w:val="32"/>
        </w:rPr>
        <w:t>为深入贯彻国家、江苏省关于推进农业机械化与农机装备产业转型升级的系列决策部署，全面夯实都市现代农业发展基础，筑牢区域粮食安全防线，补齐特色农业机械化发展短板，持续推进农业绿色低碳、智能高效发展，同时结合江苏省、南京市“十四五”农机化发展规划定位，紧扣乡村振兴战略工作要求，南京市围绕“全程全面、智能绿色”的农机化发展总体思路，扎实推进农业生产全程全面机械化、智能化绿色化农机装备应用提升两大行动，巩固和提升粮食全程机械化生产能力，全面发展特色农业机械化，重点推广智能绿色高效农机装备与技术。积极培育新型农机服务主体，提升农机社会化服务水平，全力推动全市粮食产业机械化稳</w:t>
      </w:r>
      <w:r>
        <w:rPr>
          <w:rFonts w:ascii="仿宋_GB2312" w:eastAsia="仿宋_GB2312" w:hAnsi="仿宋_GB2312" w:cs="仿宋_GB2312" w:hint="eastAsia"/>
          <w:b w:val="0"/>
          <w:bCs w:val="0"/>
          <w:sz w:val="32"/>
        </w:rPr>
        <w:lastRenderedPageBreak/>
        <w:t>产提质、特色产业机械化补短板增效。依据《省政府关于加快推进农业机械化和农机装备产业转型升级的实施意见》（苏政发〔2019〕46号）、《市政府关于加快推进农业机械化和农机装备产业转型升级的实施意见》（宁政发〔2019〕225号）等文件精神，结合南京市农业机械化发展现状和工作实际，设立市级农业机械化专项资金，通过农机化项目实施，聚力提升全市主要农作物生产全程机械化和特色农业主导产业生产机械化水平，完善农机公共服务配套，健全农机社会化服务体系，稳步扩容提质农机装备保有量、作业效能与服务能力，</w:t>
      </w:r>
      <w:proofErr w:type="gramStart"/>
      <w:r>
        <w:rPr>
          <w:rFonts w:ascii="仿宋_GB2312" w:eastAsia="仿宋_GB2312" w:hAnsi="仿宋_GB2312" w:cs="仿宋_GB2312" w:hint="eastAsia"/>
          <w:b w:val="0"/>
          <w:bCs w:val="0"/>
          <w:sz w:val="32"/>
        </w:rPr>
        <w:t>助力全市</w:t>
      </w:r>
      <w:proofErr w:type="gramEnd"/>
      <w:r>
        <w:rPr>
          <w:rFonts w:ascii="仿宋_GB2312" w:eastAsia="仿宋_GB2312" w:hAnsi="仿宋_GB2312" w:cs="仿宋_GB2312" w:hint="eastAsia"/>
          <w:b w:val="0"/>
          <w:bCs w:val="0"/>
          <w:sz w:val="32"/>
        </w:rPr>
        <w:t>农业机械化高质量发展。</w:t>
      </w:r>
    </w:p>
    <w:p w:rsidR="006E6B8E" w:rsidRDefault="00A76A9D">
      <w:pPr>
        <w:pStyle w:val="2"/>
        <w:ind w:firstLine="643"/>
        <w:rPr>
          <w:rFonts w:ascii="仿宋_GB2312" w:eastAsia="仿宋_GB2312" w:hAnsi="仿宋_GB2312" w:cs="仿宋_GB2312"/>
          <w:sz w:val="32"/>
        </w:rPr>
      </w:pPr>
      <w:r>
        <w:rPr>
          <w:rFonts w:ascii="仿宋_GB2312" w:eastAsia="仿宋_GB2312" w:hAnsi="仿宋_GB2312" w:cs="仿宋_GB2312" w:hint="eastAsia"/>
          <w:sz w:val="32"/>
        </w:rPr>
        <w:t>2.主要内容</w:t>
      </w:r>
    </w:p>
    <w:p w:rsidR="006E6B8E" w:rsidRDefault="00A76A9D">
      <w:pPr>
        <w:pStyle w:val="2"/>
        <w:ind w:firstLine="640"/>
        <w:rPr>
          <w:rFonts w:ascii="Times New Roman" w:eastAsia="仿宋_GB2312" w:hAnsi="Times New Roman" w:cs="Times New Roman"/>
          <w:b w:val="0"/>
          <w:bCs w:val="0"/>
          <w:sz w:val="32"/>
        </w:rPr>
      </w:pPr>
      <w:r>
        <w:rPr>
          <w:rFonts w:ascii="仿宋_GB2312" w:eastAsia="仿宋_GB2312" w:hAnsi="仿宋_GB2312" w:cs="仿宋_GB2312" w:hint="eastAsia"/>
          <w:b w:val="0"/>
          <w:bCs w:val="0"/>
          <w:sz w:val="32"/>
        </w:rPr>
        <w:t>支持推进农业生产全程全面机械化，实施粮油作物生产全程机械化示范基地、特色农业机械化示范基地等项目建设。支持推进绿色智能农机装备应用，实施粮食生产“无人化农场”、清洁热源粮食烘干中心项目建设，支持对老旧粮食烘干中心装备设施实施农机报废更新市级加力政策。支持区域性农业综合服务中心（农事）、农机库房（粮食存放钢板筒仓等）、农机维修点等建设。支持开展农机安全监管和“平安”农机建设、农机作业应急服务体系建设。支持六合区农机驾驶培训机构开展拖拉机和联合收割机驾驶员免费培训，支持六合区开展水芹收获机械改进。支持补齐2021年至2023 年植保无人驾驶航空器省级农机购置与应用补贴资金缺口。</w:t>
      </w:r>
    </w:p>
    <w:p w:rsidR="006E6B8E" w:rsidRDefault="00A76A9D">
      <w:pPr>
        <w:pStyle w:val="2"/>
        <w:ind w:firstLine="643"/>
        <w:rPr>
          <w:rFonts w:ascii="楷体" w:eastAsia="楷体" w:hAnsi="楷体" w:cs="楷体"/>
          <w:sz w:val="32"/>
        </w:rPr>
      </w:pPr>
      <w:r>
        <w:rPr>
          <w:rFonts w:ascii="楷体" w:eastAsia="楷体" w:hAnsi="楷体" w:cs="楷体" w:hint="eastAsia"/>
          <w:sz w:val="32"/>
        </w:rPr>
        <w:t>（二）资金情况</w:t>
      </w:r>
    </w:p>
    <w:p w:rsidR="006E6B8E" w:rsidRDefault="00A76A9D">
      <w:pPr>
        <w:tabs>
          <w:tab w:val="left" w:pos="709"/>
        </w:tabs>
        <w:spacing w:line="560" w:lineRule="exact"/>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2025年市级农业机械化专项共安排预算资金1964万元，</w:t>
      </w:r>
      <w:r>
        <w:rPr>
          <w:rFonts w:ascii="仿宋_GB2312" w:eastAsia="仿宋_GB2312" w:hAnsi="仿宋_GB2312" w:cs="仿宋_GB2312" w:hint="eastAsia"/>
          <w:sz w:val="32"/>
          <w:szCs w:val="32"/>
        </w:rPr>
        <w:lastRenderedPageBreak/>
        <w:t>其中：南京市农业农村局、南京市财政局《关于下达2025年第一批市级农业专项资金计划的通知》（宁农计〔2025〕6号）下达资金1814万元，《关于下达2025年第一批市级单位农业专项资金补助计划的通知》（宁农计〔2025〕9号）下达资金150万元，通过“大专项+任务清单”形式下达到各区及市本级项目单位。该专项资金项目的组织申报、立项、实施、验收等工作主要由市、各区农业主管部门根据职责分工组织实施。具体见下表：</w:t>
      </w:r>
    </w:p>
    <w:p w:rsidR="006E6B8E" w:rsidRDefault="00A76A9D">
      <w:pPr>
        <w:tabs>
          <w:tab w:val="left" w:pos="709"/>
        </w:tabs>
        <w:spacing w:line="560" w:lineRule="exact"/>
        <w:ind w:firstLineChars="221" w:firstLine="710"/>
        <w:rPr>
          <w:rFonts w:ascii="Times New Roman" w:eastAsia="仿宋_GB2312" w:hAnsi="Times New Roman" w:cs="Times New Roman"/>
          <w:b/>
          <w:bCs/>
          <w:sz w:val="32"/>
          <w:szCs w:val="32"/>
        </w:rPr>
      </w:pPr>
      <w:r>
        <w:rPr>
          <w:rFonts w:ascii="Times New Roman" w:eastAsia="仿宋_GB2312" w:hAnsi="Times New Roman" w:cs="Times New Roman" w:hint="eastAsia"/>
          <w:b/>
          <w:bCs/>
          <w:sz w:val="32"/>
          <w:szCs w:val="32"/>
        </w:rPr>
        <w:t>2025</w:t>
      </w:r>
      <w:r>
        <w:rPr>
          <w:rFonts w:ascii="Times New Roman" w:eastAsia="仿宋_GB2312" w:hAnsi="Times New Roman" w:cs="Times New Roman" w:hint="eastAsia"/>
          <w:b/>
          <w:bCs/>
          <w:sz w:val="32"/>
          <w:szCs w:val="32"/>
        </w:rPr>
        <w:t>年市级农业机械化资金分配下达情况表</w:t>
      </w:r>
    </w:p>
    <w:tbl>
      <w:tblPr>
        <w:tblW w:w="8097"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7"/>
        <w:gridCol w:w="945"/>
        <w:gridCol w:w="2640"/>
        <w:gridCol w:w="2805"/>
      </w:tblGrid>
      <w:tr w:rsidR="006E6B8E">
        <w:trPr>
          <w:trHeight w:val="685"/>
        </w:trPr>
        <w:tc>
          <w:tcPr>
            <w:tcW w:w="1707" w:type="dxa"/>
            <w:tcBorders>
              <w:tl2br w:val="nil"/>
              <w:tr2bl w:val="nil"/>
            </w:tcBorders>
            <w:shd w:val="clear" w:color="auto" w:fill="auto"/>
            <w:vAlign w:val="center"/>
          </w:tcPr>
          <w:p w:rsidR="006E6B8E" w:rsidRDefault="00A76A9D">
            <w:pPr>
              <w:widowControl/>
              <w:jc w:val="center"/>
              <w:textAlignment w:val="center"/>
              <w:rPr>
                <w:rFonts w:ascii="黑体" w:eastAsia="黑体" w:hAnsi="黑体" w:cs="黑体"/>
                <w:color w:val="000000"/>
                <w:sz w:val="24"/>
                <w:szCs w:val="24"/>
              </w:rPr>
            </w:pPr>
            <w:r>
              <w:rPr>
                <w:rFonts w:ascii="黑体" w:eastAsia="黑体" w:hAnsi="黑体" w:cs="黑体" w:hint="eastAsia"/>
                <w:color w:val="000000"/>
                <w:sz w:val="24"/>
                <w:szCs w:val="24"/>
              </w:rPr>
              <w:t>下达资金总额</w:t>
            </w:r>
          </w:p>
        </w:tc>
        <w:tc>
          <w:tcPr>
            <w:tcW w:w="945" w:type="dxa"/>
            <w:tcBorders>
              <w:tl2br w:val="nil"/>
              <w:tr2bl w:val="nil"/>
            </w:tcBorders>
            <w:shd w:val="clear" w:color="auto" w:fill="auto"/>
            <w:vAlign w:val="center"/>
          </w:tcPr>
          <w:p w:rsidR="006E6B8E" w:rsidRDefault="00A76A9D">
            <w:pPr>
              <w:widowControl/>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序号</w:t>
            </w:r>
          </w:p>
        </w:tc>
        <w:tc>
          <w:tcPr>
            <w:tcW w:w="2640" w:type="dxa"/>
            <w:tcBorders>
              <w:tl2br w:val="nil"/>
              <w:tr2bl w:val="nil"/>
            </w:tcBorders>
            <w:shd w:val="clear" w:color="auto" w:fill="auto"/>
            <w:vAlign w:val="center"/>
          </w:tcPr>
          <w:p w:rsidR="006E6B8E" w:rsidRDefault="00A76A9D">
            <w:pPr>
              <w:widowControl/>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区属</w:t>
            </w:r>
          </w:p>
        </w:tc>
        <w:tc>
          <w:tcPr>
            <w:tcW w:w="2805" w:type="dxa"/>
            <w:tcBorders>
              <w:tl2br w:val="nil"/>
              <w:tr2bl w:val="nil"/>
            </w:tcBorders>
            <w:shd w:val="clear" w:color="auto" w:fill="auto"/>
            <w:vAlign w:val="center"/>
          </w:tcPr>
          <w:p w:rsidR="006E6B8E" w:rsidRDefault="00A76A9D">
            <w:pPr>
              <w:widowControl/>
              <w:jc w:val="center"/>
              <w:textAlignment w:val="center"/>
              <w:rPr>
                <w:rFonts w:ascii="黑体" w:eastAsia="黑体" w:hAnsi="黑体" w:cs="黑体"/>
                <w:color w:val="000000"/>
                <w:sz w:val="24"/>
                <w:szCs w:val="24"/>
              </w:rPr>
            </w:pPr>
            <w:r>
              <w:rPr>
                <w:rFonts w:ascii="黑体" w:eastAsia="黑体" w:hAnsi="黑体" w:cs="黑体" w:hint="eastAsia"/>
                <w:color w:val="000000"/>
                <w:kern w:val="0"/>
                <w:sz w:val="24"/>
                <w:szCs w:val="24"/>
                <w:lang w:bidi="ar"/>
              </w:rPr>
              <w:t>合计（万元））</w:t>
            </w:r>
          </w:p>
        </w:tc>
      </w:tr>
      <w:tr w:rsidR="006E6B8E">
        <w:trPr>
          <w:trHeight w:val="500"/>
        </w:trPr>
        <w:tc>
          <w:tcPr>
            <w:tcW w:w="1707" w:type="dxa"/>
            <w:vMerge w:val="restart"/>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1964万元</w:t>
            </w:r>
          </w:p>
        </w:tc>
        <w:tc>
          <w:tcPr>
            <w:tcW w:w="945"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w:t>
            </w:r>
          </w:p>
        </w:tc>
        <w:tc>
          <w:tcPr>
            <w:tcW w:w="2640"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江北新区</w:t>
            </w:r>
          </w:p>
        </w:tc>
        <w:tc>
          <w:tcPr>
            <w:tcW w:w="2805"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20</w:t>
            </w:r>
          </w:p>
        </w:tc>
      </w:tr>
      <w:tr w:rsidR="006E6B8E">
        <w:trPr>
          <w:trHeight w:val="580"/>
        </w:trPr>
        <w:tc>
          <w:tcPr>
            <w:tcW w:w="1707" w:type="dxa"/>
            <w:vMerge/>
            <w:tcBorders>
              <w:tl2br w:val="nil"/>
              <w:tr2bl w:val="nil"/>
            </w:tcBorders>
            <w:shd w:val="clear" w:color="auto" w:fill="auto"/>
            <w:vAlign w:val="center"/>
          </w:tcPr>
          <w:p w:rsidR="006E6B8E" w:rsidRDefault="006E6B8E">
            <w:pPr>
              <w:jc w:val="center"/>
              <w:rPr>
                <w:rFonts w:ascii="宋体" w:eastAsia="宋体" w:hAnsi="宋体" w:cs="宋体"/>
                <w:color w:val="000000"/>
                <w:szCs w:val="21"/>
              </w:rPr>
            </w:pPr>
          </w:p>
        </w:tc>
        <w:tc>
          <w:tcPr>
            <w:tcW w:w="945"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w:t>
            </w:r>
          </w:p>
        </w:tc>
        <w:tc>
          <w:tcPr>
            <w:tcW w:w="2640"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江宁区</w:t>
            </w:r>
          </w:p>
        </w:tc>
        <w:tc>
          <w:tcPr>
            <w:tcW w:w="2805"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100</w:t>
            </w:r>
          </w:p>
        </w:tc>
      </w:tr>
      <w:tr w:rsidR="006E6B8E">
        <w:trPr>
          <w:trHeight w:val="660"/>
        </w:trPr>
        <w:tc>
          <w:tcPr>
            <w:tcW w:w="1707" w:type="dxa"/>
            <w:vMerge/>
            <w:tcBorders>
              <w:tl2br w:val="nil"/>
              <w:tr2bl w:val="nil"/>
            </w:tcBorders>
            <w:shd w:val="clear" w:color="auto" w:fill="auto"/>
            <w:vAlign w:val="center"/>
          </w:tcPr>
          <w:p w:rsidR="006E6B8E" w:rsidRDefault="006E6B8E">
            <w:pPr>
              <w:jc w:val="center"/>
              <w:rPr>
                <w:rFonts w:ascii="宋体" w:eastAsia="宋体" w:hAnsi="宋体" w:cs="宋体"/>
                <w:color w:val="000000"/>
                <w:szCs w:val="21"/>
              </w:rPr>
            </w:pPr>
          </w:p>
        </w:tc>
        <w:tc>
          <w:tcPr>
            <w:tcW w:w="945"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w:t>
            </w:r>
          </w:p>
        </w:tc>
        <w:tc>
          <w:tcPr>
            <w:tcW w:w="2640"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浦口区</w:t>
            </w:r>
          </w:p>
        </w:tc>
        <w:tc>
          <w:tcPr>
            <w:tcW w:w="2805"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218</w:t>
            </w:r>
          </w:p>
        </w:tc>
      </w:tr>
      <w:tr w:rsidR="006E6B8E">
        <w:trPr>
          <w:trHeight w:val="500"/>
        </w:trPr>
        <w:tc>
          <w:tcPr>
            <w:tcW w:w="1707" w:type="dxa"/>
            <w:vMerge/>
            <w:tcBorders>
              <w:tl2br w:val="nil"/>
              <w:tr2bl w:val="nil"/>
            </w:tcBorders>
            <w:shd w:val="clear" w:color="auto" w:fill="auto"/>
            <w:vAlign w:val="center"/>
          </w:tcPr>
          <w:p w:rsidR="006E6B8E" w:rsidRDefault="006E6B8E">
            <w:pPr>
              <w:jc w:val="center"/>
              <w:rPr>
                <w:rFonts w:ascii="宋体" w:eastAsia="宋体" w:hAnsi="宋体" w:cs="宋体"/>
                <w:color w:val="000000"/>
                <w:szCs w:val="21"/>
              </w:rPr>
            </w:pPr>
          </w:p>
        </w:tc>
        <w:tc>
          <w:tcPr>
            <w:tcW w:w="945"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4</w:t>
            </w:r>
          </w:p>
        </w:tc>
        <w:tc>
          <w:tcPr>
            <w:tcW w:w="2640"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六合区</w:t>
            </w:r>
          </w:p>
        </w:tc>
        <w:tc>
          <w:tcPr>
            <w:tcW w:w="2805"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585</w:t>
            </w:r>
          </w:p>
        </w:tc>
      </w:tr>
      <w:tr w:rsidR="006E6B8E">
        <w:trPr>
          <w:trHeight w:val="500"/>
        </w:trPr>
        <w:tc>
          <w:tcPr>
            <w:tcW w:w="1707" w:type="dxa"/>
            <w:vMerge/>
            <w:tcBorders>
              <w:tl2br w:val="nil"/>
              <w:tr2bl w:val="nil"/>
            </w:tcBorders>
            <w:shd w:val="clear" w:color="auto" w:fill="auto"/>
            <w:vAlign w:val="center"/>
          </w:tcPr>
          <w:p w:rsidR="006E6B8E" w:rsidRDefault="006E6B8E">
            <w:pPr>
              <w:jc w:val="center"/>
              <w:rPr>
                <w:rFonts w:ascii="宋体" w:eastAsia="宋体" w:hAnsi="宋体" w:cs="宋体"/>
                <w:color w:val="000000"/>
                <w:szCs w:val="21"/>
              </w:rPr>
            </w:pPr>
          </w:p>
        </w:tc>
        <w:tc>
          <w:tcPr>
            <w:tcW w:w="945"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5</w:t>
            </w:r>
          </w:p>
        </w:tc>
        <w:tc>
          <w:tcPr>
            <w:tcW w:w="2640"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溧水区</w:t>
            </w:r>
          </w:p>
        </w:tc>
        <w:tc>
          <w:tcPr>
            <w:tcW w:w="2805"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754</w:t>
            </w:r>
          </w:p>
        </w:tc>
      </w:tr>
      <w:tr w:rsidR="006E6B8E">
        <w:trPr>
          <w:trHeight w:val="500"/>
        </w:trPr>
        <w:tc>
          <w:tcPr>
            <w:tcW w:w="1707" w:type="dxa"/>
            <w:vMerge/>
            <w:tcBorders>
              <w:tl2br w:val="nil"/>
              <w:tr2bl w:val="nil"/>
            </w:tcBorders>
            <w:shd w:val="clear" w:color="auto" w:fill="auto"/>
            <w:vAlign w:val="center"/>
          </w:tcPr>
          <w:p w:rsidR="006E6B8E" w:rsidRDefault="006E6B8E">
            <w:pPr>
              <w:jc w:val="center"/>
              <w:rPr>
                <w:rFonts w:ascii="宋体" w:eastAsia="宋体" w:hAnsi="宋体" w:cs="宋体"/>
                <w:color w:val="000000"/>
                <w:szCs w:val="21"/>
              </w:rPr>
            </w:pPr>
          </w:p>
        </w:tc>
        <w:tc>
          <w:tcPr>
            <w:tcW w:w="945"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6</w:t>
            </w:r>
          </w:p>
        </w:tc>
        <w:tc>
          <w:tcPr>
            <w:tcW w:w="2640"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高淳区</w:t>
            </w:r>
          </w:p>
        </w:tc>
        <w:tc>
          <w:tcPr>
            <w:tcW w:w="2805"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127</w:t>
            </w:r>
          </w:p>
        </w:tc>
      </w:tr>
      <w:tr w:rsidR="006E6B8E">
        <w:trPr>
          <w:trHeight w:val="500"/>
        </w:trPr>
        <w:tc>
          <w:tcPr>
            <w:tcW w:w="1707" w:type="dxa"/>
            <w:vMerge/>
            <w:tcBorders>
              <w:tl2br w:val="nil"/>
              <w:tr2bl w:val="nil"/>
            </w:tcBorders>
            <w:shd w:val="clear" w:color="auto" w:fill="auto"/>
            <w:vAlign w:val="center"/>
          </w:tcPr>
          <w:p w:rsidR="006E6B8E" w:rsidRDefault="006E6B8E">
            <w:pPr>
              <w:jc w:val="center"/>
              <w:rPr>
                <w:rFonts w:ascii="宋体" w:eastAsia="宋体" w:hAnsi="宋体" w:cs="宋体"/>
                <w:color w:val="000000"/>
                <w:szCs w:val="21"/>
              </w:rPr>
            </w:pPr>
          </w:p>
        </w:tc>
        <w:tc>
          <w:tcPr>
            <w:tcW w:w="945"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7</w:t>
            </w:r>
          </w:p>
        </w:tc>
        <w:tc>
          <w:tcPr>
            <w:tcW w:w="2640"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栖霞区</w:t>
            </w:r>
          </w:p>
        </w:tc>
        <w:tc>
          <w:tcPr>
            <w:tcW w:w="2805"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10</w:t>
            </w:r>
          </w:p>
        </w:tc>
      </w:tr>
      <w:tr w:rsidR="006E6B8E">
        <w:trPr>
          <w:trHeight w:val="500"/>
        </w:trPr>
        <w:tc>
          <w:tcPr>
            <w:tcW w:w="1707" w:type="dxa"/>
            <w:vMerge/>
            <w:tcBorders>
              <w:tl2br w:val="nil"/>
              <w:tr2bl w:val="nil"/>
            </w:tcBorders>
            <w:shd w:val="clear" w:color="auto" w:fill="auto"/>
            <w:vAlign w:val="center"/>
          </w:tcPr>
          <w:p w:rsidR="006E6B8E" w:rsidRDefault="006E6B8E">
            <w:pPr>
              <w:jc w:val="center"/>
              <w:rPr>
                <w:rFonts w:ascii="宋体" w:eastAsia="宋体" w:hAnsi="宋体" w:cs="宋体"/>
                <w:color w:val="000000"/>
                <w:szCs w:val="21"/>
              </w:rPr>
            </w:pPr>
          </w:p>
        </w:tc>
        <w:tc>
          <w:tcPr>
            <w:tcW w:w="945"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8</w:t>
            </w:r>
          </w:p>
        </w:tc>
        <w:tc>
          <w:tcPr>
            <w:tcW w:w="2640"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市本级</w:t>
            </w:r>
          </w:p>
        </w:tc>
        <w:tc>
          <w:tcPr>
            <w:tcW w:w="2805" w:type="dxa"/>
            <w:tcBorders>
              <w:tl2br w:val="nil"/>
              <w:tr2bl w:val="nil"/>
            </w:tcBorders>
            <w:shd w:val="clear" w:color="auto" w:fill="auto"/>
            <w:vAlign w:val="center"/>
          </w:tcPr>
          <w:p w:rsidR="006E6B8E" w:rsidRDefault="00A76A9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150</w:t>
            </w:r>
          </w:p>
        </w:tc>
      </w:tr>
    </w:tbl>
    <w:p w:rsidR="006E6B8E" w:rsidRDefault="00A76A9D">
      <w:pPr>
        <w:tabs>
          <w:tab w:val="left" w:pos="709"/>
        </w:tabs>
        <w:spacing w:line="560" w:lineRule="exact"/>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项目资金使用涉及高淳、溧水、江宁、六合、浦口、栖霞等6个区及市本级。根据各区及市级实际立项有关批复文件统计，共立项73个项目（其中溧水区16个项目和六合区12个项目在2024年立项，使用2025年市级补助资金），计划投资额4,401.81万元，市级财政计划补助金额2,381.05万元（其中包含江宁区统筹安排2024年市级补助资金244.91</w:t>
      </w:r>
      <w:r>
        <w:rPr>
          <w:rFonts w:ascii="仿宋_GB2312" w:eastAsia="仿宋_GB2312" w:hAnsi="仿宋_GB2312" w:cs="仿宋_GB2312" w:hint="eastAsia"/>
          <w:sz w:val="32"/>
          <w:szCs w:val="32"/>
        </w:rPr>
        <w:lastRenderedPageBreak/>
        <w:t xml:space="preserve">万元、高淳区统筹安排2023年和2024年市级补助资金分别为53.72万元和130万元、六合区缺口63.59万元计划使用2026年市级补助资金）。截至报告日，已拨付项目财政补助资金1,356.59万元（其中包含2023年市级补助资金53.72万元、2024年市级补助资金238.38万元）。 </w:t>
      </w:r>
    </w:p>
    <w:p w:rsidR="006E6B8E" w:rsidRDefault="00A76A9D">
      <w:pPr>
        <w:tabs>
          <w:tab w:val="left" w:pos="709"/>
        </w:tabs>
        <w:spacing w:line="560" w:lineRule="exact"/>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南京市本级、各区农业主管部门均制定了农业项目管理办法，各区收到的财政补助资金专款专用，支付补助资金审批手续齐全。市级财政补助资金已及时下拨至各区和市本级的项目实施单位，</w:t>
      </w:r>
      <w:bookmarkStart w:id="5" w:name="_Hlk199267935"/>
      <w:r>
        <w:rPr>
          <w:rFonts w:ascii="仿宋_GB2312" w:eastAsia="仿宋_GB2312" w:hAnsi="仿宋_GB2312" w:cs="仿宋_GB2312" w:hint="eastAsia"/>
          <w:sz w:val="32"/>
          <w:szCs w:val="32"/>
        </w:rPr>
        <w:t>除高淳区</w:t>
      </w:r>
      <w:bookmarkEnd w:id="5"/>
      <w:r>
        <w:rPr>
          <w:rFonts w:ascii="仿宋_GB2312" w:eastAsia="仿宋_GB2312" w:hAnsi="仿宋_GB2312" w:cs="仿宋_GB2312" w:hint="eastAsia"/>
          <w:sz w:val="32"/>
          <w:szCs w:val="32"/>
        </w:rPr>
        <w:t>、江宁区预拨了部分补助资金外，其余补助资金待验收合格后再行拨付。</w:t>
      </w:r>
    </w:p>
    <w:p w:rsidR="006E6B8E" w:rsidRDefault="00A76A9D">
      <w:pPr>
        <w:pStyle w:val="2"/>
        <w:ind w:firstLine="643"/>
        <w:rPr>
          <w:rFonts w:ascii="楷体" w:eastAsia="楷体" w:hAnsi="楷体" w:cs="楷体"/>
          <w:sz w:val="32"/>
        </w:rPr>
      </w:pPr>
      <w:r>
        <w:rPr>
          <w:rFonts w:ascii="楷体" w:eastAsia="楷体" w:hAnsi="楷体" w:cs="楷体" w:hint="eastAsia"/>
          <w:sz w:val="32"/>
        </w:rPr>
        <w:t>（三）绩效目标</w:t>
      </w:r>
    </w:p>
    <w:p w:rsidR="006E6B8E" w:rsidRDefault="00A76A9D">
      <w:pPr>
        <w:pStyle w:val="2"/>
        <w:keepNext w:val="0"/>
        <w:keepLines w:val="0"/>
        <w:widowControl/>
        <w:ind w:firstLine="643"/>
        <w:jc w:val="left"/>
        <w:rPr>
          <w:rFonts w:ascii="仿宋_GB2312" w:eastAsia="仿宋_GB2312" w:hAnsi="仿宋_GB2312" w:cs="仿宋_GB2312"/>
          <w:sz w:val="32"/>
        </w:rPr>
      </w:pPr>
      <w:r>
        <w:rPr>
          <w:rFonts w:ascii="仿宋_GB2312" w:eastAsia="仿宋_GB2312" w:hAnsi="仿宋_GB2312" w:cs="仿宋_GB2312" w:hint="eastAsia"/>
          <w:sz w:val="32"/>
        </w:rPr>
        <w:t>1.中长期目标</w:t>
      </w:r>
    </w:p>
    <w:p w:rsidR="006E6B8E" w:rsidRDefault="00A76A9D">
      <w:pPr>
        <w:tabs>
          <w:tab w:val="left" w:pos="709"/>
        </w:tabs>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bookmarkStart w:id="6" w:name="_Hlk230165413"/>
      <w:r>
        <w:rPr>
          <w:rFonts w:ascii="仿宋_GB2312" w:eastAsia="仿宋_GB2312" w:hAnsi="仿宋_GB2312" w:cs="仿宋_GB2312" w:hint="eastAsia"/>
          <w:sz w:val="32"/>
          <w:szCs w:val="32"/>
        </w:rPr>
        <w:t>溧水区完成省级农业生产全程全面机械化推进项目建设</w:t>
      </w:r>
      <w:bookmarkEnd w:id="6"/>
      <w:r>
        <w:rPr>
          <w:rFonts w:ascii="仿宋_GB2312" w:eastAsia="仿宋_GB2312" w:hAnsi="仿宋_GB2312" w:cs="仿宋_GB2312" w:hint="eastAsia"/>
          <w:sz w:val="32"/>
          <w:szCs w:val="32"/>
        </w:rPr>
        <w:t>；</w:t>
      </w:r>
    </w:p>
    <w:p w:rsidR="006E6B8E" w:rsidRDefault="00A76A9D">
      <w:pPr>
        <w:tabs>
          <w:tab w:val="left" w:pos="709"/>
        </w:tabs>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bookmarkStart w:id="7" w:name="_Hlk230165443"/>
      <w:r>
        <w:rPr>
          <w:rFonts w:ascii="仿宋_GB2312" w:eastAsia="仿宋_GB2312" w:hAnsi="仿宋_GB2312" w:cs="仿宋_GB2312" w:hint="eastAsia"/>
          <w:sz w:val="32"/>
          <w:szCs w:val="32"/>
        </w:rPr>
        <w:t>2025年，全市农作物耕种收机械化率达91%以上，特色农业机械化水平达74%以上</w:t>
      </w:r>
      <w:bookmarkEnd w:id="7"/>
      <w:r>
        <w:rPr>
          <w:rFonts w:ascii="仿宋_GB2312" w:eastAsia="仿宋_GB2312" w:hAnsi="仿宋_GB2312" w:cs="仿宋_GB2312" w:hint="eastAsia"/>
          <w:sz w:val="32"/>
          <w:szCs w:val="32"/>
        </w:rPr>
        <w:t>；</w:t>
      </w:r>
    </w:p>
    <w:p w:rsidR="006E6B8E" w:rsidRDefault="00A76A9D">
      <w:pPr>
        <w:tabs>
          <w:tab w:val="left" w:pos="709"/>
        </w:tabs>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（3）围绕农业主导产业链，开展粮食生产全程机械化示范推广基地、特色农业机械化示范推广基地建设等；</w:t>
      </w:r>
    </w:p>
    <w:p w:rsidR="006E6B8E" w:rsidRDefault="00A76A9D">
      <w:pPr>
        <w:tabs>
          <w:tab w:val="left" w:pos="709"/>
        </w:tabs>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（4）5个主要涉及区全建设区域性农机社会化服务应急中心各1个以上；</w:t>
      </w:r>
    </w:p>
    <w:p w:rsidR="006E6B8E" w:rsidRDefault="00A76A9D">
      <w:pPr>
        <w:tabs>
          <w:tab w:val="left" w:pos="709"/>
        </w:tabs>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（5）实施农机报废更新补贴，2024-2027年全市农机报废更新2580台以上；</w:t>
      </w:r>
    </w:p>
    <w:p w:rsidR="006E6B8E" w:rsidRDefault="00A76A9D">
      <w:pPr>
        <w:tabs>
          <w:tab w:val="left" w:pos="709"/>
        </w:tabs>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（6）推进粮食产地烘干中心改造提升，2024-2027年，改建绿色智能产地烘干中心10个。</w:t>
      </w:r>
    </w:p>
    <w:p w:rsidR="006E6B8E" w:rsidRDefault="00A76A9D">
      <w:pPr>
        <w:pStyle w:val="2"/>
        <w:keepNext w:val="0"/>
        <w:keepLines w:val="0"/>
        <w:widowControl/>
        <w:ind w:firstLine="643"/>
        <w:jc w:val="left"/>
        <w:rPr>
          <w:rFonts w:ascii="仿宋_GB2312" w:eastAsia="仿宋_GB2312" w:hAnsi="仿宋_GB2312" w:cs="仿宋_GB2312"/>
          <w:sz w:val="32"/>
        </w:rPr>
      </w:pPr>
      <w:r>
        <w:rPr>
          <w:rFonts w:ascii="仿宋_GB2312" w:eastAsia="仿宋_GB2312" w:hAnsi="仿宋_GB2312" w:cs="仿宋_GB2312" w:hint="eastAsia"/>
          <w:sz w:val="32"/>
        </w:rPr>
        <w:lastRenderedPageBreak/>
        <w:t>2.年度目标</w:t>
      </w:r>
    </w:p>
    <w:p w:rsidR="006E6B8E" w:rsidRDefault="00A76A9D">
      <w:pPr>
        <w:tabs>
          <w:tab w:val="left" w:pos="709"/>
        </w:tabs>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（1）溧水区完成省级农业生产全程全面机械化推进项目建设；</w:t>
      </w:r>
    </w:p>
    <w:p w:rsidR="006E6B8E" w:rsidRDefault="00A76A9D">
      <w:pPr>
        <w:tabs>
          <w:tab w:val="left" w:pos="709"/>
        </w:tabs>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（2）到2025年，全市农作物耕种收机械化率达91%以上，特色农业机械化水平达74%以上；</w:t>
      </w:r>
    </w:p>
    <w:p w:rsidR="006E6B8E" w:rsidRDefault="00A76A9D">
      <w:pPr>
        <w:tabs>
          <w:tab w:val="left" w:pos="709"/>
        </w:tabs>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（3）．建设特色农业机械化示范基地（含无人化农场）15个以上；</w:t>
      </w:r>
    </w:p>
    <w:p w:rsidR="006E6B8E" w:rsidRDefault="00A76A9D">
      <w:pPr>
        <w:tabs>
          <w:tab w:val="left" w:pos="709"/>
        </w:tabs>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（4）实施农机报废更新补贴，2025年全市农机报废更新650台以上；</w:t>
      </w:r>
    </w:p>
    <w:p w:rsidR="006E6B8E" w:rsidRDefault="00A76A9D">
      <w:pPr>
        <w:tabs>
          <w:tab w:val="left" w:pos="709"/>
        </w:tabs>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（5）推进粮食产地烘干中心改造提升，改建绿色智能产地烘干中心3个以上。</w:t>
      </w:r>
      <w:r>
        <w:rPr>
          <w:rFonts w:ascii="仿宋_GB2312" w:eastAsia="仿宋_GB2312" w:hAnsi="仿宋_GB2312" w:cs="仿宋_GB2312" w:hint="eastAsia"/>
          <w:sz w:val="32"/>
          <w:szCs w:val="32"/>
        </w:rPr>
        <w:tab/>
      </w:r>
    </w:p>
    <w:p w:rsidR="006E6B8E" w:rsidRDefault="00A76A9D">
      <w:pPr>
        <w:pStyle w:val="2"/>
        <w:ind w:firstLine="640"/>
        <w:rPr>
          <w:rFonts w:ascii="Times New Roman" w:eastAsia="黑体" w:hAnsi="Times New Roman" w:cs="Times New Roman"/>
          <w:b w:val="0"/>
          <w:bCs w:val="0"/>
          <w:sz w:val="32"/>
        </w:rPr>
      </w:pPr>
      <w:r>
        <w:rPr>
          <w:rFonts w:ascii="Times New Roman" w:eastAsia="黑体" w:hAnsi="Times New Roman" w:cs="Times New Roman" w:hint="eastAsia"/>
          <w:b w:val="0"/>
          <w:bCs w:val="0"/>
          <w:sz w:val="32"/>
        </w:rPr>
        <w:t>二</w:t>
      </w:r>
      <w:r>
        <w:rPr>
          <w:rFonts w:ascii="Times New Roman" w:eastAsia="黑体" w:hAnsi="Times New Roman" w:cs="Times New Roman"/>
          <w:b w:val="0"/>
          <w:bCs w:val="0"/>
          <w:sz w:val="32"/>
        </w:rPr>
        <w:t>、评价</w:t>
      </w:r>
      <w:r>
        <w:rPr>
          <w:rFonts w:ascii="Times New Roman" w:eastAsia="黑体" w:hAnsi="Times New Roman" w:cs="Times New Roman" w:hint="eastAsia"/>
          <w:b w:val="0"/>
          <w:bCs w:val="0"/>
          <w:sz w:val="32"/>
        </w:rPr>
        <w:t>结论</w:t>
      </w:r>
    </w:p>
    <w:p w:rsidR="006E6B8E" w:rsidRDefault="00A76A9D">
      <w:pPr>
        <w:pStyle w:val="2"/>
        <w:ind w:firstLine="643"/>
        <w:rPr>
          <w:rFonts w:ascii="楷体" w:eastAsia="楷体" w:hAnsi="楷体" w:cs="楷体"/>
          <w:sz w:val="32"/>
        </w:rPr>
      </w:pPr>
      <w:r>
        <w:rPr>
          <w:rFonts w:ascii="楷体" w:eastAsia="楷体" w:hAnsi="楷体" w:cs="楷体" w:hint="eastAsia"/>
          <w:sz w:val="32"/>
        </w:rPr>
        <w:t>（一）评价的对象和范围</w:t>
      </w:r>
    </w:p>
    <w:p w:rsidR="006E6B8E" w:rsidRDefault="00A76A9D">
      <w:pPr>
        <w:snapToGrid w:val="0"/>
        <w:spacing w:line="560" w:lineRule="exact"/>
        <w:ind w:firstLineChars="200" w:firstLine="640"/>
        <w:rPr>
          <w:rFonts w:ascii="Times New Roman" w:eastAsia="仿宋_GB2312" w:hAnsi="Times New Roman" w:cs="Times New Roman"/>
          <w:sz w:val="32"/>
          <w:szCs w:val="32"/>
        </w:rPr>
      </w:pPr>
      <w:r>
        <w:rPr>
          <w:rFonts w:ascii="仿宋_GB2312" w:eastAsia="仿宋_GB2312" w:hAnsi="仿宋_GB2312" w:cs="仿宋_GB2312" w:hint="eastAsia"/>
          <w:sz w:val="32"/>
          <w:szCs w:val="32"/>
        </w:rPr>
        <w:t>本次绩效评价的对象为2025年度市级农业机械化专项资金项目建设完成情况、资金使用情况及其效益分析。在评价过程中，主要通过对专项资金的使用情况、项目管理等情况查看和复核，运用比较、成本效益分析等方法，对年初制定的项目支出绩效目标进行评价。评价的范围覆盖市本级、江宁区、浦口区、六合区、溧水区、高淳区、栖霞区。</w:t>
      </w:r>
    </w:p>
    <w:p w:rsidR="006E6B8E" w:rsidRDefault="00A76A9D">
      <w:pPr>
        <w:pStyle w:val="2"/>
        <w:ind w:firstLine="643"/>
        <w:rPr>
          <w:rFonts w:ascii="楷体" w:eastAsia="楷体" w:hAnsi="楷体" w:cs="楷体"/>
          <w:sz w:val="32"/>
        </w:rPr>
      </w:pPr>
      <w:r>
        <w:rPr>
          <w:rFonts w:ascii="楷体" w:eastAsia="楷体" w:hAnsi="楷体" w:cs="楷体" w:hint="eastAsia"/>
          <w:sz w:val="32"/>
        </w:rPr>
        <w:t>（二）评价结论</w:t>
      </w:r>
    </w:p>
    <w:p w:rsidR="006E6B8E" w:rsidRDefault="00A76A9D">
      <w:pPr>
        <w:pStyle w:val="2"/>
        <w:ind w:firstLine="643"/>
        <w:rPr>
          <w:rFonts w:ascii="仿宋_GB2312" w:eastAsia="仿宋_GB2312" w:hAnsi="仿宋_GB2312" w:cs="仿宋_GB2312"/>
          <w:sz w:val="32"/>
        </w:rPr>
      </w:pPr>
      <w:r>
        <w:rPr>
          <w:rFonts w:ascii="仿宋_GB2312" w:eastAsia="仿宋_GB2312" w:hAnsi="仿宋_GB2312" w:cs="仿宋_GB2312" w:hint="eastAsia"/>
          <w:sz w:val="32"/>
        </w:rPr>
        <w:t>1.资金使用及管理情况</w:t>
      </w:r>
    </w:p>
    <w:p w:rsidR="006E6B8E" w:rsidRDefault="00A76A9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南京市级、各区农业主管部门均配套制定了农业项目管理办法，同时各区也制定了农业项目资金管理办法，各区归集的农机类财政补助资金全部实行专款专用，资金</w:t>
      </w:r>
      <w:r>
        <w:rPr>
          <w:rFonts w:ascii="仿宋_GB2312" w:eastAsia="仿宋_GB2312" w:hAnsi="仿宋_GB2312" w:cs="仿宋_GB2312" w:hint="eastAsia"/>
          <w:sz w:val="32"/>
          <w:szCs w:val="32"/>
          <w:lang w:bidi="ar"/>
        </w:rPr>
        <w:t>拨付、补</w:t>
      </w:r>
      <w:r>
        <w:rPr>
          <w:rFonts w:ascii="仿宋_GB2312" w:eastAsia="仿宋_GB2312" w:hAnsi="仿宋_GB2312" w:cs="仿宋_GB2312" w:hint="eastAsia"/>
          <w:sz w:val="32"/>
          <w:szCs w:val="32"/>
          <w:lang w:bidi="ar"/>
        </w:rPr>
        <w:lastRenderedPageBreak/>
        <w:t>助审批、核销归档</w:t>
      </w:r>
      <w:r>
        <w:rPr>
          <w:rFonts w:ascii="仿宋_GB2312" w:eastAsia="仿宋_GB2312" w:hAnsi="仿宋_GB2312" w:cs="仿宋_GB2312" w:hint="eastAsia"/>
          <w:sz w:val="32"/>
          <w:szCs w:val="32"/>
        </w:rPr>
        <w:t>手续齐全、流程合规。市级财政补助资金能及时下拨至各区及市本级实施单位，各区均实行“先建后补”的政策，待建设项目验收合格后再100%拨付财政资金。</w:t>
      </w:r>
    </w:p>
    <w:p w:rsidR="006E6B8E" w:rsidRDefault="00A76A9D">
      <w:pPr>
        <w:widowControl/>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2025年市级农业机械化专项资金项目实行分级立项、属地管理。项目覆盖市本级及溧水、高淳、江宁、浦口、六合、栖霞等6个区，全市已立项73个项目。具体分别为： </w:t>
      </w:r>
    </w:p>
    <w:p w:rsidR="006E6B8E" w:rsidRDefault="00A76A9D">
      <w:pPr>
        <w:widowControl/>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市本级立项项目5个：由南京市农业装备推广中心</w:t>
      </w:r>
      <w:bookmarkStart w:id="8" w:name="_Hlk233387069"/>
      <w:r>
        <w:rPr>
          <w:rFonts w:ascii="仿宋_GB2312" w:eastAsia="仿宋_GB2312" w:hAnsi="仿宋_GB2312" w:cs="仿宋_GB2312" w:hint="eastAsia"/>
          <w:sz w:val="32"/>
          <w:szCs w:val="32"/>
        </w:rPr>
        <w:t>和金陵科技学院</w:t>
      </w:r>
      <w:bookmarkEnd w:id="8"/>
      <w:r>
        <w:rPr>
          <w:rFonts w:ascii="仿宋_GB2312" w:eastAsia="仿宋_GB2312" w:hAnsi="仿宋_GB2312" w:cs="仿宋_GB2312" w:hint="eastAsia"/>
          <w:sz w:val="32"/>
          <w:szCs w:val="32"/>
        </w:rPr>
        <w:t>分别承担的项目（共150万元）； 区级立项项目68个：</w:t>
      </w:r>
      <w:r>
        <w:rPr>
          <w:rFonts w:ascii="仿宋_GB2312" w:eastAsia="仿宋_GB2312" w:hAnsi="仿宋_GB2312" w:cs="仿宋_GB2312" w:hint="eastAsia"/>
          <w:sz w:val="32"/>
          <w:szCs w:val="32"/>
          <w:lang w:bidi="ar"/>
        </w:rPr>
        <w:t>溧水区22个（含2024年结转立项项目16个）、高淳区10个、浦口区5个、江宁区7个、六合区22个（含2024年结转立项项目12个）、栖霞区2个。</w:t>
      </w:r>
    </w:p>
    <w:p w:rsidR="006E6B8E" w:rsidRDefault="00E22A18">
      <w:pPr>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截至</w:t>
      </w:r>
      <w:r w:rsidR="00A76A9D">
        <w:rPr>
          <w:rFonts w:ascii="仿宋_GB2312" w:eastAsia="仿宋_GB2312" w:hAnsi="仿宋_GB2312" w:cs="仿宋_GB2312" w:hint="eastAsia"/>
          <w:sz w:val="32"/>
          <w:szCs w:val="32"/>
        </w:rPr>
        <w:t>报告日，市本级及6个区实际完成且通过验收项目48个，项目总投资额2,906.53万元，计划财政补助资金1,508.14万元，补助资金已从财政拨付至实施主体1,082.43万元（其中包含2023年市级补助资金53.72万元、2024年市级补助资金238.38万元）；已完工但未验收项目15个，项目计划总投资额712.30万元，计划财政补助金额447.77万元，补助资金已从财政拨付至实施主体244.16万元。已经实施在建项目8个（其中市本级1个、溧水区3个、江宁区2个、六合区1个、浦口区1个），项目计划总投资额753.80万元，计划财政补助金额403.05万元，补助资金已从财政拨付至实施主体30万元；终止项目2个，原计划总投资额29.18万元，原计划补助资金22.09万元（溧水区、六合区各1个）。资金具体情况如下表：</w:t>
      </w:r>
    </w:p>
    <w:tbl>
      <w:tblPr>
        <w:tblpPr w:leftFromText="180" w:rightFromText="180" w:vertAnchor="text" w:horzAnchor="page" w:tblpX="1912" w:tblpY="107"/>
        <w:tblOverlap w:val="never"/>
        <w:tblW w:w="8342" w:type="dxa"/>
        <w:tblLayout w:type="fixed"/>
        <w:tblLook w:val="04A0" w:firstRow="1" w:lastRow="0" w:firstColumn="1" w:lastColumn="0" w:noHBand="0" w:noVBand="1"/>
      </w:tblPr>
      <w:tblGrid>
        <w:gridCol w:w="1438"/>
        <w:gridCol w:w="1114"/>
        <w:gridCol w:w="1667"/>
        <w:gridCol w:w="1963"/>
        <w:gridCol w:w="2160"/>
      </w:tblGrid>
      <w:tr w:rsidR="006E6B8E">
        <w:trPr>
          <w:trHeight w:val="280"/>
          <w:tblHeader/>
        </w:trPr>
        <w:tc>
          <w:tcPr>
            <w:tcW w:w="1438" w:type="dxa"/>
            <w:tcBorders>
              <w:top w:val="single" w:sz="4" w:space="0" w:color="auto"/>
              <w:left w:val="single" w:sz="4" w:space="0" w:color="auto"/>
              <w:bottom w:val="single" w:sz="4" w:space="0" w:color="auto"/>
              <w:right w:val="single" w:sz="4" w:space="0" w:color="auto"/>
            </w:tcBorders>
            <w:noWrap/>
            <w:vAlign w:val="center"/>
          </w:tcPr>
          <w:p w:rsidR="006E6B8E" w:rsidRDefault="00A76A9D">
            <w:pPr>
              <w:widowControl/>
              <w:spacing w:line="560" w:lineRule="exact"/>
              <w:jc w:val="center"/>
              <w:rPr>
                <w:rFonts w:ascii="Times New Roman" w:eastAsia="黑体" w:hAnsi="Times New Roman" w:cs="Times New Roman"/>
                <w:color w:val="000000"/>
                <w:kern w:val="0"/>
                <w:szCs w:val="21"/>
              </w:rPr>
            </w:pPr>
            <w:bookmarkStart w:id="9" w:name="OLE_LINK1"/>
            <w:r>
              <w:rPr>
                <w:rFonts w:ascii="Times New Roman" w:eastAsia="黑体" w:hAnsi="Times New Roman" w:cs="Times New Roman"/>
                <w:color w:val="000000"/>
                <w:kern w:val="0"/>
                <w:szCs w:val="21"/>
              </w:rPr>
              <w:lastRenderedPageBreak/>
              <w:t>区属</w:t>
            </w:r>
          </w:p>
        </w:tc>
        <w:tc>
          <w:tcPr>
            <w:tcW w:w="1114" w:type="dxa"/>
            <w:tcBorders>
              <w:top w:val="single" w:sz="4" w:space="0" w:color="auto"/>
              <w:left w:val="nil"/>
              <w:bottom w:val="single" w:sz="4" w:space="0" w:color="auto"/>
              <w:right w:val="single" w:sz="4" w:space="0" w:color="auto"/>
            </w:tcBorders>
            <w:noWrap/>
            <w:vAlign w:val="center"/>
          </w:tcPr>
          <w:p w:rsidR="006E6B8E" w:rsidRDefault="00A76A9D">
            <w:pPr>
              <w:widowControl/>
              <w:spacing w:line="560" w:lineRule="exact"/>
              <w:jc w:val="center"/>
              <w:rPr>
                <w:rFonts w:ascii="Times New Roman" w:eastAsia="黑体" w:hAnsi="Times New Roman" w:cs="Times New Roman"/>
                <w:color w:val="000000"/>
                <w:kern w:val="0"/>
                <w:szCs w:val="21"/>
              </w:rPr>
            </w:pPr>
            <w:r>
              <w:rPr>
                <w:rFonts w:ascii="Times New Roman" w:eastAsia="黑体" w:hAnsi="Times New Roman" w:cs="Times New Roman" w:hint="eastAsia"/>
                <w:color w:val="000000"/>
                <w:kern w:val="0"/>
                <w:szCs w:val="21"/>
              </w:rPr>
              <w:t>立项</w:t>
            </w:r>
            <w:r>
              <w:rPr>
                <w:rFonts w:ascii="Times New Roman" w:eastAsia="黑体" w:hAnsi="Times New Roman" w:cs="Times New Roman"/>
                <w:color w:val="000000"/>
                <w:kern w:val="0"/>
                <w:szCs w:val="21"/>
              </w:rPr>
              <w:t>个数</w:t>
            </w:r>
          </w:p>
        </w:tc>
        <w:tc>
          <w:tcPr>
            <w:tcW w:w="1667" w:type="dxa"/>
            <w:tcBorders>
              <w:top w:val="single" w:sz="4" w:space="0" w:color="auto"/>
              <w:left w:val="nil"/>
              <w:bottom w:val="single" w:sz="4" w:space="0" w:color="auto"/>
              <w:right w:val="single" w:sz="4" w:space="0" w:color="auto"/>
            </w:tcBorders>
            <w:noWrap/>
            <w:vAlign w:val="center"/>
          </w:tcPr>
          <w:p w:rsidR="006E6B8E" w:rsidRDefault="00A76A9D">
            <w:pPr>
              <w:widowControl/>
              <w:jc w:val="center"/>
              <w:rPr>
                <w:rFonts w:ascii="Times New Roman" w:eastAsia="黑体" w:hAnsi="Times New Roman" w:cs="Times New Roman"/>
                <w:color w:val="000000"/>
                <w:kern w:val="0"/>
                <w:szCs w:val="21"/>
              </w:rPr>
            </w:pPr>
            <w:r>
              <w:rPr>
                <w:rFonts w:ascii="Times New Roman" w:eastAsia="黑体" w:hAnsi="Times New Roman" w:cs="Times New Roman"/>
                <w:color w:val="000000"/>
                <w:kern w:val="0"/>
                <w:szCs w:val="21"/>
              </w:rPr>
              <w:t>计划投资总额</w:t>
            </w:r>
          </w:p>
        </w:tc>
        <w:tc>
          <w:tcPr>
            <w:tcW w:w="1963" w:type="dxa"/>
            <w:tcBorders>
              <w:top w:val="single" w:sz="4" w:space="0" w:color="auto"/>
              <w:left w:val="nil"/>
              <w:bottom w:val="single" w:sz="4" w:space="0" w:color="auto"/>
              <w:right w:val="single" w:sz="4" w:space="0" w:color="auto"/>
            </w:tcBorders>
            <w:noWrap/>
            <w:vAlign w:val="center"/>
          </w:tcPr>
          <w:p w:rsidR="006E6B8E" w:rsidRDefault="00A76A9D">
            <w:pPr>
              <w:widowControl/>
              <w:jc w:val="center"/>
              <w:rPr>
                <w:rFonts w:ascii="Times New Roman" w:eastAsia="黑体" w:hAnsi="Times New Roman" w:cs="Times New Roman"/>
                <w:color w:val="000000"/>
                <w:kern w:val="0"/>
                <w:szCs w:val="21"/>
              </w:rPr>
            </w:pPr>
            <w:r>
              <w:rPr>
                <w:rFonts w:ascii="Times New Roman" w:eastAsia="黑体" w:hAnsi="Times New Roman" w:cs="Times New Roman"/>
                <w:color w:val="000000"/>
                <w:kern w:val="0"/>
                <w:szCs w:val="21"/>
              </w:rPr>
              <w:t>计划</w:t>
            </w:r>
            <w:r>
              <w:rPr>
                <w:rFonts w:ascii="Times New Roman" w:eastAsia="黑体" w:hAnsi="Times New Roman" w:cs="Times New Roman" w:hint="eastAsia"/>
                <w:color w:val="000000"/>
                <w:kern w:val="0"/>
                <w:szCs w:val="21"/>
              </w:rPr>
              <w:t>2025</w:t>
            </w:r>
            <w:r>
              <w:rPr>
                <w:rFonts w:ascii="Times New Roman" w:eastAsia="黑体" w:hAnsi="Times New Roman" w:cs="Times New Roman" w:hint="eastAsia"/>
                <w:color w:val="000000"/>
                <w:kern w:val="0"/>
                <w:szCs w:val="21"/>
              </w:rPr>
              <w:t>年市级</w:t>
            </w:r>
            <w:r>
              <w:rPr>
                <w:rFonts w:ascii="Times New Roman" w:eastAsia="黑体" w:hAnsi="Times New Roman" w:cs="Times New Roman"/>
                <w:color w:val="000000"/>
                <w:kern w:val="0"/>
                <w:szCs w:val="21"/>
              </w:rPr>
              <w:t>财政补助金额</w:t>
            </w:r>
            <w:r>
              <w:rPr>
                <w:rFonts w:ascii="Times New Roman" w:eastAsia="黑体" w:hAnsi="Times New Roman" w:cs="Times New Roman"/>
                <w:color w:val="000000"/>
                <w:kern w:val="0"/>
                <w:szCs w:val="21"/>
              </w:rPr>
              <w:t xml:space="preserve"> </w:t>
            </w:r>
          </w:p>
        </w:tc>
        <w:tc>
          <w:tcPr>
            <w:tcW w:w="2160" w:type="dxa"/>
            <w:tcBorders>
              <w:top w:val="single" w:sz="4" w:space="0" w:color="auto"/>
              <w:left w:val="nil"/>
              <w:bottom w:val="single" w:sz="4" w:space="0" w:color="auto"/>
              <w:right w:val="single" w:sz="4" w:space="0" w:color="auto"/>
            </w:tcBorders>
            <w:noWrap/>
            <w:vAlign w:val="center"/>
          </w:tcPr>
          <w:p w:rsidR="006E6B8E" w:rsidRDefault="00A76A9D">
            <w:pPr>
              <w:widowControl/>
              <w:jc w:val="center"/>
              <w:rPr>
                <w:rFonts w:ascii="Times New Roman" w:eastAsia="黑体" w:hAnsi="Times New Roman" w:cs="Times New Roman"/>
                <w:color w:val="000000"/>
                <w:kern w:val="0"/>
                <w:szCs w:val="21"/>
              </w:rPr>
            </w:pPr>
            <w:r>
              <w:rPr>
                <w:rFonts w:ascii="Times New Roman" w:eastAsia="黑体" w:hAnsi="Times New Roman" w:cs="Times New Roman"/>
                <w:color w:val="000000"/>
                <w:kern w:val="0"/>
                <w:szCs w:val="21"/>
              </w:rPr>
              <w:t>已拨付</w:t>
            </w:r>
            <w:r>
              <w:rPr>
                <w:rFonts w:ascii="Times New Roman" w:eastAsia="黑体" w:hAnsi="Times New Roman" w:cs="Times New Roman" w:hint="eastAsia"/>
                <w:color w:val="000000"/>
                <w:kern w:val="0"/>
                <w:szCs w:val="21"/>
              </w:rPr>
              <w:t>2025</w:t>
            </w:r>
            <w:r>
              <w:rPr>
                <w:rFonts w:ascii="Times New Roman" w:eastAsia="黑体" w:hAnsi="Times New Roman" w:cs="Times New Roman" w:hint="eastAsia"/>
                <w:color w:val="000000"/>
                <w:kern w:val="0"/>
                <w:szCs w:val="21"/>
              </w:rPr>
              <w:t>年市级</w:t>
            </w:r>
            <w:r>
              <w:rPr>
                <w:rFonts w:ascii="Times New Roman" w:eastAsia="黑体" w:hAnsi="Times New Roman" w:cs="Times New Roman"/>
                <w:color w:val="000000"/>
                <w:kern w:val="0"/>
                <w:szCs w:val="21"/>
              </w:rPr>
              <w:t>财政</w:t>
            </w:r>
            <w:r>
              <w:rPr>
                <w:rFonts w:ascii="Times New Roman" w:eastAsia="黑体" w:hAnsi="Times New Roman" w:cs="Times New Roman" w:hint="eastAsia"/>
                <w:color w:val="000000"/>
                <w:kern w:val="0"/>
                <w:szCs w:val="21"/>
              </w:rPr>
              <w:t>补助</w:t>
            </w:r>
            <w:r>
              <w:rPr>
                <w:rFonts w:ascii="Times New Roman" w:eastAsia="黑体" w:hAnsi="Times New Roman" w:cs="Times New Roman"/>
                <w:color w:val="000000"/>
                <w:kern w:val="0"/>
                <w:szCs w:val="21"/>
              </w:rPr>
              <w:t>金额</w:t>
            </w:r>
          </w:p>
        </w:tc>
      </w:tr>
      <w:tr w:rsidR="006E6B8E">
        <w:trPr>
          <w:trHeight w:val="280"/>
        </w:trPr>
        <w:tc>
          <w:tcPr>
            <w:tcW w:w="1438" w:type="dxa"/>
            <w:tcBorders>
              <w:top w:val="nil"/>
              <w:left w:val="single" w:sz="4" w:space="0" w:color="auto"/>
              <w:bottom w:val="single" w:sz="4" w:space="0" w:color="auto"/>
              <w:right w:val="single" w:sz="4" w:space="0" w:color="auto"/>
            </w:tcBorders>
            <w:noWrap/>
            <w:vAlign w:val="center"/>
          </w:tcPr>
          <w:p w:rsidR="006E6B8E" w:rsidRDefault="00A76A9D">
            <w:pPr>
              <w:spacing w:line="5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市本级</w:t>
            </w:r>
          </w:p>
        </w:tc>
        <w:tc>
          <w:tcPr>
            <w:tcW w:w="1114" w:type="dxa"/>
            <w:tcBorders>
              <w:top w:val="nil"/>
              <w:left w:val="nil"/>
              <w:bottom w:val="single" w:sz="4" w:space="0" w:color="auto"/>
              <w:right w:val="single" w:sz="4" w:space="0" w:color="auto"/>
            </w:tcBorders>
            <w:noWrap/>
          </w:tcPr>
          <w:p w:rsidR="006E6B8E" w:rsidRDefault="00A76A9D">
            <w:pPr>
              <w:spacing w:line="560" w:lineRule="exact"/>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5</w:t>
            </w:r>
          </w:p>
        </w:tc>
        <w:tc>
          <w:tcPr>
            <w:tcW w:w="1667"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 xml:space="preserve"> 150.00 </w:t>
            </w:r>
          </w:p>
        </w:tc>
        <w:tc>
          <w:tcPr>
            <w:tcW w:w="1963"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 xml:space="preserve"> 150.00 </w:t>
            </w:r>
          </w:p>
        </w:tc>
        <w:tc>
          <w:tcPr>
            <w:tcW w:w="2160"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139.24</w:t>
            </w:r>
            <w:r>
              <w:rPr>
                <w:rFonts w:ascii="Times New Roman" w:eastAsia="宋体" w:hAnsi="Times New Roman" w:cs="Times New Roman"/>
                <w:color w:val="000000"/>
                <w:szCs w:val="21"/>
              </w:rPr>
              <w:t xml:space="preserve"> </w:t>
            </w:r>
          </w:p>
        </w:tc>
      </w:tr>
      <w:tr w:rsidR="006E6B8E">
        <w:trPr>
          <w:trHeight w:val="280"/>
        </w:trPr>
        <w:tc>
          <w:tcPr>
            <w:tcW w:w="1438" w:type="dxa"/>
            <w:tcBorders>
              <w:top w:val="nil"/>
              <w:left w:val="single" w:sz="4" w:space="0" w:color="auto"/>
              <w:bottom w:val="single" w:sz="4" w:space="0" w:color="auto"/>
              <w:right w:val="single" w:sz="4" w:space="0" w:color="auto"/>
            </w:tcBorders>
            <w:noWrap/>
            <w:vAlign w:val="center"/>
          </w:tcPr>
          <w:p w:rsidR="006E6B8E" w:rsidRDefault="00A76A9D">
            <w:pPr>
              <w:spacing w:line="5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溧水区</w:t>
            </w:r>
          </w:p>
        </w:tc>
        <w:tc>
          <w:tcPr>
            <w:tcW w:w="1114" w:type="dxa"/>
            <w:tcBorders>
              <w:top w:val="nil"/>
              <w:left w:val="nil"/>
              <w:bottom w:val="single" w:sz="4" w:space="0" w:color="auto"/>
              <w:right w:val="single" w:sz="4" w:space="0" w:color="auto"/>
            </w:tcBorders>
            <w:noWrap/>
          </w:tcPr>
          <w:p w:rsidR="006E6B8E" w:rsidRDefault="00A76A9D">
            <w:pPr>
              <w:spacing w:line="560" w:lineRule="exact"/>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22</w:t>
            </w:r>
          </w:p>
        </w:tc>
        <w:tc>
          <w:tcPr>
            <w:tcW w:w="1667"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 xml:space="preserve"> 1,390.43 </w:t>
            </w:r>
          </w:p>
        </w:tc>
        <w:tc>
          <w:tcPr>
            <w:tcW w:w="1963"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 xml:space="preserve"> 719.76 </w:t>
            </w:r>
          </w:p>
        </w:tc>
        <w:tc>
          <w:tcPr>
            <w:tcW w:w="2160"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520.76</w:t>
            </w:r>
            <w:r>
              <w:rPr>
                <w:rFonts w:ascii="Times New Roman" w:eastAsia="宋体" w:hAnsi="Times New Roman" w:cs="Times New Roman"/>
                <w:color w:val="000000"/>
                <w:szCs w:val="21"/>
              </w:rPr>
              <w:t xml:space="preserve"> </w:t>
            </w:r>
          </w:p>
        </w:tc>
      </w:tr>
      <w:tr w:rsidR="006E6B8E">
        <w:trPr>
          <w:trHeight w:val="280"/>
        </w:trPr>
        <w:tc>
          <w:tcPr>
            <w:tcW w:w="1438" w:type="dxa"/>
            <w:tcBorders>
              <w:top w:val="nil"/>
              <w:left w:val="single" w:sz="4" w:space="0" w:color="auto"/>
              <w:bottom w:val="single" w:sz="4" w:space="0" w:color="auto"/>
              <w:right w:val="single" w:sz="4" w:space="0" w:color="auto"/>
            </w:tcBorders>
            <w:noWrap/>
            <w:vAlign w:val="center"/>
          </w:tcPr>
          <w:p w:rsidR="006E6B8E" w:rsidRDefault="00A76A9D">
            <w:pPr>
              <w:spacing w:line="560" w:lineRule="exact"/>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高淳区</w:t>
            </w:r>
          </w:p>
        </w:tc>
        <w:tc>
          <w:tcPr>
            <w:tcW w:w="1114" w:type="dxa"/>
            <w:tcBorders>
              <w:top w:val="nil"/>
              <w:left w:val="nil"/>
              <w:bottom w:val="single" w:sz="4" w:space="0" w:color="auto"/>
              <w:right w:val="single" w:sz="4" w:space="0" w:color="auto"/>
            </w:tcBorders>
            <w:noWrap/>
          </w:tcPr>
          <w:p w:rsidR="006E6B8E" w:rsidRDefault="00A76A9D">
            <w:pPr>
              <w:spacing w:line="560" w:lineRule="exact"/>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10</w:t>
            </w:r>
          </w:p>
        </w:tc>
        <w:tc>
          <w:tcPr>
            <w:tcW w:w="1667"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 xml:space="preserve"> 497.30 </w:t>
            </w:r>
          </w:p>
        </w:tc>
        <w:tc>
          <w:tcPr>
            <w:tcW w:w="1963"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 xml:space="preserve">109.05 </w:t>
            </w:r>
          </w:p>
        </w:tc>
        <w:tc>
          <w:tcPr>
            <w:tcW w:w="2160" w:type="dxa"/>
            <w:tcBorders>
              <w:top w:val="nil"/>
              <w:left w:val="nil"/>
              <w:bottom w:val="single" w:sz="4" w:space="0" w:color="auto"/>
              <w:right w:val="single" w:sz="4" w:space="0" w:color="auto"/>
            </w:tcBorders>
            <w:noWrap/>
          </w:tcPr>
          <w:p w:rsidR="006E6B8E" w:rsidRDefault="006E6B8E">
            <w:pPr>
              <w:spacing w:line="560" w:lineRule="exact"/>
              <w:jc w:val="right"/>
              <w:rPr>
                <w:rFonts w:ascii="Times New Roman" w:eastAsia="宋体" w:hAnsi="Times New Roman" w:cs="Times New Roman"/>
                <w:color w:val="000000"/>
                <w:szCs w:val="21"/>
              </w:rPr>
            </w:pPr>
          </w:p>
        </w:tc>
      </w:tr>
      <w:tr w:rsidR="006E6B8E">
        <w:trPr>
          <w:trHeight w:val="280"/>
        </w:trPr>
        <w:tc>
          <w:tcPr>
            <w:tcW w:w="1438" w:type="dxa"/>
            <w:tcBorders>
              <w:top w:val="nil"/>
              <w:left w:val="single" w:sz="4" w:space="0" w:color="auto"/>
              <w:bottom w:val="single" w:sz="4" w:space="0" w:color="auto"/>
              <w:right w:val="single" w:sz="4" w:space="0" w:color="auto"/>
            </w:tcBorders>
            <w:noWrap/>
            <w:vAlign w:val="center"/>
          </w:tcPr>
          <w:p w:rsidR="006E6B8E" w:rsidRDefault="00A76A9D">
            <w:pPr>
              <w:spacing w:line="5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浦口区</w:t>
            </w:r>
          </w:p>
        </w:tc>
        <w:tc>
          <w:tcPr>
            <w:tcW w:w="1114" w:type="dxa"/>
            <w:tcBorders>
              <w:top w:val="nil"/>
              <w:left w:val="nil"/>
              <w:bottom w:val="single" w:sz="4" w:space="0" w:color="auto"/>
              <w:right w:val="single" w:sz="4" w:space="0" w:color="auto"/>
            </w:tcBorders>
            <w:noWrap/>
          </w:tcPr>
          <w:p w:rsidR="006E6B8E" w:rsidRDefault="00A76A9D">
            <w:pPr>
              <w:spacing w:line="560" w:lineRule="exact"/>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5</w:t>
            </w:r>
          </w:p>
        </w:tc>
        <w:tc>
          <w:tcPr>
            <w:tcW w:w="1667"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 xml:space="preserve"> 532.12 </w:t>
            </w:r>
          </w:p>
        </w:tc>
        <w:tc>
          <w:tcPr>
            <w:tcW w:w="1963"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 xml:space="preserve"> 217.88 </w:t>
            </w:r>
          </w:p>
        </w:tc>
        <w:tc>
          <w:tcPr>
            <w:tcW w:w="2160"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color w:val="000000"/>
                <w:szCs w:val="21"/>
              </w:rPr>
            </w:pPr>
            <w:r>
              <w:rPr>
                <w:rFonts w:ascii="Times New Roman" w:eastAsia="宋体" w:hAnsi="Times New Roman" w:cs="Times New Roman"/>
                <w:color w:val="000000"/>
                <w:szCs w:val="21"/>
              </w:rPr>
              <w:t xml:space="preserve"> </w:t>
            </w:r>
            <w:r>
              <w:rPr>
                <w:rFonts w:ascii="Times New Roman" w:eastAsia="宋体" w:hAnsi="Times New Roman" w:cs="Times New Roman" w:hint="eastAsia"/>
                <w:color w:val="000000"/>
                <w:szCs w:val="21"/>
              </w:rPr>
              <w:t>147.88</w:t>
            </w:r>
            <w:r>
              <w:rPr>
                <w:rFonts w:ascii="Times New Roman" w:eastAsia="宋体" w:hAnsi="Times New Roman" w:cs="Times New Roman"/>
                <w:color w:val="000000"/>
                <w:szCs w:val="21"/>
              </w:rPr>
              <w:t xml:space="preserve"> </w:t>
            </w:r>
          </w:p>
        </w:tc>
      </w:tr>
      <w:tr w:rsidR="006E6B8E">
        <w:trPr>
          <w:trHeight w:val="280"/>
        </w:trPr>
        <w:tc>
          <w:tcPr>
            <w:tcW w:w="1438" w:type="dxa"/>
            <w:tcBorders>
              <w:top w:val="nil"/>
              <w:left w:val="single" w:sz="4" w:space="0" w:color="auto"/>
              <w:bottom w:val="single" w:sz="4" w:space="0" w:color="auto"/>
              <w:right w:val="single" w:sz="4" w:space="0" w:color="auto"/>
            </w:tcBorders>
            <w:noWrap/>
            <w:vAlign w:val="center"/>
          </w:tcPr>
          <w:p w:rsidR="006E6B8E" w:rsidRDefault="00A76A9D">
            <w:pPr>
              <w:spacing w:line="5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江宁区</w:t>
            </w:r>
          </w:p>
        </w:tc>
        <w:tc>
          <w:tcPr>
            <w:tcW w:w="1114" w:type="dxa"/>
            <w:tcBorders>
              <w:top w:val="nil"/>
              <w:left w:val="nil"/>
              <w:bottom w:val="single" w:sz="4" w:space="0" w:color="auto"/>
              <w:right w:val="single" w:sz="4" w:space="0" w:color="auto"/>
            </w:tcBorders>
            <w:noWrap/>
          </w:tcPr>
          <w:p w:rsidR="006E6B8E" w:rsidRDefault="00A76A9D">
            <w:pPr>
              <w:spacing w:line="560" w:lineRule="exact"/>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7</w:t>
            </w:r>
          </w:p>
        </w:tc>
        <w:tc>
          <w:tcPr>
            <w:tcW w:w="1667"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 xml:space="preserve"> 672.75 </w:t>
            </w:r>
          </w:p>
        </w:tc>
        <w:tc>
          <w:tcPr>
            <w:tcW w:w="1963"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 xml:space="preserve">97.14 </w:t>
            </w:r>
          </w:p>
        </w:tc>
        <w:tc>
          <w:tcPr>
            <w:tcW w:w="2160"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color w:val="000000"/>
                <w:szCs w:val="21"/>
              </w:rPr>
            </w:pPr>
            <w:r>
              <w:rPr>
                <w:rFonts w:ascii="Times New Roman" w:eastAsia="宋体" w:hAnsi="Times New Roman" w:cs="Times New Roman"/>
                <w:color w:val="000000"/>
                <w:szCs w:val="21"/>
              </w:rPr>
              <w:t xml:space="preserve"> </w:t>
            </w:r>
          </w:p>
        </w:tc>
      </w:tr>
      <w:tr w:rsidR="006E6B8E">
        <w:trPr>
          <w:trHeight w:val="280"/>
        </w:trPr>
        <w:tc>
          <w:tcPr>
            <w:tcW w:w="1438" w:type="dxa"/>
            <w:tcBorders>
              <w:top w:val="nil"/>
              <w:left w:val="single" w:sz="4" w:space="0" w:color="auto"/>
              <w:bottom w:val="single" w:sz="4" w:space="0" w:color="auto"/>
              <w:right w:val="single" w:sz="4" w:space="0" w:color="auto"/>
            </w:tcBorders>
            <w:noWrap/>
            <w:vAlign w:val="center"/>
          </w:tcPr>
          <w:p w:rsidR="006E6B8E" w:rsidRDefault="00A76A9D">
            <w:pPr>
              <w:spacing w:line="560" w:lineRule="exact"/>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六合区</w:t>
            </w:r>
          </w:p>
        </w:tc>
        <w:tc>
          <w:tcPr>
            <w:tcW w:w="1114" w:type="dxa"/>
            <w:tcBorders>
              <w:top w:val="nil"/>
              <w:left w:val="nil"/>
              <w:bottom w:val="single" w:sz="4" w:space="0" w:color="auto"/>
              <w:right w:val="single" w:sz="4" w:space="0" w:color="auto"/>
            </w:tcBorders>
            <w:noWrap/>
          </w:tcPr>
          <w:p w:rsidR="006E6B8E" w:rsidRDefault="00A76A9D">
            <w:pPr>
              <w:spacing w:line="560" w:lineRule="exact"/>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22</w:t>
            </w:r>
          </w:p>
        </w:tc>
        <w:tc>
          <w:tcPr>
            <w:tcW w:w="1667"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 xml:space="preserve"> 1,148.68 </w:t>
            </w:r>
          </w:p>
        </w:tc>
        <w:tc>
          <w:tcPr>
            <w:tcW w:w="1963"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 xml:space="preserve"> 585.00 </w:t>
            </w:r>
          </w:p>
        </w:tc>
        <w:tc>
          <w:tcPr>
            <w:tcW w:w="2160"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246.61</w:t>
            </w:r>
          </w:p>
        </w:tc>
      </w:tr>
      <w:tr w:rsidR="006E6B8E">
        <w:trPr>
          <w:trHeight w:val="280"/>
        </w:trPr>
        <w:tc>
          <w:tcPr>
            <w:tcW w:w="1438" w:type="dxa"/>
            <w:tcBorders>
              <w:top w:val="nil"/>
              <w:left w:val="single" w:sz="4" w:space="0" w:color="auto"/>
              <w:bottom w:val="single" w:sz="4" w:space="0" w:color="auto"/>
              <w:right w:val="single" w:sz="4" w:space="0" w:color="auto"/>
            </w:tcBorders>
            <w:noWrap/>
            <w:vAlign w:val="center"/>
          </w:tcPr>
          <w:p w:rsidR="006E6B8E" w:rsidRDefault="00A76A9D">
            <w:pPr>
              <w:spacing w:line="560" w:lineRule="exact"/>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栖霞区</w:t>
            </w:r>
          </w:p>
        </w:tc>
        <w:tc>
          <w:tcPr>
            <w:tcW w:w="1114" w:type="dxa"/>
            <w:tcBorders>
              <w:top w:val="nil"/>
              <w:left w:val="nil"/>
              <w:bottom w:val="single" w:sz="4" w:space="0" w:color="auto"/>
              <w:right w:val="single" w:sz="4" w:space="0" w:color="auto"/>
            </w:tcBorders>
            <w:noWrap/>
          </w:tcPr>
          <w:p w:rsidR="006E6B8E" w:rsidRDefault="00A76A9D">
            <w:pPr>
              <w:spacing w:line="560" w:lineRule="exact"/>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2</w:t>
            </w:r>
          </w:p>
        </w:tc>
        <w:tc>
          <w:tcPr>
            <w:tcW w:w="1667"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 xml:space="preserve"> 10.53 </w:t>
            </w:r>
          </w:p>
        </w:tc>
        <w:tc>
          <w:tcPr>
            <w:tcW w:w="1963"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 xml:space="preserve"> 10.00 </w:t>
            </w:r>
          </w:p>
        </w:tc>
        <w:tc>
          <w:tcPr>
            <w:tcW w:w="2160"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10.00</w:t>
            </w:r>
          </w:p>
        </w:tc>
      </w:tr>
      <w:tr w:rsidR="006E6B8E">
        <w:trPr>
          <w:trHeight w:val="280"/>
        </w:trPr>
        <w:tc>
          <w:tcPr>
            <w:tcW w:w="1438" w:type="dxa"/>
            <w:tcBorders>
              <w:top w:val="nil"/>
              <w:left w:val="single" w:sz="4" w:space="0" w:color="auto"/>
              <w:bottom w:val="single" w:sz="4" w:space="0" w:color="auto"/>
              <w:right w:val="single" w:sz="4" w:space="0" w:color="auto"/>
            </w:tcBorders>
            <w:noWrap/>
            <w:vAlign w:val="center"/>
          </w:tcPr>
          <w:p w:rsidR="006E6B8E" w:rsidRDefault="00A76A9D">
            <w:pPr>
              <w:widowControl/>
              <w:spacing w:line="560" w:lineRule="exact"/>
              <w:jc w:val="center"/>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合计</w:t>
            </w:r>
          </w:p>
        </w:tc>
        <w:tc>
          <w:tcPr>
            <w:tcW w:w="1114" w:type="dxa"/>
            <w:tcBorders>
              <w:top w:val="nil"/>
              <w:left w:val="nil"/>
              <w:bottom w:val="single" w:sz="4" w:space="0" w:color="auto"/>
              <w:right w:val="single" w:sz="4" w:space="0" w:color="auto"/>
            </w:tcBorders>
            <w:noWrap/>
          </w:tcPr>
          <w:p w:rsidR="006E6B8E" w:rsidRDefault="00A76A9D">
            <w:pPr>
              <w:spacing w:line="560" w:lineRule="exact"/>
              <w:jc w:val="center"/>
              <w:rPr>
                <w:rFonts w:ascii="Times New Roman" w:eastAsia="宋体" w:hAnsi="Times New Roman" w:cs="Times New Roman"/>
                <w:b/>
                <w:color w:val="000000"/>
                <w:szCs w:val="21"/>
              </w:rPr>
            </w:pPr>
            <w:r>
              <w:rPr>
                <w:rFonts w:ascii="Times New Roman" w:eastAsia="宋体" w:hAnsi="Times New Roman" w:cs="Times New Roman" w:hint="eastAsia"/>
                <w:b/>
                <w:color w:val="000000"/>
                <w:szCs w:val="21"/>
              </w:rPr>
              <w:t>73</w:t>
            </w:r>
          </w:p>
        </w:tc>
        <w:tc>
          <w:tcPr>
            <w:tcW w:w="1667"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b/>
                <w:color w:val="000000"/>
                <w:szCs w:val="21"/>
              </w:rPr>
            </w:pPr>
            <w:r>
              <w:rPr>
                <w:rFonts w:ascii="Times New Roman" w:eastAsia="宋体" w:hAnsi="Times New Roman" w:cs="Times New Roman" w:hint="eastAsia"/>
                <w:b/>
                <w:color w:val="000000"/>
                <w:szCs w:val="21"/>
              </w:rPr>
              <w:t>4401.81</w:t>
            </w:r>
          </w:p>
        </w:tc>
        <w:tc>
          <w:tcPr>
            <w:tcW w:w="1963"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b/>
                <w:color w:val="000000"/>
                <w:szCs w:val="21"/>
              </w:rPr>
            </w:pPr>
            <w:r>
              <w:rPr>
                <w:rFonts w:ascii="Times New Roman" w:eastAsia="宋体" w:hAnsi="Times New Roman" w:cs="Times New Roman" w:hint="eastAsia"/>
                <w:b/>
                <w:color w:val="000000"/>
                <w:szCs w:val="21"/>
              </w:rPr>
              <w:t>1888.83</w:t>
            </w:r>
          </w:p>
        </w:tc>
        <w:tc>
          <w:tcPr>
            <w:tcW w:w="2160" w:type="dxa"/>
            <w:tcBorders>
              <w:top w:val="nil"/>
              <w:left w:val="nil"/>
              <w:bottom w:val="single" w:sz="4" w:space="0" w:color="auto"/>
              <w:right w:val="single" w:sz="4" w:space="0" w:color="auto"/>
            </w:tcBorders>
            <w:noWrap/>
          </w:tcPr>
          <w:p w:rsidR="006E6B8E" w:rsidRDefault="00A76A9D">
            <w:pPr>
              <w:spacing w:line="560" w:lineRule="exact"/>
              <w:jc w:val="right"/>
              <w:rPr>
                <w:rFonts w:ascii="Times New Roman" w:eastAsia="宋体" w:hAnsi="Times New Roman" w:cs="Times New Roman"/>
                <w:b/>
                <w:color w:val="000000"/>
                <w:szCs w:val="21"/>
              </w:rPr>
            </w:pPr>
            <w:r>
              <w:rPr>
                <w:rFonts w:ascii="Times New Roman" w:eastAsia="宋体" w:hAnsi="Times New Roman" w:cs="Times New Roman"/>
                <w:b/>
                <w:color w:val="000000"/>
                <w:szCs w:val="21"/>
              </w:rPr>
              <w:t xml:space="preserve">  </w:t>
            </w:r>
            <w:r>
              <w:rPr>
                <w:rFonts w:ascii="Times New Roman" w:eastAsia="宋体" w:hAnsi="Times New Roman" w:cs="Times New Roman" w:hint="eastAsia"/>
                <w:b/>
                <w:color w:val="000000"/>
                <w:szCs w:val="21"/>
              </w:rPr>
              <w:t>1064.49</w:t>
            </w:r>
          </w:p>
        </w:tc>
      </w:tr>
    </w:tbl>
    <w:p w:rsidR="006E6B8E" w:rsidRDefault="00A76A9D">
      <w:pPr>
        <w:spacing w:line="560" w:lineRule="exact"/>
        <w:jc w:val="center"/>
        <w:rPr>
          <w:rFonts w:ascii="Times New Roman" w:eastAsia="宋体" w:hAnsi="Times New Roman" w:cs="Times New Roman"/>
          <w:b/>
          <w:bCs/>
          <w:color w:val="000000"/>
          <w:sz w:val="24"/>
          <w:szCs w:val="24"/>
        </w:rPr>
      </w:pPr>
      <w:r>
        <w:rPr>
          <w:rFonts w:ascii="Times New Roman" w:eastAsia="宋体" w:hAnsi="Times New Roman" w:cs="Times New Roman"/>
          <w:b/>
          <w:bCs/>
          <w:color w:val="000000"/>
          <w:sz w:val="24"/>
          <w:szCs w:val="24"/>
        </w:rPr>
        <w:t xml:space="preserve">                                             </w:t>
      </w:r>
      <w:bookmarkStart w:id="10" w:name="_Hlk231308394"/>
    </w:p>
    <w:bookmarkEnd w:id="9"/>
    <w:bookmarkEnd w:id="10"/>
    <w:p w:rsidR="006E6B8E" w:rsidRDefault="00A76A9D">
      <w:pPr>
        <w:pStyle w:val="2"/>
        <w:ind w:firstLine="643"/>
        <w:rPr>
          <w:rFonts w:ascii="仿宋_GB2312" w:eastAsia="仿宋_GB2312" w:hAnsi="仿宋_GB2312" w:cs="仿宋_GB2312"/>
          <w:sz w:val="32"/>
        </w:rPr>
      </w:pPr>
      <w:r>
        <w:rPr>
          <w:rFonts w:ascii="仿宋_GB2312" w:eastAsia="仿宋_GB2312" w:hAnsi="仿宋_GB2312" w:cs="仿宋_GB2312" w:hint="eastAsia"/>
          <w:sz w:val="32"/>
        </w:rPr>
        <w:t>2.项目绩效指标完成情况</w:t>
      </w:r>
    </w:p>
    <w:p w:rsidR="006E6B8E" w:rsidRDefault="00A76A9D" w:rsidP="000D0EE3">
      <w:pPr>
        <w:pStyle w:val="2"/>
        <w:ind w:firstLine="643"/>
        <w:rPr>
          <w:rFonts w:ascii="仿宋_GB2312" w:eastAsia="仿宋_GB2312" w:hAnsi="仿宋_GB2312" w:cs="仿宋_GB2312"/>
          <w:sz w:val="32"/>
        </w:rPr>
      </w:pPr>
      <w:r>
        <w:rPr>
          <w:rFonts w:ascii="仿宋_GB2312" w:eastAsia="仿宋_GB2312" w:hAnsi="仿宋_GB2312" w:cs="仿宋_GB2312" w:hint="eastAsia"/>
          <w:sz w:val="32"/>
        </w:rPr>
        <w:t>（1）决策指标方面</w:t>
      </w:r>
    </w:p>
    <w:p w:rsidR="006E6B8E" w:rsidRDefault="00A76A9D">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各区严格按南京市农业农村局、南京市财政局《关于下达2025年第一批市级农业专项资金计划的通知》（宁农计〔2025〕6号）、《关于下达2025年第一批市级单位农业专项资金补助计划的通知》（宁农计〔2025〕9号）等文件要求，对照农机化发展目标任务，排查摸清辖区</w:t>
      </w:r>
      <w:r>
        <w:rPr>
          <w:rFonts w:ascii="仿宋_GB2312" w:eastAsia="仿宋_GB2312" w:hAnsi="仿宋_GB2312" w:cs="仿宋_GB2312" w:hint="eastAsia"/>
          <w:sz w:val="32"/>
          <w:szCs w:val="32"/>
          <w:lang w:bidi="ar"/>
        </w:rPr>
        <w:t>粮油生产、特色种养农机化短板弱项，结合属地产业布局、农业业态、农户需求，细化制</w:t>
      </w:r>
      <w:r>
        <w:rPr>
          <w:rFonts w:ascii="仿宋_GB2312" w:eastAsia="仿宋_GB2312" w:hAnsi="仿宋_GB2312" w:cs="仿宋_GB2312" w:hint="eastAsia"/>
          <w:sz w:val="32"/>
          <w:szCs w:val="32"/>
        </w:rPr>
        <w:t>制定区级农业机械化项目管理办法，实际执行中能按照项目管理办法规定的项目申报、立项、审批、实施、监督等内容严格执行。各区农业主管部门审批项目实施方案，会同财政部门下达资金计划，开展项目跟踪管理和日常检查监督。整体看，项目立项依据充分，建设目标内容贴</w:t>
      </w:r>
      <w:r>
        <w:rPr>
          <w:rFonts w:ascii="仿宋_GB2312" w:eastAsia="仿宋_GB2312" w:hAnsi="仿宋_GB2312" w:cs="仿宋_GB2312" w:hint="eastAsia"/>
          <w:sz w:val="32"/>
          <w:szCs w:val="32"/>
        </w:rPr>
        <w:lastRenderedPageBreak/>
        <w:t>合区域农业发展规划，</w:t>
      </w:r>
      <w:r>
        <w:rPr>
          <w:rFonts w:ascii="仿宋_GB2312" w:eastAsia="仿宋_GB2312" w:hAnsi="仿宋_GB2312" w:cs="仿宋_GB2312" w:hint="eastAsia"/>
          <w:sz w:val="32"/>
          <w:szCs w:val="32"/>
          <w:lang w:bidi="ar"/>
        </w:rPr>
        <w:t>贴合经营主体提质增效民生需求，项目决策科学性、合规性、适配性较强。</w:t>
      </w:r>
    </w:p>
    <w:p w:rsidR="006E6B8E" w:rsidRDefault="00A76A9D" w:rsidP="000D0EE3">
      <w:pPr>
        <w:pStyle w:val="2"/>
        <w:ind w:firstLine="643"/>
        <w:rPr>
          <w:rFonts w:ascii="仿宋_GB2312" w:eastAsia="仿宋_GB2312" w:hAnsi="仿宋_GB2312" w:cs="仿宋_GB2312"/>
          <w:sz w:val="32"/>
        </w:rPr>
      </w:pPr>
      <w:r>
        <w:rPr>
          <w:rFonts w:ascii="仿宋_GB2312" w:eastAsia="仿宋_GB2312" w:hAnsi="仿宋_GB2312" w:cs="仿宋_GB2312" w:hint="eastAsia"/>
          <w:sz w:val="32"/>
        </w:rPr>
        <w:t>（2）过程指标方面</w:t>
      </w:r>
    </w:p>
    <w:p w:rsidR="006E6B8E" w:rsidRDefault="00A76A9D">
      <w:pPr>
        <w:widowControl/>
        <w:spacing w:line="560" w:lineRule="exact"/>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经现场勘察，各区农业主管部门均按照规定配备专业人员，负责农业机械化项目的协调推进。</w:t>
      </w:r>
    </w:p>
    <w:p w:rsidR="006E6B8E" w:rsidRDefault="00A76A9D">
      <w:pPr>
        <w:widowControl/>
        <w:spacing w:line="560" w:lineRule="exact"/>
        <w:ind w:firstLineChars="200" w:firstLine="640"/>
        <w:jc w:val="left"/>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各区根据2025年省市下达的年度农业机械化任务，紧紧围绕推进农业生产全程全面机械化和农机化“两大行动”，加快提升特色农业机械化水平，积极推广绿色智能农机装备及相关技术应用，不断增强农机社会化作业服务能力，加快推动全区农业机械化高质量发展，研究制定市级农业机械化项目申报指南。项目遴选遵循公平、公正、公开的原则，通过街道推荐及项目申报单位自行申报，由市、区组织专家评审或召开会议讨论的方式确定项目实施单位并立项。实施过程中定期组织督查，项目支出全部委托第三方进行了专项审计，项目立项、验收结果等均在当地政府网站公示，过程管理闭环完善、程序严谨、公开透明。</w:t>
      </w:r>
    </w:p>
    <w:p w:rsidR="006E6B8E" w:rsidRDefault="00A76A9D">
      <w:pPr>
        <w:widowControl/>
        <w:spacing w:line="560" w:lineRule="exact"/>
        <w:ind w:firstLineChars="200" w:firstLine="640"/>
        <w:jc w:val="left"/>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预算执行率目标值为100%，实际支出当年预算资金1,064.49万元，预算执行率54.20%。</w:t>
      </w:r>
    </w:p>
    <w:p w:rsidR="006E6B8E" w:rsidRDefault="00A76A9D">
      <w:pPr>
        <w:widowControl/>
        <w:spacing w:line="560" w:lineRule="exact"/>
        <w:ind w:firstLineChars="200" w:firstLine="640"/>
        <w:jc w:val="left"/>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资金到位率目标值为100%，实际下达到区和市本级单位共1964万元，市级资金到位率100%。</w:t>
      </w:r>
    </w:p>
    <w:p w:rsidR="006E6B8E" w:rsidRDefault="00A76A9D">
      <w:pPr>
        <w:snapToGrid w:val="0"/>
        <w:spacing w:line="56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hint="eastAsia"/>
          <w:b/>
          <w:bCs/>
          <w:sz w:val="32"/>
          <w:szCs w:val="32"/>
        </w:rPr>
        <w:t>（</w:t>
      </w:r>
      <w:r>
        <w:rPr>
          <w:rFonts w:ascii="Times New Roman" w:eastAsia="仿宋_GB2312" w:hAnsi="Times New Roman" w:cs="Times New Roman" w:hint="eastAsia"/>
          <w:b/>
          <w:bCs/>
          <w:sz w:val="32"/>
          <w:szCs w:val="32"/>
        </w:rPr>
        <w:t>3</w:t>
      </w:r>
      <w:r>
        <w:rPr>
          <w:rFonts w:ascii="Times New Roman" w:eastAsia="仿宋_GB2312" w:hAnsi="Times New Roman" w:cs="Times New Roman" w:hint="eastAsia"/>
          <w:b/>
          <w:bCs/>
          <w:sz w:val="32"/>
          <w:szCs w:val="32"/>
        </w:rPr>
        <w:t>）产出数量</w:t>
      </w:r>
      <w:r>
        <w:rPr>
          <w:rFonts w:ascii="Times New Roman" w:eastAsia="仿宋_GB2312" w:hAnsi="Times New Roman" w:cs="Times New Roman"/>
          <w:b/>
          <w:bCs/>
          <w:sz w:val="32"/>
          <w:szCs w:val="32"/>
        </w:rPr>
        <w:t>指标</w:t>
      </w:r>
      <w:r>
        <w:rPr>
          <w:rFonts w:ascii="Times New Roman" w:eastAsia="仿宋_GB2312" w:hAnsi="Times New Roman" w:cs="Times New Roman" w:hint="eastAsia"/>
          <w:b/>
          <w:bCs/>
          <w:sz w:val="32"/>
          <w:szCs w:val="32"/>
        </w:rPr>
        <w:t>方面</w:t>
      </w:r>
    </w:p>
    <w:p w:rsidR="006E6B8E" w:rsidRDefault="00A76A9D">
      <w:pPr>
        <w:widowControl/>
        <w:spacing w:line="560" w:lineRule="exact"/>
        <w:ind w:firstLineChars="200" w:firstLine="640"/>
        <w:jc w:val="left"/>
        <w:rPr>
          <w:rFonts w:ascii="仿宋_GB2312" w:eastAsia="仿宋_GB2312" w:hAnsi="仿宋_GB2312" w:cs="仿宋_GB2312"/>
          <w:sz w:val="32"/>
          <w:szCs w:val="32"/>
          <w:lang w:val="zh-CN" w:bidi="ar"/>
        </w:rPr>
      </w:pPr>
      <w:r>
        <w:rPr>
          <w:rFonts w:ascii="仿宋_GB2312" w:eastAsia="仿宋_GB2312" w:hAnsi="仿宋_GB2312" w:cs="仿宋_GB2312" w:hint="eastAsia"/>
          <w:sz w:val="32"/>
          <w:szCs w:val="32"/>
          <w:lang w:bidi="ar"/>
        </w:rPr>
        <w:t>①建设农业机械化示范基地或粮食生产无人化农场15个，实际完成22个，其中溧水区7个、高淳区6个、江宁区3个、六合区6个。</w:t>
      </w:r>
    </w:p>
    <w:p w:rsidR="006E6B8E" w:rsidRDefault="00A76A9D">
      <w:pPr>
        <w:widowControl/>
        <w:spacing w:line="560" w:lineRule="exact"/>
        <w:ind w:firstLineChars="200" w:firstLine="640"/>
        <w:jc w:val="left"/>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lastRenderedPageBreak/>
        <w:t>②全市主要粮食耕种收综合机械化≥98%，实际99.7%；</w:t>
      </w:r>
    </w:p>
    <w:p w:rsidR="006E6B8E" w:rsidRDefault="00A76A9D">
      <w:pPr>
        <w:widowControl/>
        <w:spacing w:line="560" w:lineRule="exact"/>
        <w:ind w:firstLineChars="200" w:firstLine="640"/>
        <w:jc w:val="left"/>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③拖拉机检验率≥90%，实际95.71%，其中溧水区90.42%、高淳区100%、浦口区93%、江宁区100%、六合区90.83%、栖霞区100%；</w:t>
      </w:r>
    </w:p>
    <w:p w:rsidR="006E6B8E" w:rsidRDefault="00A76A9D">
      <w:pPr>
        <w:widowControl/>
        <w:spacing w:line="560" w:lineRule="exact"/>
        <w:ind w:firstLineChars="200" w:firstLine="640"/>
        <w:jc w:val="left"/>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④联合收割机检验率≥90%，实际97.61%，其中溧水区93.64%、高淳区98%、浦口区94%、江宁区100%、六合区100%、栖霞区100%；</w:t>
      </w:r>
    </w:p>
    <w:p w:rsidR="006E6B8E" w:rsidRDefault="00A76A9D">
      <w:pPr>
        <w:widowControl/>
        <w:spacing w:line="560" w:lineRule="exact"/>
        <w:ind w:firstLineChars="200" w:firstLine="640"/>
        <w:jc w:val="left"/>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⑤农机事故万台死亡人数≤4人，实际0人；</w:t>
      </w:r>
    </w:p>
    <w:p w:rsidR="006E6B8E" w:rsidRDefault="00A76A9D">
      <w:pPr>
        <w:widowControl/>
        <w:spacing w:line="560" w:lineRule="exact"/>
        <w:ind w:firstLineChars="200" w:firstLine="640"/>
        <w:jc w:val="left"/>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⑥报废更新农机数量≥650台，实际完成734台，其中溧水区50台、高淳区167、浦口区116台、江宁区102台、六合区240台、栖霞区59台；</w:t>
      </w:r>
    </w:p>
    <w:p w:rsidR="006E6B8E" w:rsidRDefault="00A76A9D">
      <w:pPr>
        <w:widowControl/>
        <w:spacing w:line="560" w:lineRule="exact"/>
        <w:ind w:firstLineChars="200" w:firstLine="640"/>
        <w:jc w:val="left"/>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⑦研究改进、示范短板装备种类数量5个，实际完成6个，为畜禽养殖废弃物资源利用技术装备、智能灌溉施肥系统、高频离子雾施药数字化作业系统、可移动式一体化泵站、油菜收获减损技术及装备、水芹收割机，主要在市本级、六合区完成。</w:t>
      </w:r>
    </w:p>
    <w:p w:rsidR="006E6B8E" w:rsidRDefault="00A76A9D">
      <w:pPr>
        <w:widowControl/>
        <w:spacing w:line="560" w:lineRule="exact"/>
        <w:ind w:firstLineChars="200" w:firstLine="640"/>
        <w:jc w:val="left"/>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⑧溧水区的省级农业生产全程全面机械化推进项目，已于2026年4月通过江苏省农业农村厅组织的验收。</w:t>
      </w:r>
    </w:p>
    <w:p w:rsidR="006E6B8E" w:rsidRDefault="00A76A9D">
      <w:pPr>
        <w:snapToGrid w:val="0"/>
        <w:spacing w:line="56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w:t>
      </w:r>
      <w:r>
        <w:rPr>
          <w:rFonts w:ascii="Times New Roman" w:eastAsia="仿宋_GB2312" w:hAnsi="Times New Roman" w:cs="Times New Roman"/>
          <w:b/>
          <w:bCs/>
          <w:sz w:val="32"/>
          <w:szCs w:val="32"/>
        </w:rPr>
        <w:t>4</w:t>
      </w:r>
      <w:r>
        <w:rPr>
          <w:rFonts w:ascii="Times New Roman" w:eastAsia="仿宋_GB2312" w:hAnsi="Times New Roman" w:cs="Times New Roman"/>
          <w:b/>
          <w:bCs/>
          <w:sz w:val="32"/>
          <w:szCs w:val="32"/>
        </w:rPr>
        <w:t>）质量指标方面</w:t>
      </w:r>
    </w:p>
    <w:p w:rsidR="006E6B8E" w:rsidRDefault="00A76A9D">
      <w:pPr>
        <w:widowControl/>
        <w:spacing w:line="560" w:lineRule="exact"/>
        <w:ind w:firstLineChars="200" w:firstLine="640"/>
        <w:jc w:val="left"/>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已完成并验收的项目质量全部达标，质量达标率100%。</w:t>
      </w:r>
    </w:p>
    <w:p w:rsidR="006E6B8E" w:rsidRDefault="00A76A9D">
      <w:pPr>
        <w:snapToGrid w:val="0"/>
        <w:spacing w:line="56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hint="eastAsia"/>
          <w:b/>
          <w:bCs/>
          <w:sz w:val="32"/>
          <w:szCs w:val="32"/>
        </w:rPr>
        <w:t>（</w:t>
      </w:r>
      <w:r>
        <w:rPr>
          <w:rFonts w:ascii="Times New Roman" w:eastAsia="仿宋_GB2312" w:hAnsi="Times New Roman" w:cs="Times New Roman" w:hint="eastAsia"/>
          <w:b/>
          <w:bCs/>
          <w:sz w:val="32"/>
          <w:szCs w:val="32"/>
        </w:rPr>
        <w:t>5</w:t>
      </w:r>
      <w:r>
        <w:rPr>
          <w:rFonts w:ascii="Times New Roman" w:eastAsia="仿宋_GB2312" w:hAnsi="Times New Roman" w:cs="Times New Roman" w:hint="eastAsia"/>
          <w:b/>
          <w:bCs/>
          <w:sz w:val="32"/>
          <w:szCs w:val="32"/>
        </w:rPr>
        <w:t>）时效指标方面</w:t>
      </w:r>
    </w:p>
    <w:p w:rsidR="006E6B8E" w:rsidRDefault="00893A81">
      <w:pPr>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截至</w:t>
      </w:r>
      <w:r w:rsidR="00A76A9D">
        <w:rPr>
          <w:rFonts w:ascii="仿宋_GB2312" w:eastAsia="仿宋_GB2312" w:hAnsi="仿宋_GB2312" w:cs="仿宋_GB2312" w:hint="eastAsia"/>
          <w:sz w:val="32"/>
          <w:szCs w:val="32"/>
        </w:rPr>
        <w:t>报告日，已立项的73个项目中，在建项目8个（未按实施方案约定周期完成的项目有4个）、已完成未验收项目15个、已验收47个、终止实施项目2个（溧水区植保无</w:t>
      </w:r>
      <w:r w:rsidR="00A76A9D">
        <w:rPr>
          <w:rFonts w:ascii="仿宋_GB2312" w:eastAsia="仿宋_GB2312" w:hAnsi="仿宋_GB2312" w:cs="仿宋_GB2312" w:hint="eastAsia"/>
          <w:sz w:val="32"/>
          <w:szCs w:val="32"/>
        </w:rPr>
        <w:lastRenderedPageBreak/>
        <w:t>人驾驶航空器购置与应用补贴项目、六合区农业农村局忆鲜谷农业机械化示范基地建设项目）。项目完成及时率91.78%。项目完成情况与批复的项目实施方案中的序时进度基本一致，项目完成及时率低的主要原因是部分项目立项较晚，目前尚处于批复实施方案中约定的实施期限内。</w:t>
      </w:r>
    </w:p>
    <w:p w:rsidR="006E6B8E" w:rsidRDefault="00A76A9D">
      <w:pPr>
        <w:snapToGrid w:val="0"/>
        <w:spacing w:line="56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hint="eastAsia"/>
          <w:b/>
          <w:bCs/>
          <w:sz w:val="32"/>
          <w:szCs w:val="32"/>
        </w:rPr>
        <w:t>（</w:t>
      </w:r>
      <w:r>
        <w:rPr>
          <w:rFonts w:ascii="Times New Roman" w:eastAsia="仿宋_GB2312" w:hAnsi="Times New Roman" w:cs="Times New Roman" w:hint="eastAsia"/>
          <w:b/>
          <w:bCs/>
          <w:sz w:val="32"/>
          <w:szCs w:val="32"/>
        </w:rPr>
        <w:t>6</w:t>
      </w:r>
      <w:r>
        <w:rPr>
          <w:rFonts w:ascii="Times New Roman" w:eastAsia="仿宋_GB2312" w:hAnsi="Times New Roman" w:cs="Times New Roman" w:hint="eastAsia"/>
          <w:b/>
          <w:bCs/>
          <w:sz w:val="32"/>
          <w:szCs w:val="32"/>
        </w:rPr>
        <w:t>）效益指标方面</w:t>
      </w:r>
    </w:p>
    <w:p w:rsidR="006E6B8E" w:rsidRDefault="00A76A9D">
      <w:pPr>
        <w:pStyle w:val="a0"/>
        <w:widowControl/>
        <w:spacing w:line="560" w:lineRule="exact"/>
        <w:ind w:firstLine="709"/>
        <w:rPr>
          <w:rFonts w:ascii="仿宋_GB2312" w:eastAsia="仿宋_GB2312" w:hAnsi="仿宋_GB2312" w:cs="仿宋_GB2312"/>
          <w:sz w:val="32"/>
          <w:szCs w:val="32"/>
          <w:lang w:val="en-US"/>
        </w:rPr>
      </w:pPr>
      <w:r>
        <w:rPr>
          <w:rFonts w:ascii="仿宋_GB2312" w:eastAsia="仿宋_GB2312" w:hAnsi="仿宋_GB2312" w:cs="仿宋_GB2312" w:hint="eastAsia"/>
          <w:sz w:val="32"/>
          <w:szCs w:val="32"/>
          <w:lang w:val="en-US"/>
        </w:rPr>
        <w:t>综合本年度项目落地成效，专项资金赋能都市现代农业提质发展，有效实现了财政资金撬动社会资本、农机效能赋能产</w:t>
      </w:r>
      <w:r w:rsidR="00FE416B">
        <w:rPr>
          <w:rFonts w:ascii="仿宋_GB2312" w:eastAsia="仿宋_GB2312" w:hAnsi="仿宋_GB2312" w:cs="仿宋_GB2312" w:hint="eastAsia"/>
          <w:sz w:val="32"/>
          <w:szCs w:val="32"/>
          <w:lang w:val="en-US"/>
        </w:rPr>
        <w:t>业稳产、绿色装备赋能生态减负、体系建设赋能长效发展叠加效益，</w:t>
      </w:r>
      <w:bookmarkStart w:id="11" w:name="_GoBack"/>
      <w:bookmarkEnd w:id="11"/>
      <w:r w:rsidR="00FE416B">
        <w:rPr>
          <w:rFonts w:ascii="仿宋_GB2312" w:eastAsia="仿宋_GB2312" w:hAnsi="仿宋_GB2312" w:cs="仿宋_GB2312" w:hint="eastAsia"/>
          <w:sz w:val="32"/>
          <w:szCs w:val="32"/>
          <w:lang w:val="en-US"/>
        </w:rPr>
        <w:t>全方位</w:t>
      </w:r>
      <w:r>
        <w:rPr>
          <w:rFonts w:ascii="仿宋_GB2312" w:eastAsia="仿宋_GB2312" w:hAnsi="仿宋_GB2312" w:cs="仿宋_GB2312" w:hint="eastAsia"/>
          <w:sz w:val="32"/>
          <w:szCs w:val="32"/>
          <w:lang w:val="en-US"/>
        </w:rPr>
        <w:t>夯实全市粮食安全根基、优化农机产业生态，整体效益超额达成年度既定目标，赋能全市农机化高质量发展提质提档。具体成效如下：</w:t>
      </w:r>
    </w:p>
    <w:p w:rsidR="006E6B8E" w:rsidRDefault="00A76A9D">
      <w:pPr>
        <w:snapToGrid w:val="0"/>
        <w:spacing w:line="560" w:lineRule="exact"/>
        <w:ind w:firstLineChars="200" w:firstLine="643"/>
        <w:rPr>
          <w:rFonts w:ascii="仿宋_GB2312" w:eastAsia="仿宋_GB2312" w:hAnsi="仿宋_GB2312" w:cs="仿宋_GB2312"/>
          <w:sz w:val="32"/>
          <w:szCs w:val="32"/>
        </w:rPr>
      </w:pPr>
      <w:r>
        <w:rPr>
          <w:rFonts w:ascii="仿宋_GB2312" w:eastAsia="仿宋_GB2312" w:hAnsi="Cambria Math" w:cs="Cambria Math" w:hint="eastAsia"/>
          <w:b/>
          <w:bCs/>
          <w:sz w:val="32"/>
          <w:szCs w:val="32"/>
        </w:rPr>
        <w:t>①</w:t>
      </w:r>
      <w:r>
        <w:rPr>
          <w:rFonts w:ascii="Times New Roman" w:eastAsia="仿宋_GB2312" w:hAnsi="Times New Roman" w:cs="Times New Roman"/>
          <w:b/>
          <w:bCs/>
          <w:sz w:val="32"/>
          <w:szCs w:val="32"/>
        </w:rPr>
        <w:t>经济效益</w:t>
      </w:r>
      <w:r>
        <w:rPr>
          <w:rFonts w:ascii="Times New Roman" w:eastAsia="仿宋_GB2312" w:hAnsi="Times New Roman" w:cs="Times New Roman" w:hint="eastAsia"/>
          <w:b/>
          <w:bCs/>
          <w:sz w:val="32"/>
          <w:szCs w:val="32"/>
        </w:rPr>
        <w:t>：</w:t>
      </w:r>
      <w:r>
        <w:rPr>
          <w:rFonts w:ascii="仿宋_GB2312" w:eastAsia="仿宋_GB2312" w:hAnsi="仿宋_GB2312" w:cs="仿宋_GB2312" w:hint="eastAsia"/>
          <w:sz w:val="32"/>
          <w:szCs w:val="32"/>
        </w:rPr>
        <w:t>撬动赋能产业扩容，年度引导社会及经营主体农机化投入目标值2000万元。本年度73个市级农机专项立项项目总预算投资4,401.81万元，其中2025年市级财政补助预算1,888.83万元，往年结转市级专项资金428.63万元，缺口资金计划用下年市级专项资金63.59万元，撬动经营主体、社会资本配套投入2,020.76万元，有效放大市级财政资金杠杆效应，盘活农机领域社会投融资活力，</w:t>
      </w:r>
      <w:proofErr w:type="gramStart"/>
      <w:r>
        <w:rPr>
          <w:rFonts w:ascii="仿宋_GB2312" w:eastAsia="仿宋_GB2312" w:hAnsi="仿宋_GB2312" w:cs="仿宋_GB2312" w:hint="eastAsia"/>
          <w:sz w:val="32"/>
          <w:szCs w:val="32"/>
        </w:rPr>
        <w:t>助力新型</w:t>
      </w:r>
      <w:proofErr w:type="gramEnd"/>
      <w:r>
        <w:rPr>
          <w:rFonts w:ascii="仿宋_GB2312" w:eastAsia="仿宋_GB2312" w:hAnsi="仿宋_GB2312" w:cs="仿宋_GB2312" w:hint="eastAsia"/>
          <w:sz w:val="32"/>
          <w:szCs w:val="32"/>
        </w:rPr>
        <w:t>农机购置、场站建设、社会化服务市场化扩容，切实降低农业生产人工成本、作业损耗成本，提升农业经营主体经营性收益。</w:t>
      </w:r>
    </w:p>
    <w:p w:rsidR="006E6B8E" w:rsidRDefault="00A76A9D">
      <w:pPr>
        <w:pStyle w:val="a0"/>
        <w:spacing w:line="560" w:lineRule="exact"/>
        <w:ind w:firstLine="0"/>
        <w:rPr>
          <w:rFonts w:ascii="仿宋_GB2312" w:eastAsia="仿宋_GB2312" w:hAnsi="仿宋_GB2312" w:cs="仿宋_GB2312"/>
          <w:sz w:val="32"/>
          <w:szCs w:val="32"/>
          <w:lang w:val="en-US"/>
        </w:rPr>
      </w:pPr>
      <w:r>
        <w:rPr>
          <w:rFonts w:ascii="Times New Roman" w:eastAsia="仿宋_GB2312" w:hAnsi="Times New Roman" w:cs="Times New Roman"/>
          <w:sz w:val="32"/>
          <w:szCs w:val="32"/>
          <w:lang w:val="en-US"/>
        </w:rPr>
        <w:tab/>
      </w:r>
      <w:r>
        <w:rPr>
          <w:rFonts w:ascii="Times New Roman" w:eastAsia="仿宋_GB2312" w:hAnsi="Times New Roman" w:cs="Times New Roman" w:hint="eastAsia"/>
          <w:sz w:val="32"/>
          <w:szCs w:val="32"/>
          <w:lang w:val="en-US"/>
        </w:rPr>
        <w:t xml:space="preserve"> </w:t>
      </w:r>
      <w:r>
        <w:rPr>
          <w:rFonts w:ascii="仿宋_GB2312" w:eastAsia="仿宋_GB2312" w:hAnsi="Cambria Math" w:cs="Cambria Math" w:hint="eastAsia"/>
          <w:b/>
          <w:bCs/>
          <w:sz w:val="32"/>
          <w:szCs w:val="32"/>
        </w:rPr>
        <w:t>②</w:t>
      </w:r>
      <w:r>
        <w:rPr>
          <w:rFonts w:ascii="Times New Roman" w:eastAsia="仿宋_GB2312" w:hAnsi="Times New Roman" w:cs="Times New Roman"/>
          <w:b/>
          <w:bCs/>
          <w:sz w:val="32"/>
          <w:szCs w:val="32"/>
          <w:lang w:val="en-US"/>
        </w:rPr>
        <w:t>社会效益</w:t>
      </w:r>
      <w:r>
        <w:rPr>
          <w:rFonts w:ascii="Times New Roman" w:eastAsia="仿宋_GB2312" w:hAnsi="Times New Roman" w:cs="Times New Roman" w:hint="eastAsia"/>
          <w:b/>
          <w:bCs/>
          <w:sz w:val="32"/>
          <w:szCs w:val="32"/>
          <w:lang w:val="en-US"/>
        </w:rPr>
        <w:t>：</w:t>
      </w:r>
      <w:r>
        <w:rPr>
          <w:rFonts w:ascii="仿宋_GB2312" w:eastAsia="仿宋_GB2312" w:hAnsi="仿宋_GB2312" w:cs="仿宋_GB2312" w:hint="eastAsia"/>
          <w:sz w:val="32"/>
          <w:szCs w:val="32"/>
          <w:lang w:val="en-US"/>
        </w:rPr>
        <w:t>项目有效优化粮油生产作业效率、均衡区域农机化发展水平，夯实都市农业稳产保供基础，社会效益</w:t>
      </w:r>
      <w:r>
        <w:rPr>
          <w:rFonts w:ascii="仿宋_GB2312" w:eastAsia="仿宋_GB2312" w:hAnsi="仿宋_GB2312" w:cs="仿宋_GB2312" w:hint="eastAsia"/>
          <w:sz w:val="32"/>
          <w:szCs w:val="32"/>
          <w:lang w:val="en-US"/>
        </w:rPr>
        <w:lastRenderedPageBreak/>
        <w:t>凸显。一是全市耕种收机械化水平稳步提升，年度农作物耕种</w:t>
      </w:r>
      <w:proofErr w:type="gramStart"/>
      <w:r>
        <w:rPr>
          <w:rFonts w:ascii="仿宋_GB2312" w:eastAsia="仿宋_GB2312" w:hAnsi="仿宋_GB2312" w:cs="仿宋_GB2312" w:hint="eastAsia"/>
          <w:sz w:val="32"/>
          <w:szCs w:val="32"/>
          <w:lang w:val="en-US"/>
        </w:rPr>
        <w:t>收综合</w:t>
      </w:r>
      <w:proofErr w:type="gramEnd"/>
      <w:r>
        <w:rPr>
          <w:rFonts w:ascii="仿宋_GB2312" w:eastAsia="仿宋_GB2312" w:hAnsi="仿宋_GB2312" w:cs="仿宋_GB2312" w:hint="eastAsia"/>
          <w:sz w:val="32"/>
          <w:szCs w:val="32"/>
          <w:lang w:val="en-US"/>
        </w:rPr>
        <w:t>机械化率目标≥91%，全年实际综合机械化率达92%，各区指标全部达标。分区数据：溧水区91.5%、高淳区92.50%、浦口区91.50%、江宁区93.10%、</w:t>
      </w:r>
      <w:proofErr w:type="gramStart"/>
      <w:r>
        <w:rPr>
          <w:rFonts w:ascii="仿宋_GB2312" w:eastAsia="仿宋_GB2312" w:hAnsi="仿宋_GB2312" w:cs="仿宋_GB2312" w:hint="eastAsia"/>
          <w:sz w:val="32"/>
          <w:szCs w:val="32"/>
          <w:lang w:val="en-US"/>
        </w:rPr>
        <w:t>六合区</w:t>
      </w:r>
      <w:proofErr w:type="gramEnd"/>
      <w:r>
        <w:rPr>
          <w:rFonts w:ascii="仿宋_GB2312" w:eastAsia="仿宋_GB2312" w:hAnsi="仿宋_GB2312" w:cs="仿宋_GB2312" w:hint="eastAsia"/>
          <w:sz w:val="32"/>
          <w:szCs w:val="32"/>
          <w:lang w:val="en-US"/>
        </w:rPr>
        <w:t>91.50%、栖霞区92.3%，全域粮食生产机械化作业能力稳步均衡提升。二是粮油损耗管</w:t>
      </w:r>
      <w:proofErr w:type="gramStart"/>
      <w:r>
        <w:rPr>
          <w:rFonts w:ascii="仿宋_GB2312" w:eastAsia="仿宋_GB2312" w:hAnsi="仿宋_GB2312" w:cs="仿宋_GB2312" w:hint="eastAsia"/>
          <w:sz w:val="32"/>
          <w:szCs w:val="32"/>
          <w:lang w:val="en-US"/>
        </w:rPr>
        <w:t>控成效</w:t>
      </w:r>
      <w:proofErr w:type="gramEnd"/>
      <w:r>
        <w:rPr>
          <w:rFonts w:ascii="仿宋_GB2312" w:eastAsia="仿宋_GB2312" w:hAnsi="仿宋_GB2312" w:cs="仿宋_GB2312" w:hint="eastAsia"/>
          <w:sz w:val="32"/>
          <w:szCs w:val="32"/>
          <w:lang w:val="en-US"/>
        </w:rPr>
        <w:t>显著，年度</w:t>
      </w:r>
      <w:proofErr w:type="gramStart"/>
      <w:r>
        <w:rPr>
          <w:rFonts w:ascii="仿宋_GB2312" w:eastAsia="仿宋_GB2312" w:hAnsi="仿宋_GB2312" w:cs="仿宋_GB2312" w:hint="eastAsia"/>
          <w:sz w:val="32"/>
          <w:szCs w:val="32"/>
          <w:lang w:val="en-US"/>
        </w:rPr>
        <w:t>油菜机</w:t>
      </w:r>
      <w:proofErr w:type="gramEnd"/>
      <w:r>
        <w:rPr>
          <w:rFonts w:ascii="仿宋_GB2312" w:eastAsia="仿宋_GB2312" w:hAnsi="仿宋_GB2312" w:cs="仿宋_GB2312" w:hint="eastAsia"/>
          <w:sz w:val="32"/>
          <w:szCs w:val="32"/>
          <w:lang w:val="en-US"/>
        </w:rPr>
        <w:t>收损失率同比降低目标≥2个百分点，对照2024-2025年全市</w:t>
      </w:r>
      <w:proofErr w:type="gramStart"/>
      <w:r>
        <w:rPr>
          <w:rFonts w:ascii="仿宋_GB2312" w:eastAsia="仿宋_GB2312" w:hAnsi="仿宋_GB2312" w:cs="仿宋_GB2312" w:hint="eastAsia"/>
          <w:sz w:val="32"/>
          <w:szCs w:val="32"/>
          <w:lang w:val="en-US"/>
        </w:rPr>
        <w:t>油菜机收损失</w:t>
      </w:r>
      <w:proofErr w:type="gramEnd"/>
      <w:r>
        <w:rPr>
          <w:rFonts w:ascii="仿宋_GB2312" w:eastAsia="仿宋_GB2312" w:hAnsi="仿宋_GB2312" w:cs="仿宋_GB2312" w:hint="eastAsia"/>
          <w:sz w:val="32"/>
          <w:szCs w:val="32"/>
          <w:lang w:val="en-US"/>
        </w:rPr>
        <w:t>专项监测数据，本年度全市机收损失率同比下降8.44个百分点，</w:t>
      </w:r>
      <w:proofErr w:type="gramStart"/>
      <w:r>
        <w:rPr>
          <w:rFonts w:ascii="仿宋_GB2312" w:eastAsia="仿宋_GB2312" w:hAnsi="仿宋_GB2312" w:cs="仿宋_GB2312" w:hint="eastAsia"/>
          <w:sz w:val="32"/>
          <w:szCs w:val="32"/>
          <w:lang w:val="en-US"/>
        </w:rPr>
        <w:t>降幅超</w:t>
      </w:r>
      <w:proofErr w:type="gramEnd"/>
      <w:r>
        <w:rPr>
          <w:rFonts w:ascii="仿宋_GB2312" w:eastAsia="仿宋_GB2312" w:hAnsi="仿宋_GB2312" w:cs="仿宋_GB2312" w:hint="eastAsia"/>
          <w:sz w:val="32"/>
          <w:szCs w:val="32"/>
          <w:lang w:val="en-US"/>
        </w:rPr>
        <w:t>既定目标，分区降幅：溧水区10.88%、高淳区9.70%、江宁区6.41%、</w:t>
      </w:r>
      <w:proofErr w:type="gramStart"/>
      <w:r>
        <w:rPr>
          <w:rFonts w:ascii="仿宋_GB2312" w:eastAsia="仿宋_GB2312" w:hAnsi="仿宋_GB2312" w:cs="仿宋_GB2312" w:hint="eastAsia"/>
          <w:sz w:val="32"/>
          <w:szCs w:val="32"/>
          <w:lang w:val="en-US"/>
        </w:rPr>
        <w:t>六合区</w:t>
      </w:r>
      <w:proofErr w:type="gramEnd"/>
      <w:r>
        <w:rPr>
          <w:rFonts w:ascii="仿宋_GB2312" w:eastAsia="仿宋_GB2312" w:hAnsi="仿宋_GB2312" w:cs="仿宋_GB2312" w:hint="eastAsia"/>
          <w:sz w:val="32"/>
          <w:szCs w:val="32"/>
          <w:lang w:val="en-US"/>
        </w:rPr>
        <w:t>6.76%，大幅减少粮油收获端物资损耗，守住农户种植收益底线，助力农业节本增收、稳产保供。</w:t>
      </w:r>
    </w:p>
    <w:p w:rsidR="006E6B8E" w:rsidRDefault="00A76A9D">
      <w:pPr>
        <w:pStyle w:val="a0"/>
        <w:spacing w:line="560" w:lineRule="exact"/>
        <w:ind w:firstLineChars="200" w:firstLine="643"/>
        <w:rPr>
          <w:rFonts w:ascii="仿宋_GB2312" w:eastAsia="仿宋_GB2312" w:hAnsi="仿宋_GB2312" w:cs="仿宋_GB2312"/>
          <w:sz w:val="32"/>
          <w:szCs w:val="32"/>
          <w:lang w:val="en-US"/>
        </w:rPr>
      </w:pPr>
      <w:r>
        <w:rPr>
          <w:rFonts w:ascii="仿宋_GB2312" w:eastAsia="仿宋_GB2312" w:hAnsi="Cambria Math" w:cs="Cambria Math" w:hint="eastAsia"/>
          <w:b/>
          <w:bCs/>
          <w:sz w:val="32"/>
          <w:szCs w:val="32"/>
        </w:rPr>
        <w:t>③</w:t>
      </w:r>
      <w:r>
        <w:rPr>
          <w:rFonts w:ascii="Times New Roman" w:eastAsia="仿宋_GB2312" w:hAnsi="Times New Roman" w:cs="Times New Roman"/>
          <w:b/>
          <w:bCs/>
          <w:sz w:val="32"/>
          <w:szCs w:val="32"/>
          <w:lang w:val="en-US"/>
        </w:rPr>
        <w:t>生态效益</w:t>
      </w:r>
      <w:r>
        <w:rPr>
          <w:rFonts w:ascii="Times New Roman" w:eastAsia="仿宋_GB2312" w:hAnsi="Times New Roman" w:cs="Times New Roman" w:hint="eastAsia"/>
          <w:b/>
          <w:bCs/>
          <w:sz w:val="32"/>
          <w:szCs w:val="32"/>
          <w:lang w:val="en-US"/>
        </w:rPr>
        <w:t>：</w:t>
      </w:r>
      <w:r>
        <w:rPr>
          <w:rFonts w:ascii="仿宋_GB2312" w:eastAsia="仿宋_GB2312" w:hAnsi="仿宋_GB2312" w:cs="仿宋_GB2312" w:hint="eastAsia"/>
          <w:sz w:val="32"/>
          <w:szCs w:val="32"/>
          <w:lang w:val="en-US"/>
        </w:rPr>
        <w:t>紧扣农业绿色低碳发展要求，依托专项资金赋能老旧烘干设施智能化、绿色化改造，年度计划改建绿色智能产地烘干中心5个，</w:t>
      </w:r>
      <w:proofErr w:type="gramStart"/>
      <w:r>
        <w:rPr>
          <w:rFonts w:ascii="仿宋_GB2312" w:eastAsia="仿宋_GB2312" w:hAnsi="仿宋_GB2312" w:cs="仿宋_GB2312" w:hint="eastAsia"/>
          <w:sz w:val="32"/>
          <w:szCs w:val="32"/>
          <w:lang w:val="en-US"/>
        </w:rPr>
        <w:t>实际提</w:t>
      </w:r>
      <w:proofErr w:type="gramEnd"/>
      <w:r>
        <w:rPr>
          <w:rFonts w:ascii="仿宋_GB2312" w:eastAsia="仿宋_GB2312" w:hAnsi="仿宋_GB2312" w:cs="仿宋_GB2312" w:hint="eastAsia"/>
          <w:sz w:val="32"/>
          <w:szCs w:val="32"/>
          <w:lang w:val="en-US"/>
        </w:rPr>
        <w:t>质改建11个，超额完成建设任务。其中溧水区1个、高淳区1个、浦口区3个、江宁区2个、</w:t>
      </w:r>
      <w:proofErr w:type="gramStart"/>
      <w:r>
        <w:rPr>
          <w:rFonts w:ascii="仿宋_GB2312" w:eastAsia="仿宋_GB2312" w:hAnsi="仿宋_GB2312" w:cs="仿宋_GB2312" w:hint="eastAsia"/>
          <w:sz w:val="32"/>
          <w:szCs w:val="32"/>
          <w:lang w:val="en-US"/>
        </w:rPr>
        <w:t>六合区</w:t>
      </w:r>
      <w:proofErr w:type="gramEnd"/>
      <w:r>
        <w:rPr>
          <w:rFonts w:ascii="仿宋_GB2312" w:eastAsia="仿宋_GB2312" w:hAnsi="仿宋_GB2312" w:cs="仿宋_GB2312" w:hint="eastAsia"/>
          <w:sz w:val="32"/>
          <w:szCs w:val="32"/>
          <w:lang w:val="en-US"/>
        </w:rPr>
        <w:t>4个。改建后的烘干中心配套粉尘减排、节能温控等智能设备，有效减少秸秆焚烧、燃煤烘干污染物排放，实现粮食就地低碳烘干，降低粮食霉变损耗，兼顾粮食提质与生态减排双重效益。</w:t>
      </w:r>
    </w:p>
    <w:p w:rsidR="006E6B8E" w:rsidRDefault="00A76A9D">
      <w:pPr>
        <w:pStyle w:val="a0"/>
        <w:spacing w:line="560" w:lineRule="exact"/>
        <w:rPr>
          <w:rFonts w:ascii="仿宋_GB2312" w:eastAsia="仿宋_GB2312" w:hAnsi="仿宋_GB2312" w:cs="仿宋_GB2312"/>
          <w:sz w:val="32"/>
          <w:szCs w:val="32"/>
          <w:lang w:val="en-US"/>
        </w:rPr>
      </w:pPr>
      <w:r>
        <w:rPr>
          <w:rFonts w:ascii="Times New Roman" w:eastAsia="仿宋_GB2312" w:hAnsi="Times New Roman" w:cs="Times New Roman"/>
          <w:sz w:val="32"/>
          <w:szCs w:val="32"/>
          <w:lang w:val="en-US"/>
        </w:rPr>
        <w:tab/>
      </w:r>
      <w:r>
        <w:rPr>
          <w:rFonts w:ascii="Times New Roman" w:eastAsia="仿宋_GB2312" w:hAnsi="Times New Roman" w:cs="Times New Roman" w:hint="eastAsia"/>
          <w:sz w:val="32"/>
          <w:szCs w:val="32"/>
          <w:lang w:val="en-US"/>
        </w:rPr>
        <w:t xml:space="preserve"> </w:t>
      </w:r>
      <w:r>
        <w:rPr>
          <w:rFonts w:ascii="仿宋_GB2312" w:eastAsia="仿宋_GB2312" w:hAnsi="Cambria Math" w:cs="Cambria Math" w:hint="eastAsia"/>
          <w:b/>
          <w:bCs/>
          <w:sz w:val="32"/>
          <w:szCs w:val="32"/>
        </w:rPr>
        <w:t>④</w:t>
      </w:r>
      <w:r>
        <w:rPr>
          <w:rFonts w:ascii="Times New Roman" w:eastAsia="仿宋_GB2312" w:hAnsi="Times New Roman" w:cs="Times New Roman"/>
          <w:b/>
          <w:bCs/>
          <w:sz w:val="32"/>
          <w:szCs w:val="32"/>
          <w:lang w:val="en-US"/>
        </w:rPr>
        <w:t>可持续影响</w:t>
      </w:r>
      <w:r>
        <w:rPr>
          <w:rFonts w:ascii="Times New Roman" w:eastAsia="仿宋_GB2312" w:hAnsi="Times New Roman" w:cs="Times New Roman" w:hint="eastAsia"/>
          <w:b/>
          <w:bCs/>
          <w:sz w:val="32"/>
          <w:szCs w:val="32"/>
          <w:lang w:val="en-US"/>
        </w:rPr>
        <w:t>：</w:t>
      </w:r>
      <w:r>
        <w:rPr>
          <w:rFonts w:ascii="仿宋_GB2312" w:eastAsia="仿宋_GB2312" w:hAnsi="仿宋_GB2312" w:cs="仿宋_GB2312" w:hint="eastAsia"/>
          <w:sz w:val="32"/>
          <w:szCs w:val="32"/>
          <w:lang w:val="en-US"/>
        </w:rPr>
        <w:t>补齐特色农业机械化薄弱短板，构建粮油、特色农机化均衡发展格局。年度特色农业机械化水平增长率目标≥2%，全年实测增长率2.69%，全域指标达标且稳步提质，分区增速：溧水区4.22%、高淳区2%、浦口区2.16%、江宁区3%、</w:t>
      </w:r>
      <w:proofErr w:type="gramStart"/>
      <w:r>
        <w:rPr>
          <w:rFonts w:ascii="仿宋_GB2312" w:eastAsia="仿宋_GB2312" w:hAnsi="仿宋_GB2312" w:cs="仿宋_GB2312" w:hint="eastAsia"/>
          <w:sz w:val="32"/>
          <w:szCs w:val="32"/>
          <w:lang w:val="en-US"/>
        </w:rPr>
        <w:t>六合区</w:t>
      </w:r>
      <w:proofErr w:type="gramEnd"/>
      <w:r>
        <w:rPr>
          <w:rFonts w:ascii="仿宋_GB2312" w:eastAsia="仿宋_GB2312" w:hAnsi="仿宋_GB2312" w:cs="仿宋_GB2312" w:hint="eastAsia"/>
          <w:sz w:val="32"/>
          <w:szCs w:val="32"/>
          <w:lang w:val="en-US"/>
        </w:rPr>
        <w:t>2.60%、栖霞区2.13%。通过专项资金常</w:t>
      </w:r>
      <w:r>
        <w:rPr>
          <w:rFonts w:ascii="仿宋_GB2312" w:eastAsia="仿宋_GB2312" w:hAnsi="仿宋_GB2312" w:cs="仿宋_GB2312" w:hint="eastAsia"/>
          <w:sz w:val="32"/>
          <w:szCs w:val="32"/>
          <w:lang w:val="en-US"/>
        </w:rPr>
        <w:lastRenderedPageBreak/>
        <w:t>态化扶持，全市特色果蔬、畜禽、水产种养专用农机供给持续扩容，新型农机服务主体培育提速，农机维保、跨区作业、社会化服务体系日趋完善，有力推进粮油和特色农业机械化均衡发展。</w:t>
      </w:r>
    </w:p>
    <w:p w:rsidR="006E6B8E" w:rsidRDefault="00A76A9D">
      <w:pPr>
        <w:snapToGrid w:val="0"/>
        <w:spacing w:line="56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hint="eastAsia"/>
          <w:b/>
          <w:bCs/>
          <w:sz w:val="32"/>
          <w:szCs w:val="32"/>
        </w:rPr>
        <w:t>（</w:t>
      </w:r>
      <w:r>
        <w:rPr>
          <w:rFonts w:ascii="Times New Roman" w:eastAsia="仿宋_GB2312" w:hAnsi="Times New Roman" w:cs="Times New Roman" w:hint="eastAsia"/>
          <w:b/>
          <w:bCs/>
          <w:sz w:val="32"/>
          <w:szCs w:val="32"/>
        </w:rPr>
        <w:t>7</w:t>
      </w:r>
      <w:r>
        <w:rPr>
          <w:rFonts w:ascii="Times New Roman" w:eastAsia="仿宋_GB2312" w:hAnsi="Times New Roman" w:cs="Times New Roman" w:hint="eastAsia"/>
          <w:b/>
          <w:bCs/>
          <w:sz w:val="32"/>
          <w:szCs w:val="32"/>
        </w:rPr>
        <w:t>）满意度指标方面</w:t>
      </w:r>
    </w:p>
    <w:p w:rsidR="006E6B8E" w:rsidRDefault="00A76A9D">
      <w:pPr>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本次评价过程中，从各区选取了部分项目，对项目实施主体就农业机械化政策的实施、基础设施建设、补助资金额度、项目主管部门服务等进行了现场访谈交流和满意</w:t>
      </w:r>
      <w:proofErr w:type="gramStart"/>
      <w:r>
        <w:rPr>
          <w:rFonts w:ascii="仿宋_GB2312" w:eastAsia="仿宋_GB2312" w:hAnsi="仿宋_GB2312" w:cs="仿宋_GB2312" w:hint="eastAsia"/>
          <w:sz w:val="32"/>
          <w:szCs w:val="32"/>
        </w:rPr>
        <w:t>度电话</w:t>
      </w:r>
      <w:proofErr w:type="gramEnd"/>
      <w:r>
        <w:rPr>
          <w:rFonts w:ascii="仿宋_GB2312" w:eastAsia="仿宋_GB2312" w:hAnsi="仿宋_GB2312" w:cs="仿宋_GB2312" w:hint="eastAsia"/>
          <w:sz w:val="32"/>
          <w:szCs w:val="32"/>
        </w:rPr>
        <w:t>调查，并发放了调查问卷，收回的调查问卷结果显示，项目实施主体及服务对象对项目满意度为100%。</w:t>
      </w:r>
    </w:p>
    <w:p w:rsidR="006E6B8E" w:rsidRDefault="00A76A9D">
      <w:pPr>
        <w:pStyle w:val="2"/>
        <w:ind w:firstLine="643"/>
        <w:rPr>
          <w:rFonts w:ascii="楷体" w:eastAsia="楷体" w:hAnsi="楷体" w:cs="楷体"/>
          <w:sz w:val="32"/>
        </w:rPr>
      </w:pPr>
      <w:r>
        <w:rPr>
          <w:rFonts w:ascii="楷体" w:eastAsia="楷体" w:hAnsi="楷体" w:cs="楷体" w:hint="eastAsia"/>
          <w:sz w:val="32"/>
        </w:rPr>
        <w:t>（三）评分结果</w:t>
      </w:r>
    </w:p>
    <w:p w:rsidR="006E6B8E" w:rsidRDefault="00A76A9D">
      <w:pPr>
        <w:widowControl/>
        <w:snapToGrid w:val="0"/>
        <w:spacing w:line="560" w:lineRule="exact"/>
        <w:ind w:firstLineChars="200" w:firstLine="640"/>
        <w:jc w:val="left"/>
        <w:rPr>
          <w:rFonts w:ascii="仿宋_GB2312" w:eastAsia="仿宋_GB2312" w:hAnsi="仿宋_GB2312" w:cs="仿宋_GB2312"/>
          <w:sz w:val="32"/>
          <w:szCs w:val="32"/>
        </w:rPr>
      </w:pPr>
      <w:bookmarkStart w:id="12" w:name="_Hlk233212489"/>
      <w:r>
        <w:rPr>
          <w:rFonts w:ascii="仿宋_GB2312" w:eastAsia="仿宋_GB2312" w:hAnsi="仿宋_GB2312" w:cs="仿宋_GB2312" w:hint="eastAsia"/>
          <w:sz w:val="32"/>
          <w:szCs w:val="32"/>
        </w:rPr>
        <w:t>2025年，</w:t>
      </w:r>
      <w:r>
        <w:rPr>
          <w:rFonts w:ascii="仿宋_GB2312" w:eastAsia="仿宋_GB2312" w:hAnsi="仿宋_GB2312" w:cs="仿宋_GB2312" w:hint="eastAsia"/>
          <w:sz w:val="32"/>
          <w:szCs w:val="32"/>
          <w:lang w:bidi="ar"/>
        </w:rPr>
        <w:t>全市依托市级农业机械化专项资金，统筹有序推进市本级和</w:t>
      </w:r>
      <w:r>
        <w:rPr>
          <w:rFonts w:ascii="仿宋_GB2312" w:eastAsia="仿宋_GB2312" w:hAnsi="仿宋_GB2312" w:cs="仿宋_GB2312" w:hint="eastAsia"/>
          <w:sz w:val="32"/>
          <w:szCs w:val="32"/>
        </w:rPr>
        <w:t>溧水、高淳、江宁、浦口、六合、栖霞区农业机械化资金项目落地实施，</w:t>
      </w:r>
      <w:r>
        <w:rPr>
          <w:rFonts w:ascii="仿宋_GB2312" w:eastAsia="仿宋_GB2312" w:hAnsi="仿宋_GB2312" w:cs="仿宋_GB2312" w:hint="eastAsia"/>
          <w:sz w:val="32"/>
          <w:szCs w:val="32"/>
          <w:lang w:bidi="ar"/>
        </w:rPr>
        <w:t>聚焦粮油稳产保供、特色农业提质、农机装备绿色智能升级核心任务，有效</w:t>
      </w:r>
      <w:proofErr w:type="gramStart"/>
      <w:r>
        <w:rPr>
          <w:rFonts w:ascii="仿宋_GB2312" w:eastAsia="仿宋_GB2312" w:hAnsi="仿宋_GB2312" w:cs="仿宋_GB2312" w:hint="eastAsia"/>
          <w:sz w:val="32"/>
          <w:szCs w:val="32"/>
          <w:lang w:bidi="ar"/>
        </w:rPr>
        <w:t>夯实全市</w:t>
      </w:r>
      <w:proofErr w:type="gramEnd"/>
      <w:r>
        <w:rPr>
          <w:rFonts w:ascii="仿宋_GB2312" w:eastAsia="仿宋_GB2312" w:hAnsi="仿宋_GB2312" w:cs="仿宋_GB2312" w:hint="eastAsia"/>
          <w:sz w:val="32"/>
          <w:szCs w:val="32"/>
          <w:lang w:bidi="ar"/>
        </w:rPr>
        <w:t>都市现代农业农机装备保障基础，全市农作物耕种收机械化水平、特色农业机械化水平稳步提升，农机社会化服务体系进一步完善。项目实施过程中，市、区两级项目管理制度、资金管控机制健全规范，项目申报评审、实施监管、审计公示、资金拨付闭环合</w:t>
      </w:r>
      <w:proofErr w:type="gramStart"/>
      <w:r>
        <w:rPr>
          <w:rFonts w:ascii="仿宋_GB2312" w:eastAsia="仿宋_GB2312" w:hAnsi="仿宋_GB2312" w:cs="仿宋_GB2312" w:hint="eastAsia"/>
          <w:sz w:val="32"/>
          <w:szCs w:val="32"/>
          <w:lang w:bidi="ar"/>
        </w:rPr>
        <w:t>规</w:t>
      </w:r>
      <w:proofErr w:type="gramEnd"/>
      <w:r>
        <w:rPr>
          <w:rFonts w:ascii="仿宋_GB2312" w:eastAsia="仿宋_GB2312" w:hAnsi="仿宋_GB2312" w:cs="仿宋_GB2312" w:hint="eastAsia"/>
          <w:sz w:val="32"/>
          <w:szCs w:val="32"/>
          <w:lang w:bidi="ar"/>
        </w:rPr>
        <w:t>，财政资金管理严格，经济效益、社会效益、生态效益、长效可持续效益成效良好，整体项目实施成效明显，</w:t>
      </w:r>
      <w:r>
        <w:rPr>
          <w:rFonts w:ascii="仿宋_GB2312" w:eastAsia="仿宋_GB2312" w:hAnsi="仿宋_GB2312" w:cs="仿宋_GB2312" w:hint="eastAsia"/>
          <w:sz w:val="32"/>
          <w:szCs w:val="32"/>
        </w:rPr>
        <w:t>基本完成了年初制定的各项绩效目标，取得了良好的经济效益、社会效益和生态效益。经认真自评，综合评价分值为98.14分，整体评价等级优。（具体详见附表）</w:t>
      </w:r>
    </w:p>
    <w:bookmarkEnd w:id="12"/>
    <w:p w:rsidR="006E6B8E" w:rsidRDefault="00A76A9D">
      <w:pPr>
        <w:pStyle w:val="2"/>
        <w:ind w:firstLine="640"/>
        <w:rPr>
          <w:rFonts w:ascii="Times New Roman" w:eastAsia="黑体" w:hAnsi="Times New Roman" w:cs="Times New Roman"/>
          <w:b w:val="0"/>
          <w:bCs w:val="0"/>
          <w:sz w:val="32"/>
        </w:rPr>
      </w:pPr>
      <w:r>
        <w:rPr>
          <w:rFonts w:ascii="Times New Roman" w:eastAsia="黑体" w:hAnsi="Times New Roman" w:cs="Times New Roman" w:hint="eastAsia"/>
          <w:b w:val="0"/>
          <w:bCs w:val="0"/>
          <w:sz w:val="32"/>
        </w:rPr>
        <w:lastRenderedPageBreak/>
        <w:t>三、项目成效</w:t>
      </w:r>
    </w:p>
    <w:p w:rsidR="006E6B8E" w:rsidRDefault="00A76A9D">
      <w:pPr>
        <w:pStyle w:val="a0"/>
        <w:spacing w:line="560" w:lineRule="exact"/>
        <w:ind w:firstLine="709"/>
        <w:rPr>
          <w:rFonts w:ascii="仿宋_GB2312" w:eastAsia="仿宋_GB2312" w:hAnsi="仿宋_GB2312" w:cs="仿宋_GB2312"/>
          <w:sz w:val="32"/>
          <w:szCs w:val="32"/>
          <w:lang w:val="en-US"/>
        </w:rPr>
      </w:pPr>
      <w:bookmarkStart w:id="13" w:name="_Hlk233212537"/>
      <w:r>
        <w:rPr>
          <w:rFonts w:ascii="仿宋_GB2312" w:eastAsia="仿宋_GB2312" w:hAnsi="仿宋_GB2312" w:cs="仿宋_GB2312" w:hint="eastAsia"/>
          <w:sz w:val="32"/>
          <w:szCs w:val="32"/>
          <w:lang w:val="en-US"/>
        </w:rPr>
        <w:t>2025年，南京市通过市级农业机械化项目建设，紧扣农业装备“智能转型、全程机械化、绿色高效”发展核心目标，聚焦粮食安全底线与都市现代农业高质量发展主线，结合省级全程全面机械化建设工作，纵深推进农机装备短板攻坚专项行动，充分发挥农机在农业生产和应急救灾中的主力军作用，持续培优农机作业服务队伍、健全农机作业组织体系，多</w:t>
      </w:r>
      <w:proofErr w:type="gramStart"/>
      <w:r>
        <w:rPr>
          <w:rFonts w:ascii="仿宋_GB2312" w:eastAsia="仿宋_GB2312" w:hAnsi="仿宋_GB2312" w:cs="仿宋_GB2312" w:hint="eastAsia"/>
          <w:sz w:val="32"/>
          <w:szCs w:val="32"/>
          <w:lang w:val="en-US"/>
        </w:rPr>
        <w:t>措</w:t>
      </w:r>
      <w:proofErr w:type="gramEnd"/>
      <w:r>
        <w:rPr>
          <w:rFonts w:ascii="仿宋_GB2312" w:eastAsia="仿宋_GB2312" w:hAnsi="仿宋_GB2312" w:cs="仿宋_GB2312" w:hint="eastAsia"/>
          <w:sz w:val="32"/>
          <w:szCs w:val="32"/>
          <w:lang w:val="en-US"/>
        </w:rPr>
        <w:t>并举推动全市农业机械化全程全面、提质增效发展。</w:t>
      </w:r>
    </w:p>
    <w:p w:rsidR="006E6B8E" w:rsidRDefault="00A76A9D">
      <w:pPr>
        <w:numPr>
          <w:ilvl w:val="0"/>
          <w:numId w:val="2"/>
        </w:numPr>
        <w:snapToGrid w:val="0"/>
        <w:spacing w:line="560" w:lineRule="exact"/>
        <w:ind w:firstLineChars="200" w:firstLine="643"/>
        <w:rPr>
          <w:rFonts w:ascii="楷体" w:eastAsia="楷体" w:hAnsi="楷体" w:cs="楷体"/>
          <w:b/>
          <w:bCs/>
          <w:sz w:val="32"/>
          <w:szCs w:val="32"/>
        </w:rPr>
      </w:pPr>
      <w:r>
        <w:rPr>
          <w:rFonts w:ascii="楷体" w:eastAsia="楷体" w:hAnsi="楷体" w:cs="楷体" w:hint="eastAsia"/>
          <w:b/>
          <w:bCs/>
          <w:sz w:val="32"/>
          <w:szCs w:val="32"/>
        </w:rPr>
        <w:t>农业生产机械化水平持续提升</w:t>
      </w:r>
    </w:p>
    <w:p w:rsidR="006E6B8E" w:rsidRDefault="00A76A9D">
      <w:pPr>
        <w:pStyle w:val="a0"/>
        <w:spacing w:line="560" w:lineRule="exact"/>
        <w:ind w:firstLine="709"/>
        <w:rPr>
          <w:rFonts w:ascii="仿宋_GB2312" w:eastAsia="仿宋_GB2312" w:hAnsi="仿宋_GB2312" w:cs="仿宋_GB2312"/>
          <w:sz w:val="32"/>
          <w:szCs w:val="32"/>
          <w:lang w:val="en-US"/>
        </w:rPr>
      </w:pPr>
      <w:r>
        <w:rPr>
          <w:rFonts w:ascii="仿宋_GB2312" w:eastAsia="仿宋_GB2312" w:hAnsi="仿宋_GB2312" w:cs="仿宋_GB2312" w:hint="eastAsia"/>
          <w:sz w:val="32"/>
          <w:szCs w:val="32"/>
          <w:lang w:val="en-US" w:bidi="ar"/>
        </w:rPr>
        <w:t>全市粮油作物全程机械化水平稳步攀升，</w:t>
      </w:r>
      <w:r>
        <w:rPr>
          <w:rFonts w:ascii="仿宋_GB2312" w:eastAsia="仿宋_GB2312" w:hAnsi="仿宋_GB2312" w:cs="仿宋_GB2312" w:hint="eastAsia"/>
          <w:sz w:val="32"/>
          <w:szCs w:val="32"/>
          <w:lang w:val="en-US"/>
        </w:rPr>
        <w:t>特色农业机械化水平显著提高，通过引进、示范各类农业新装备和推广农业机械化技术，有力地推动了全市农机装备水平、作业水平较快提升，</w:t>
      </w:r>
      <w:r>
        <w:rPr>
          <w:rFonts w:ascii="仿宋_GB2312" w:eastAsia="仿宋_GB2312" w:hAnsi="仿宋_GB2312" w:cs="仿宋_GB2312" w:hint="eastAsia"/>
          <w:sz w:val="32"/>
          <w:szCs w:val="32"/>
          <w:lang w:val="en-US" w:bidi="ar"/>
        </w:rPr>
        <w:t>大幅缩减农业用工、提升生产效率。</w:t>
      </w:r>
      <w:r>
        <w:rPr>
          <w:rFonts w:ascii="仿宋_GB2312" w:eastAsia="仿宋_GB2312" w:hAnsi="仿宋_GB2312" w:cs="仿宋_GB2312" w:hint="eastAsia"/>
          <w:sz w:val="32"/>
          <w:szCs w:val="32"/>
          <w:lang w:val="en-US"/>
        </w:rPr>
        <w:t>重点支持粮食生产“无人化农场”、特色农业“机器换人”样板基地，建成一批特色农业机械化示范基地载体，</w:t>
      </w:r>
      <w:r>
        <w:rPr>
          <w:rFonts w:ascii="仿宋_GB2312" w:eastAsia="仿宋_GB2312" w:hAnsi="仿宋_GB2312" w:cs="仿宋_GB2312" w:hint="eastAsia"/>
          <w:sz w:val="32"/>
          <w:szCs w:val="32"/>
          <w:lang w:val="en-US" w:bidi="ar"/>
        </w:rPr>
        <w:t>全年累计建成农机示范基地、粮食</w:t>
      </w:r>
      <w:proofErr w:type="gramStart"/>
      <w:r>
        <w:rPr>
          <w:rFonts w:ascii="仿宋_GB2312" w:eastAsia="仿宋_GB2312" w:hAnsi="仿宋_GB2312" w:cs="仿宋_GB2312" w:hint="eastAsia"/>
          <w:sz w:val="32"/>
          <w:szCs w:val="32"/>
          <w:lang w:val="en-US" w:bidi="ar"/>
        </w:rPr>
        <w:t>无人化</w:t>
      </w:r>
      <w:proofErr w:type="gramEnd"/>
      <w:r>
        <w:rPr>
          <w:rFonts w:ascii="仿宋_GB2312" w:eastAsia="仿宋_GB2312" w:hAnsi="仿宋_GB2312" w:cs="仿宋_GB2312" w:hint="eastAsia"/>
          <w:sz w:val="32"/>
          <w:szCs w:val="32"/>
          <w:lang w:val="en-US" w:bidi="ar"/>
        </w:rPr>
        <w:t>农场22个，超额完成建设任务。</w:t>
      </w:r>
      <w:r>
        <w:rPr>
          <w:rFonts w:ascii="仿宋_GB2312" w:eastAsia="仿宋_GB2312" w:hAnsi="仿宋_GB2312" w:cs="仿宋_GB2312" w:hint="eastAsia"/>
          <w:sz w:val="32"/>
          <w:szCs w:val="32"/>
          <w:lang w:val="en-US"/>
        </w:rPr>
        <w:t>全市农作物耕种</w:t>
      </w:r>
      <w:proofErr w:type="gramStart"/>
      <w:r>
        <w:rPr>
          <w:rFonts w:ascii="仿宋_GB2312" w:eastAsia="仿宋_GB2312" w:hAnsi="仿宋_GB2312" w:cs="仿宋_GB2312" w:hint="eastAsia"/>
          <w:sz w:val="32"/>
          <w:szCs w:val="32"/>
          <w:lang w:val="en-US"/>
        </w:rPr>
        <w:t>收综合</w:t>
      </w:r>
      <w:proofErr w:type="gramEnd"/>
      <w:r>
        <w:rPr>
          <w:rFonts w:ascii="仿宋_GB2312" w:eastAsia="仿宋_GB2312" w:hAnsi="仿宋_GB2312" w:cs="仿宋_GB2312" w:hint="eastAsia"/>
          <w:sz w:val="32"/>
          <w:szCs w:val="32"/>
          <w:lang w:val="en-US"/>
        </w:rPr>
        <w:t>机械化水平达92%，特色农业机械化水平达74%以上。</w:t>
      </w:r>
    </w:p>
    <w:p w:rsidR="006E6B8E" w:rsidRDefault="00A76A9D">
      <w:pPr>
        <w:numPr>
          <w:ilvl w:val="0"/>
          <w:numId w:val="2"/>
        </w:numPr>
        <w:snapToGrid w:val="0"/>
        <w:spacing w:line="560" w:lineRule="exact"/>
        <w:ind w:firstLineChars="200" w:firstLine="643"/>
        <w:rPr>
          <w:rFonts w:ascii="楷体" w:eastAsia="楷体" w:hAnsi="楷体" w:cs="楷体"/>
          <w:b/>
          <w:bCs/>
          <w:sz w:val="32"/>
          <w:szCs w:val="32"/>
        </w:rPr>
      </w:pPr>
      <w:r>
        <w:rPr>
          <w:rFonts w:ascii="楷体" w:eastAsia="楷体" w:hAnsi="楷体" w:cs="楷体" w:hint="eastAsia"/>
          <w:b/>
          <w:bCs/>
          <w:sz w:val="32"/>
          <w:szCs w:val="32"/>
        </w:rPr>
        <w:t>农机报废更新政策落地见效</w:t>
      </w:r>
    </w:p>
    <w:p w:rsidR="006E6B8E" w:rsidRDefault="00A76A9D">
      <w:pPr>
        <w:pStyle w:val="a0"/>
        <w:spacing w:line="560" w:lineRule="exact"/>
        <w:ind w:firstLine="709"/>
        <w:rPr>
          <w:rFonts w:ascii="仿宋_GB2312" w:eastAsia="仿宋_GB2312" w:hAnsi="仿宋_GB2312" w:cs="仿宋_GB2312"/>
          <w:sz w:val="32"/>
          <w:szCs w:val="32"/>
          <w:lang w:val="en-US" w:bidi="ar"/>
        </w:rPr>
      </w:pPr>
      <w:r>
        <w:rPr>
          <w:rFonts w:ascii="仿宋_GB2312" w:eastAsia="仿宋_GB2312" w:hAnsi="仿宋_GB2312" w:cs="仿宋_GB2312" w:hint="eastAsia"/>
          <w:sz w:val="32"/>
          <w:szCs w:val="32"/>
          <w:lang w:val="en-US" w:bidi="ar"/>
        </w:rPr>
        <w:t>推进实施农机报废更新补贴政策，引导经营主体淘汰老旧高耗、低效不安全农机设备，加快推动农机装备迭代升级、绿色换代。全年累计报废更新农机734台，进一步优化了农业装备结构，提升了农机装备整体智能化、绿色化水平。</w:t>
      </w:r>
    </w:p>
    <w:p w:rsidR="006E6B8E" w:rsidRDefault="00A76A9D">
      <w:pPr>
        <w:numPr>
          <w:ilvl w:val="0"/>
          <w:numId w:val="2"/>
        </w:numPr>
        <w:snapToGrid w:val="0"/>
        <w:spacing w:line="560" w:lineRule="exact"/>
        <w:ind w:firstLineChars="200" w:firstLine="643"/>
        <w:rPr>
          <w:rFonts w:ascii="楷体" w:eastAsia="楷体" w:hAnsi="楷体" w:cs="楷体"/>
          <w:b/>
          <w:bCs/>
          <w:sz w:val="32"/>
          <w:szCs w:val="32"/>
        </w:rPr>
      </w:pPr>
      <w:r>
        <w:rPr>
          <w:rFonts w:ascii="楷体" w:eastAsia="楷体" w:hAnsi="楷体" w:cs="楷体" w:hint="eastAsia"/>
          <w:b/>
          <w:bCs/>
          <w:sz w:val="32"/>
          <w:szCs w:val="32"/>
        </w:rPr>
        <w:t>农机社会化服务能力不断增强</w:t>
      </w:r>
    </w:p>
    <w:p w:rsidR="006E6B8E" w:rsidRDefault="00A76A9D">
      <w:pPr>
        <w:pStyle w:val="a0"/>
        <w:spacing w:line="560" w:lineRule="exact"/>
        <w:ind w:firstLine="709"/>
        <w:rPr>
          <w:rFonts w:ascii="仿宋_GB2312" w:eastAsia="仿宋_GB2312" w:hAnsi="仿宋_GB2312" w:cs="仿宋_GB2312"/>
          <w:sz w:val="32"/>
          <w:szCs w:val="32"/>
          <w:lang w:val="en-US" w:bidi="ar"/>
        </w:rPr>
      </w:pPr>
      <w:r>
        <w:rPr>
          <w:rFonts w:ascii="仿宋_GB2312" w:eastAsia="仿宋_GB2312" w:hAnsi="仿宋_GB2312" w:cs="仿宋_GB2312" w:hint="eastAsia"/>
          <w:sz w:val="32"/>
          <w:szCs w:val="32"/>
          <w:lang w:val="en-US" w:bidi="ar"/>
        </w:rPr>
        <w:lastRenderedPageBreak/>
        <w:t>聚力培育农机合作社、家庭农场等新型农业经营服务主体，依托专项资金配套完善标准化农机库房、绿色智能产地烘干中心等基础设施，年度提质改建智能烘干中心11个，大幅提升全市粮食就地仓储、低碳烘干、产后处理能力。通过主体培育、服务赋能双向发力，农机集约化、社会化、专业化服务能力显著增强。</w:t>
      </w:r>
    </w:p>
    <w:p w:rsidR="006E6B8E" w:rsidRDefault="00A76A9D">
      <w:pPr>
        <w:numPr>
          <w:ilvl w:val="0"/>
          <w:numId w:val="2"/>
        </w:numPr>
        <w:snapToGrid w:val="0"/>
        <w:spacing w:line="560" w:lineRule="exact"/>
        <w:ind w:firstLineChars="200" w:firstLine="643"/>
        <w:rPr>
          <w:rFonts w:ascii="楷体" w:eastAsia="楷体" w:hAnsi="楷体" w:cs="楷体"/>
          <w:b/>
          <w:bCs/>
          <w:sz w:val="32"/>
          <w:szCs w:val="32"/>
        </w:rPr>
      </w:pPr>
      <w:r>
        <w:rPr>
          <w:rFonts w:ascii="楷体" w:eastAsia="楷体" w:hAnsi="楷体" w:cs="楷体" w:hint="eastAsia"/>
          <w:b/>
          <w:bCs/>
          <w:sz w:val="32"/>
          <w:szCs w:val="32"/>
        </w:rPr>
        <w:t>农机装备创新应用成效凸显</w:t>
      </w:r>
    </w:p>
    <w:p w:rsidR="006E6B8E" w:rsidRDefault="00A76A9D">
      <w:pPr>
        <w:pStyle w:val="a0"/>
        <w:spacing w:line="560" w:lineRule="exact"/>
        <w:ind w:firstLine="709"/>
        <w:rPr>
          <w:rFonts w:ascii="仿宋_GB2312" w:eastAsia="仿宋_GB2312" w:hAnsi="仿宋_GB2312" w:cs="仿宋_GB2312"/>
          <w:sz w:val="32"/>
          <w:szCs w:val="32"/>
          <w:lang w:val="en-US" w:bidi="ar"/>
        </w:rPr>
      </w:pPr>
      <w:r>
        <w:rPr>
          <w:rFonts w:ascii="仿宋_GB2312" w:eastAsia="仿宋_GB2312" w:hAnsi="仿宋_GB2312" w:cs="仿宋_GB2312" w:hint="eastAsia"/>
          <w:sz w:val="32"/>
          <w:szCs w:val="32"/>
          <w:lang w:val="en-US" w:bidi="ar"/>
        </w:rPr>
        <w:t>市、区农业部门联</w:t>
      </w:r>
      <w:proofErr w:type="gramStart"/>
      <w:r>
        <w:rPr>
          <w:rFonts w:ascii="仿宋_GB2312" w:eastAsia="仿宋_GB2312" w:hAnsi="仿宋_GB2312" w:cs="仿宋_GB2312" w:hint="eastAsia"/>
          <w:sz w:val="32"/>
          <w:szCs w:val="32"/>
          <w:lang w:val="en-US" w:bidi="ar"/>
        </w:rPr>
        <w:t>合有关</w:t>
      </w:r>
      <w:proofErr w:type="gramEnd"/>
      <w:r>
        <w:rPr>
          <w:rFonts w:ascii="仿宋_GB2312" w:eastAsia="仿宋_GB2312" w:hAnsi="仿宋_GB2312" w:cs="仿宋_GB2312" w:hint="eastAsia"/>
          <w:sz w:val="32"/>
          <w:szCs w:val="32"/>
          <w:lang w:val="en-US" w:bidi="ar"/>
        </w:rPr>
        <w:t>科研院所、农机企业，组织实施农机装备与技术创新类项目建设，聚焦特色种养、粮油收获、产地烘干等薄弱环节，攻坚推进农机装备适配短板，加大智能化、绿色化农业装备的创新和示范应用力度，依托新型装备实现</w:t>
      </w:r>
      <w:proofErr w:type="gramStart"/>
      <w:r>
        <w:rPr>
          <w:rFonts w:ascii="仿宋_GB2312" w:eastAsia="仿宋_GB2312" w:hAnsi="仿宋_GB2312" w:cs="仿宋_GB2312" w:hint="eastAsia"/>
          <w:sz w:val="32"/>
          <w:szCs w:val="32"/>
          <w:lang w:val="en-US" w:bidi="ar"/>
        </w:rPr>
        <w:t>粮油机</w:t>
      </w:r>
      <w:proofErr w:type="gramEnd"/>
      <w:r>
        <w:rPr>
          <w:rFonts w:ascii="仿宋_GB2312" w:eastAsia="仿宋_GB2312" w:hAnsi="仿宋_GB2312" w:cs="仿宋_GB2312" w:hint="eastAsia"/>
          <w:sz w:val="32"/>
          <w:szCs w:val="32"/>
          <w:lang w:val="en-US" w:bidi="ar"/>
        </w:rPr>
        <w:t>收损耗大幅压降，全方位助力农业生产降人工、减损耗、提产能，助力农业实现节本增效。</w:t>
      </w:r>
    </w:p>
    <w:bookmarkEnd w:id="13"/>
    <w:p w:rsidR="006E6B8E" w:rsidRPr="000D0EE3" w:rsidRDefault="00A76A9D" w:rsidP="000D0EE3">
      <w:pPr>
        <w:pStyle w:val="2"/>
        <w:ind w:firstLine="640"/>
        <w:rPr>
          <w:rFonts w:ascii="Times New Roman" w:eastAsia="黑体" w:hAnsi="Times New Roman" w:cs="Times New Roman"/>
          <w:b w:val="0"/>
          <w:bCs w:val="0"/>
          <w:sz w:val="32"/>
        </w:rPr>
      </w:pPr>
      <w:r w:rsidRPr="000D0EE3">
        <w:rPr>
          <w:rFonts w:ascii="Times New Roman" w:eastAsia="黑体" w:hAnsi="Times New Roman" w:cs="Times New Roman" w:hint="eastAsia"/>
          <w:b w:val="0"/>
          <w:bCs w:val="0"/>
          <w:sz w:val="32"/>
        </w:rPr>
        <w:t>四</w:t>
      </w:r>
      <w:r w:rsidRPr="000D0EE3">
        <w:rPr>
          <w:rFonts w:ascii="Times New Roman" w:eastAsia="黑体" w:hAnsi="Times New Roman" w:cs="Times New Roman"/>
          <w:b w:val="0"/>
          <w:bCs w:val="0"/>
          <w:sz w:val="32"/>
        </w:rPr>
        <w:t>、存在的</w:t>
      </w:r>
      <w:r w:rsidRPr="000D0EE3">
        <w:rPr>
          <w:rFonts w:ascii="Times New Roman" w:eastAsia="黑体" w:hAnsi="Times New Roman" w:cs="Times New Roman" w:hint="eastAsia"/>
          <w:b w:val="0"/>
          <w:bCs w:val="0"/>
          <w:sz w:val="32"/>
        </w:rPr>
        <w:t>主要</w:t>
      </w:r>
      <w:r w:rsidRPr="000D0EE3">
        <w:rPr>
          <w:rFonts w:ascii="Times New Roman" w:eastAsia="黑体" w:hAnsi="Times New Roman" w:cs="Times New Roman"/>
          <w:b w:val="0"/>
          <w:bCs w:val="0"/>
          <w:sz w:val="32"/>
        </w:rPr>
        <w:t>问题</w:t>
      </w:r>
    </w:p>
    <w:p w:rsidR="006E6B8E" w:rsidRDefault="00A76A9D" w:rsidP="000D0EE3">
      <w:pPr>
        <w:snapToGrid w:val="0"/>
        <w:spacing w:line="560" w:lineRule="exact"/>
        <w:ind w:leftChars="200" w:left="420"/>
        <w:rPr>
          <w:rFonts w:ascii="楷体" w:eastAsia="楷体" w:hAnsi="楷体" w:cs="楷体"/>
          <w:b/>
          <w:bCs/>
          <w:sz w:val="32"/>
          <w:szCs w:val="32"/>
        </w:rPr>
      </w:pPr>
      <w:bookmarkStart w:id="14" w:name="_Hlk233212625"/>
      <w:r>
        <w:rPr>
          <w:rFonts w:ascii="楷体" w:eastAsia="楷体" w:hAnsi="楷体" w:cs="楷体"/>
          <w:b/>
          <w:bCs/>
          <w:sz w:val="32"/>
          <w:szCs w:val="32"/>
        </w:rPr>
        <w:t>（一）项目</w:t>
      </w:r>
      <w:r>
        <w:rPr>
          <w:rFonts w:ascii="楷体" w:eastAsia="楷体" w:hAnsi="楷体" w:cs="楷体" w:hint="eastAsia"/>
          <w:b/>
          <w:bCs/>
          <w:sz w:val="32"/>
          <w:szCs w:val="32"/>
        </w:rPr>
        <w:t>实施进度偏缓，</w:t>
      </w:r>
      <w:r>
        <w:rPr>
          <w:rFonts w:ascii="楷体" w:eastAsia="楷体" w:hAnsi="楷体" w:cs="楷体"/>
          <w:b/>
          <w:bCs/>
          <w:sz w:val="32"/>
          <w:szCs w:val="32"/>
        </w:rPr>
        <w:t>预算执行</w:t>
      </w:r>
      <w:r>
        <w:rPr>
          <w:rFonts w:ascii="楷体" w:eastAsia="楷体" w:hAnsi="楷体" w:cs="楷体" w:hint="eastAsia"/>
          <w:b/>
          <w:bCs/>
          <w:sz w:val="32"/>
          <w:szCs w:val="32"/>
        </w:rPr>
        <w:t>和</w:t>
      </w:r>
      <w:r>
        <w:rPr>
          <w:rFonts w:ascii="楷体" w:eastAsia="楷体" w:hAnsi="楷体" w:cs="楷体"/>
          <w:b/>
          <w:bCs/>
          <w:sz w:val="32"/>
          <w:szCs w:val="32"/>
        </w:rPr>
        <w:t>验收</w:t>
      </w:r>
      <w:r>
        <w:rPr>
          <w:rFonts w:ascii="楷体" w:eastAsia="楷体" w:hAnsi="楷体" w:cs="楷体" w:hint="eastAsia"/>
          <w:b/>
          <w:bCs/>
          <w:sz w:val="32"/>
          <w:szCs w:val="32"/>
        </w:rPr>
        <w:t>效率有待提升</w:t>
      </w:r>
    </w:p>
    <w:p w:rsidR="006E6B8E" w:rsidRDefault="00A76A9D">
      <w:pPr>
        <w:pStyle w:val="a0"/>
        <w:spacing w:line="560" w:lineRule="exact"/>
        <w:ind w:firstLine="709"/>
        <w:rPr>
          <w:rFonts w:ascii="仿宋_GB2312" w:eastAsia="仿宋_GB2312" w:hAnsi="仿宋_GB2312" w:cs="仿宋_GB2312"/>
          <w:sz w:val="32"/>
          <w:szCs w:val="32"/>
          <w:lang w:val="en-US" w:bidi="ar"/>
        </w:rPr>
      </w:pPr>
      <w:r>
        <w:rPr>
          <w:rFonts w:ascii="仿宋_GB2312" w:eastAsia="仿宋_GB2312" w:hAnsi="仿宋_GB2312" w:cs="仿宋_GB2312" w:hint="eastAsia"/>
          <w:sz w:val="32"/>
          <w:szCs w:val="32"/>
          <w:lang w:val="en-US" w:bidi="ar"/>
        </w:rPr>
        <w:t>部分区级项目因申报、立项批复时间较晚，导致实施进度偏慢；部分项目因实施过程的特殊情况导致项目延期建设；整体项目验收率偏低，加上项目实行“先建后补”兑付机制，财政补助资金支付进度滞后，预算执行率偏低。</w:t>
      </w:r>
    </w:p>
    <w:p w:rsidR="006E6B8E" w:rsidRDefault="00A76A9D">
      <w:pPr>
        <w:snapToGrid w:val="0"/>
        <w:spacing w:line="560" w:lineRule="exact"/>
        <w:ind w:firstLineChars="200" w:firstLine="643"/>
        <w:rPr>
          <w:rFonts w:ascii="楷体" w:eastAsia="楷体" w:hAnsi="楷体" w:cs="楷体"/>
          <w:b/>
          <w:bCs/>
          <w:sz w:val="32"/>
          <w:szCs w:val="32"/>
        </w:rPr>
      </w:pPr>
      <w:r>
        <w:rPr>
          <w:rFonts w:ascii="楷体" w:eastAsia="楷体" w:hAnsi="楷体" w:cs="楷体" w:hint="eastAsia"/>
          <w:b/>
          <w:bCs/>
          <w:sz w:val="32"/>
          <w:szCs w:val="32"/>
        </w:rPr>
        <w:t>（二）部分</w:t>
      </w:r>
      <w:r>
        <w:rPr>
          <w:rFonts w:ascii="楷体" w:eastAsia="楷体" w:hAnsi="楷体" w:cs="楷体"/>
          <w:b/>
          <w:bCs/>
          <w:sz w:val="32"/>
          <w:szCs w:val="32"/>
        </w:rPr>
        <w:t>单体项目绩效目标精细化不足，量化考评难度较大</w:t>
      </w:r>
    </w:p>
    <w:p w:rsidR="006E6B8E" w:rsidRDefault="00A76A9D">
      <w:pPr>
        <w:pStyle w:val="a0"/>
        <w:spacing w:line="560" w:lineRule="exact"/>
        <w:ind w:firstLine="709"/>
        <w:rPr>
          <w:rFonts w:ascii="仿宋_GB2312" w:eastAsia="仿宋_GB2312" w:hAnsi="仿宋_GB2312" w:cs="仿宋_GB2312"/>
          <w:sz w:val="32"/>
          <w:szCs w:val="32"/>
          <w:lang w:val="en-US" w:bidi="ar"/>
        </w:rPr>
      </w:pPr>
      <w:r>
        <w:rPr>
          <w:rFonts w:ascii="仿宋_GB2312" w:eastAsia="仿宋_GB2312" w:hAnsi="仿宋_GB2312" w:cs="仿宋_GB2312" w:hint="eastAsia"/>
          <w:sz w:val="32"/>
          <w:szCs w:val="32"/>
          <w:lang w:val="en-US" w:bidi="ar"/>
        </w:rPr>
        <w:t>部分单体项目编设的个性绩效目标完成情况不易衡量。部分区立项批复的项目中，少数项目绩效目标笼统模糊，缺乏衡量标准，效益指标量化不足，如投入产出比、回收期、</w:t>
      </w:r>
      <w:r>
        <w:rPr>
          <w:rFonts w:ascii="仿宋_GB2312" w:eastAsia="仿宋_GB2312" w:hAnsi="仿宋_GB2312" w:cs="仿宋_GB2312" w:hint="eastAsia"/>
          <w:sz w:val="32"/>
          <w:szCs w:val="32"/>
          <w:lang w:val="en-US" w:bidi="ar"/>
        </w:rPr>
        <w:lastRenderedPageBreak/>
        <w:t>农户增收等指标具有期限性，审计、验收也无法准确判断目标实现与否，</w:t>
      </w:r>
      <w:bookmarkEnd w:id="14"/>
      <w:r>
        <w:rPr>
          <w:rFonts w:ascii="仿宋_GB2312" w:eastAsia="仿宋_GB2312" w:hAnsi="仿宋_GB2312" w:cs="仿宋_GB2312" w:hint="eastAsia"/>
          <w:sz w:val="32"/>
          <w:szCs w:val="32"/>
          <w:lang w:val="en-US" w:bidi="ar"/>
        </w:rPr>
        <w:t>一定程度上影响整体绩效评价的科学性、精准性和全面性。</w:t>
      </w:r>
    </w:p>
    <w:p w:rsidR="006E6B8E" w:rsidRDefault="00A76A9D">
      <w:pPr>
        <w:pStyle w:val="2"/>
        <w:ind w:firstLine="640"/>
        <w:rPr>
          <w:rFonts w:ascii="Times New Roman" w:eastAsia="黑体" w:hAnsi="Times New Roman" w:cs="Times New Roman"/>
          <w:b w:val="0"/>
          <w:bCs w:val="0"/>
          <w:sz w:val="32"/>
        </w:rPr>
      </w:pPr>
      <w:r>
        <w:rPr>
          <w:rFonts w:ascii="Times New Roman" w:eastAsia="黑体" w:hAnsi="Times New Roman" w:cs="Times New Roman" w:hint="eastAsia"/>
          <w:b w:val="0"/>
          <w:bCs w:val="0"/>
          <w:sz w:val="32"/>
        </w:rPr>
        <w:t>五</w:t>
      </w:r>
      <w:r>
        <w:rPr>
          <w:rFonts w:ascii="Times New Roman" w:eastAsia="黑体" w:hAnsi="Times New Roman" w:cs="Times New Roman"/>
          <w:b w:val="0"/>
          <w:bCs w:val="0"/>
          <w:sz w:val="32"/>
        </w:rPr>
        <w:t>、</w:t>
      </w:r>
      <w:r>
        <w:rPr>
          <w:rFonts w:ascii="Times New Roman" w:eastAsia="黑体" w:hAnsi="Times New Roman" w:cs="Times New Roman" w:hint="eastAsia"/>
          <w:b w:val="0"/>
          <w:bCs w:val="0"/>
          <w:sz w:val="32"/>
        </w:rPr>
        <w:t>有关</w:t>
      </w:r>
      <w:r>
        <w:rPr>
          <w:rFonts w:ascii="Times New Roman" w:eastAsia="黑体" w:hAnsi="Times New Roman" w:cs="Times New Roman"/>
          <w:b w:val="0"/>
          <w:bCs w:val="0"/>
          <w:sz w:val="32"/>
        </w:rPr>
        <w:t>建议</w:t>
      </w:r>
    </w:p>
    <w:p w:rsidR="006E6B8E" w:rsidRDefault="00A76A9D">
      <w:pPr>
        <w:snapToGrid w:val="0"/>
        <w:spacing w:line="560" w:lineRule="exact"/>
        <w:ind w:firstLineChars="200" w:firstLine="643"/>
        <w:rPr>
          <w:rFonts w:ascii="楷体" w:eastAsia="楷体" w:hAnsi="楷体" w:cs="楷体"/>
          <w:b/>
          <w:bCs/>
          <w:sz w:val="32"/>
          <w:szCs w:val="32"/>
        </w:rPr>
      </w:pPr>
      <w:bookmarkStart w:id="15" w:name="_Hlk233212718"/>
      <w:r>
        <w:rPr>
          <w:rFonts w:ascii="楷体" w:eastAsia="楷体" w:hAnsi="楷体" w:cs="楷体" w:hint="eastAsia"/>
          <w:b/>
          <w:bCs/>
          <w:sz w:val="32"/>
          <w:szCs w:val="32"/>
        </w:rPr>
        <w:t>（一）加强项目和资金管理，提速项目验收与资金拨付</w:t>
      </w:r>
    </w:p>
    <w:p w:rsidR="006E6B8E" w:rsidRDefault="00A76A9D">
      <w:pPr>
        <w:pStyle w:val="a0"/>
        <w:spacing w:line="560" w:lineRule="exact"/>
        <w:ind w:firstLine="709"/>
        <w:rPr>
          <w:rFonts w:ascii="仿宋_GB2312" w:eastAsia="仿宋_GB2312" w:hAnsi="仿宋_GB2312" w:cs="仿宋_GB2312"/>
          <w:sz w:val="32"/>
          <w:szCs w:val="32"/>
          <w:lang w:val="en-US" w:bidi="ar"/>
        </w:rPr>
      </w:pPr>
      <w:r>
        <w:rPr>
          <w:rFonts w:ascii="仿宋_GB2312" w:eastAsia="仿宋_GB2312" w:hAnsi="仿宋_GB2312" w:cs="仿宋_GB2312" w:hint="eastAsia"/>
          <w:sz w:val="32"/>
          <w:szCs w:val="32"/>
          <w:lang w:val="en-US" w:bidi="ar"/>
        </w:rPr>
        <w:t>区级农业农村部门要认真按照有关规定和办法，及时组织项目申报、评审、立项批复等，并对项目实施加强指导、督查和推进，督促项目建设单位强化管理，确保项目顺利实施和验收。项目实施单位应根据实际变化情况合理调整项目实施内容，并及时申请变更项目实施方案。项目主管部门对已完工的项目要及时组织项目审计、验收。对未及时完成的项目要做好跟踪管理，督促项目单位加快项目建设进度。针对项目建设进度不同的实际情况，各区可组织分批验收。对于验收通过的项目要尽快兑付项目财政补助资金。</w:t>
      </w:r>
    </w:p>
    <w:p w:rsidR="006E6B8E" w:rsidRDefault="00A76A9D">
      <w:pPr>
        <w:snapToGrid w:val="0"/>
        <w:spacing w:line="560" w:lineRule="exact"/>
        <w:ind w:firstLineChars="200" w:firstLine="643"/>
        <w:rPr>
          <w:rFonts w:ascii="楷体" w:eastAsia="楷体" w:hAnsi="楷体" w:cs="楷体"/>
          <w:b/>
          <w:bCs/>
          <w:sz w:val="32"/>
          <w:szCs w:val="32"/>
        </w:rPr>
      </w:pPr>
      <w:r>
        <w:rPr>
          <w:rFonts w:ascii="楷体" w:eastAsia="楷体" w:hAnsi="楷体" w:cs="楷体" w:hint="eastAsia"/>
          <w:b/>
          <w:bCs/>
          <w:sz w:val="32"/>
          <w:szCs w:val="32"/>
        </w:rPr>
        <w:t>（二）细化绩效目标编制，提升绩效管理精细化水平</w:t>
      </w:r>
    </w:p>
    <w:p w:rsidR="006E6B8E" w:rsidRDefault="00A76A9D">
      <w:pPr>
        <w:pStyle w:val="a0"/>
        <w:spacing w:line="560" w:lineRule="exact"/>
        <w:ind w:firstLine="709"/>
        <w:rPr>
          <w:rFonts w:ascii="仿宋_GB2312" w:eastAsia="仿宋_GB2312" w:hAnsi="仿宋_GB2312" w:cs="仿宋_GB2312"/>
          <w:sz w:val="32"/>
          <w:szCs w:val="32"/>
          <w:lang w:val="en-US" w:bidi="ar"/>
        </w:rPr>
      </w:pPr>
      <w:r>
        <w:rPr>
          <w:rFonts w:ascii="仿宋_GB2312" w:eastAsia="仿宋_GB2312" w:hAnsi="仿宋_GB2312" w:cs="仿宋_GB2312" w:hint="eastAsia"/>
          <w:sz w:val="32"/>
          <w:szCs w:val="32"/>
          <w:lang w:val="en-US" w:bidi="ar"/>
        </w:rPr>
        <w:t>单体项目绩效指标是对总体绩效目标的分解和细化，用于衡量总体绩效目标的预期实现情况。区级农业农村部门在组织各项</w:t>
      </w:r>
      <w:proofErr w:type="gramStart"/>
      <w:r>
        <w:rPr>
          <w:rFonts w:ascii="仿宋_GB2312" w:eastAsia="仿宋_GB2312" w:hAnsi="仿宋_GB2312" w:cs="仿宋_GB2312" w:hint="eastAsia"/>
          <w:sz w:val="32"/>
          <w:szCs w:val="32"/>
          <w:lang w:val="en-US" w:bidi="ar"/>
        </w:rPr>
        <w:t>目实施</w:t>
      </w:r>
      <w:proofErr w:type="gramEnd"/>
      <w:r>
        <w:rPr>
          <w:rFonts w:ascii="仿宋_GB2312" w:eastAsia="仿宋_GB2312" w:hAnsi="仿宋_GB2312" w:cs="仿宋_GB2312" w:hint="eastAsia"/>
          <w:sz w:val="32"/>
          <w:szCs w:val="32"/>
          <w:lang w:val="en-US" w:bidi="ar"/>
        </w:rPr>
        <w:t>单位编制实施方案时，应采用定量和定性相结合的方式对绩效目标进行描述，全面反映项目绩效，强化绩效目标对项目实施的引导、约束作用，提升绩效管理水平。并在绩效目标的基础上细化和量化，设置科学合理的绩效指标，绩效指标应具体、可衡量，充分反映项目目标和特点。同时对设定的绩效指标</w:t>
      </w:r>
      <w:proofErr w:type="gramStart"/>
      <w:r>
        <w:rPr>
          <w:rFonts w:ascii="仿宋_GB2312" w:eastAsia="仿宋_GB2312" w:hAnsi="仿宋_GB2312" w:cs="仿宋_GB2312" w:hint="eastAsia"/>
          <w:sz w:val="32"/>
          <w:szCs w:val="32"/>
          <w:lang w:val="en-US" w:bidi="ar"/>
        </w:rPr>
        <w:t>值开展</w:t>
      </w:r>
      <w:proofErr w:type="gramEnd"/>
      <w:r>
        <w:rPr>
          <w:rFonts w:ascii="仿宋_GB2312" w:eastAsia="仿宋_GB2312" w:hAnsi="仿宋_GB2312" w:cs="仿宋_GB2312" w:hint="eastAsia"/>
          <w:sz w:val="32"/>
          <w:szCs w:val="32"/>
          <w:lang w:val="en-US" w:bidi="ar"/>
        </w:rPr>
        <w:t>充分调查研究和合理测算，同时考虑历史标准水平，以精准绩效管理倒</w:t>
      </w:r>
      <w:proofErr w:type="gramStart"/>
      <w:r>
        <w:rPr>
          <w:rFonts w:ascii="仿宋_GB2312" w:eastAsia="仿宋_GB2312" w:hAnsi="仿宋_GB2312" w:cs="仿宋_GB2312" w:hint="eastAsia"/>
          <w:sz w:val="32"/>
          <w:szCs w:val="32"/>
          <w:lang w:val="en-US" w:bidi="ar"/>
        </w:rPr>
        <w:t>逼项目提</w:t>
      </w:r>
      <w:proofErr w:type="gramEnd"/>
      <w:r>
        <w:rPr>
          <w:rFonts w:ascii="仿宋_GB2312" w:eastAsia="仿宋_GB2312" w:hAnsi="仿宋_GB2312" w:cs="仿宋_GB2312" w:hint="eastAsia"/>
          <w:sz w:val="32"/>
          <w:szCs w:val="32"/>
          <w:lang w:val="en-US" w:bidi="ar"/>
        </w:rPr>
        <w:t>质增效，</w:t>
      </w:r>
      <w:r>
        <w:rPr>
          <w:rFonts w:ascii="仿宋_GB2312" w:eastAsia="仿宋_GB2312" w:hAnsi="仿宋_GB2312" w:cs="仿宋_GB2312" w:hint="eastAsia"/>
          <w:sz w:val="32"/>
          <w:szCs w:val="32"/>
          <w:lang w:val="en-US" w:bidi="ar"/>
        </w:rPr>
        <w:lastRenderedPageBreak/>
        <w:t>确定合理的绩效目标值。</w:t>
      </w:r>
    </w:p>
    <w:bookmarkEnd w:id="15"/>
    <w:p w:rsidR="006E6B8E" w:rsidRPr="0003174F" w:rsidRDefault="00A76A9D" w:rsidP="0003174F">
      <w:pPr>
        <w:pStyle w:val="2"/>
        <w:ind w:firstLine="640"/>
        <w:rPr>
          <w:rFonts w:ascii="Times New Roman" w:eastAsia="黑体" w:hAnsi="Times New Roman" w:cs="Times New Roman"/>
          <w:b w:val="0"/>
          <w:bCs w:val="0"/>
          <w:sz w:val="32"/>
        </w:rPr>
      </w:pPr>
      <w:r w:rsidRPr="0003174F">
        <w:rPr>
          <w:rFonts w:ascii="Times New Roman" w:eastAsia="黑体" w:hAnsi="Times New Roman" w:cs="Times New Roman" w:hint="eastAsia"/>
          <w:b w:val="0"/>
          <w:bCs w:val="0"/>
          <w:sz w:val="32"/>
        </w:rPr>
        <w:t>六、评价工作开展情况及其他需要说明的情况</w:t>
      </w:r>
    </w:p>
    <w:p w:rsidR="006E6B8E" w:rsidRDefault="00A76A9D" w:rsidP="000D0EE3">
      <w:pPr>
        <w:pStyle w:val="1"/>
        <w:ind w:firstLine="640"/>
        <w:rPr>
          <w:rFonts w:ascii="仿宋_GB2312" w:eastAsia="仿宋_GB2312" w:hAnsi="仿宋_GB2312" w:cs="仿宋_GB2312"/>
          <w:b w:val="0"/>
          <w:bCs w:val="0"/>
          <w:kern w:val="2"/>
          <w:szCs w:val="32"/>
          <w:lang w:bidi="ar"/>
        </w:rPr>
      </w:pPr>
      <w:bookmarkStart w:id="16" w:name="_Toc139007073"/>
      <w:bookmarkStart w:id="17" w:name="_Toc205393187"/>
      <w:r>
        <w:rPr>
          <w:rFonts w:ascii="仿宋_GB2312" w:eastAsia="仿宋_GB2312" w:hAnsi="仿宋_GB2312" w:cs="仿宋_GB2312" w:hint="eastAsia"/>
          <w:b w:val="0"/>
          <w:bCs w:val="0"/>
          <w:kern w:val="2"/>
          <w:szCs w:val="32"/>
          <w:lang w:bidi="ar"/>
        </w:rPr>
        <w:t>附表：</w:t>
      </w:r>
      <w:bookmarkEnd w:id="16"/>
      <w:r>
        <w:rPr>
          <w:rFonts w:ascii="仿宋_GB2312" w:eastAsia="仿宋_GB2312" w:hAnsi="仿宋_GB2312" w:cs="仿宋_GB2312" w:hint="eastAsia"/>
          <w:b w:val="0"/>
          <w:bCs w:val="0"/>
          <w:kern w:val="2"/>
          <w:szCs w:val="32"/>
          <w:lang w:bidi="ar"/>
        </w:rPr>
        <w:t>2025年度南京市农业机械化项目支出绩效自评情况表</w:t>
      </w:r>
      <w:bookmarkEnd w:id="17"/>
      <w:r>
        <w:rPr>
          <w:rFonts w:ascii="仿宋_GB2312" w:eastAsia="仿宋_GB2312" w:hAnsi="仿宋_GB2312" w:cs="仿宋_GB2312" w:hint="eastAsia"/>
          <w:b w:val="0"/>
          <w:bCs w:val="0"/>
          <w:kern w:val="2"/>
          <w:szCs w:val="32"/>
          <w:lang w:bidi="ar"/>
        </w:rPr>
        <w:t xml:space="preserve"> </w:t>
      </w:r>
    </w:p>
    <w:p w:rsidR="006E6B8E" w:rsidRDefault="006E6B8E"/>
    <w:p w:rsidR="006E6B8E" w:rsidRDefault="00A76A9D">
      <w:pPr>
        <w:spacing w:line="360" w:lineRule="auto"/>
        <w:rPr>
          <w:rFonts w:ascii="Times New Roman" w:eastAsia="仿宋" w:hAnsi="Times New Roman" w:cs="Times New Roman"/>
          <w:b/>
          <w:bCs/>
          <w:sz w:val="28"/>
          <w:szCs w:val="44"/>
        </w:rPr>
        <w:sectPr w:rsidR="006E6B8E">
          <w:footerReference w:type="default" r:id="rId8"/>
          <w:pgSz w:w="11906" w:h="16838"/>
          <w:pgMar w:top="1440" w:right="1797" w:bottom="1440" w:left="1797" w:header="851" w:footer="992" w:gutter="0"/>
          <w:pgNumType w:start="0"/>
          <w:cols w:space="425"/>
          <w:titlePg/>
          <w:docGrid w:type="lines" w:linePitch="312"/>
        </w:sectPr>
      </w:pPr>
      <w:r>
        <w:rPr>
          <w:rFonts w:ascii="Times New Roman" w:eastAsia="仿宋" w:hAnsi="Times New Roman" w:cs="Times New Roman"/>
          <w:sz w:val="32"/>
          <w:szCs w:val="36"/>
        </w:rPr>
        <w:tab/>
      </w:r>
      <w:r>
        <w:rPr>
          <w:rFonts w:ascii="Times New Roman" w:eastAsia="仿宋" w:hAnsi="Times New Roman" w:cs="Times New Roman"/>
          <w:sz w:val="32"/>
          <w:szCs w:val="36"/>
        </w:rPr>
        <w:tab/>
      </w:r>
      <w:r>
        <w:rPr>
          <w:rFonts w:ascii="Times New Roman" w:eastAsia="仿宋" w:hAnsi="Times New Roman" w:cs="Times New Roman"/>
          <w:sz w:val="32"/>
          <w:szCs w:val="36"/>
        </w:rPr>
        <w:tab/>
      </w:r>
      <w:r>
        <w:rPr>
          <w:rFonts w:ascii="Times New Roman" w:eastAsia="仿宋" w:hAnsi="Times New Roman" w:cs="Times New Roman"/>
          <w:sz w:val="32"/>
          <w:szCs w:val="36"/>
        </w:rPr>
        <w:tab/>
      </w:r>
      <w:r>
        <w:rPr>
          <w:rFonts w:ascii="Times New Roman" w:eastAsia="仿宋" w:hAnsi="Times New Roman" w:cs="Times New Roman"/>
          <w:sz w:val="32"/>
          <w:szCs w:val="36"/>
        </w:rPr>
        <w:tab/>
      </w:r>
      <w:r>
        <w:rPr>
          <w:rFonts w:ascii="Times New Roman" w:eastAsia="仿宋" w:hAnsi="Times New Roman" w:cs="Times New Roman"/>
          <w:sz w:val="32"/>
          <w:szCs w:val="36"/>
        </w:rPr>
        <w:tab/>
      </w:r>
      <w:r>
        <w:rPr>
          <w:rFonts w:ascii="Times New Roman" w:eastAsia="仿宋" w:hAnsi="Times New Roman" w:cs="Times New Roman"/>
          <w:sz w:val="32"/>
          <w:szCs w:val="36"/>
        </w:rPr>
        <w:tab/>
      </w:r>
      <w:r>
        <w:rPr>
          <w:rFonts w:ascii="Times New Roman" w:eastAsia="仿宋" w:hAnsi="Times New Roman" w:cs="Times New Roman"/>
          <w:sz w:val="32"/>
          <w:szCs w:val="36"/>
        </w:rPr>
        <w:tab/>
      </w:r>
      <w:r>
        <w:rPr>
          <w:rFonts w:ascii="Times New Roman" w:eastAsia="仿宋" w:hAnsi="Times New Roman" w:cs="Times New Roman"/>
          <w:sz w:val="32"/>
          <w:szCs w:val="36"/>
        </w:rPr>
        <w:tab/>
      </w:r>
      <w:r>
        <w:rPr>
          <w:rFonts w:ascii="Times New Roman" w:eastAsia="仿宋" w:hAnsi="Times New Roman" w:cs="Times New Roman"/>
          <w:sz w:val="32"/>
          <w:szCs w:val="36"/>
        </w:rPr>
        <w:tab/>
      </w:r>
      <w:r>
        <w:rPr>
          <w:rFonts w:ascii="Times New Roman" w:eastAsia="仿宋" w:hAnsi="Times New Roman" w:cs="Times New Roman" w:hint="eastAsia"/>
          <w:sz w:val="32"/>
          <w:szCs w:val="36"/>
        </w:rPr>
        <w:t xml:space="preserve">      </w:t>
      </w:r>
      <w:r>
        <w:rPr>
          <w:rFonts w:ascii="仿宋_GB2312" w:eastAsia="仿宋_GB2312" w:hAnsi="仿宋_GB2312" w:cs="仿宋_GB2312" w:hint="eastAsia"/>
          <w:sz w:val="32"/>
          <w:szCs w:val="32"/>
          <w:lang w:bidi="ar"/>
        </w:rPr>
        <w:t>2026年6月25日</w:t>
      </w:r>
    </w:p>
    <w:p w:rsidR="006E6B8E" w:rsidRDefault="00A76A9D">
      <w:pPr>
        <w:rPr>
          <w:rFonts w:ascii="仿宋_GB2312" w:eastAsia="仿宋_GB2312" w:hAnsi="宋体"/>
          <w:b/>
          <w:bCs/>
          <w:sz w:val="30"/>
          <w:szCs w:val="30"/>
        </w:rPr>
      </w:pPr>
      <w:bookmarkStart w:id="18" w:name="_Hlk233213051"/>
      <w:r>
        <w:rPr>
          <w:rFonts w:ascii="仿宋_GB2312" w:eastAsia="仿宋_GB2312" w:hAnsi="宋体" w:hint="eastAsia"/>
          <w:b/>
          <w:bCs/>
          <w:sz w:val="30"/>
          <w:szCs w:val="30"/>
        </w:rPr>
        <w:lastRenderedPageBreak/>
        <w:t>附表：</w:t>
      </w:r>
    </w:p>
    <w:p w:rsidR="006E6B8E" w:rsidRDefault="00A76A9D">
      <w:pPr>
        <w:jc w:val="center"/>
        <w:rPr>
          <w:rFonts w:ascii="方正小标宋_GBK" w:eastAsia="方正小标宋_GBK"/>
          <w:sz w:val="36"/>
          <w:szCs w:val="36"/>
        </w:rPr>
      </w:pPr>
      <w:r>
        <w:rPr>
          <w:rFonts w:ascii="方正小标宋_GBK" w:eastAsia="方正小标宋_GBK" w:hint="eastAsia"/>
          <w:sz w:val="36"/>
          <w:szCs w:val="36"/>
        </w:rPr>
        <w:t>2025年度南京市农业机械化项目支出绩效</w:t>
      </w:r>
      <w:proofErr w:type="gramStart"/>
      <w:r>
        <w:rPr>
          <w:rFonts w:ascii="方正小标宋_GBK" w:eastAsia="方正小标宋_GBK" w:hint="eastAsia"/>
          <w:sz w:val="36"/>
          <w:szCs w:val="36"/>
        </w:rPr>
        <w:t>自评价</w:t>
      </w:r>
      <w:proofErr w:type="gramEnd"/>
      <w:r>
        <w:rPr>
          <w:rFonts w:ascii="方正小标宋_GBK" w:eastAsia="方正小标宋_GBK" w:hint="eastAsia"/>
          <w:sz w:val="36"/>
          <w:szCs w:val="36"/>
        </w:rPr>
        <w:t>情况表</w:t>
      </w:r>
    </w:p>
    <w:p w:rsidR="006E6B8E" w:rsidRDefault="006E6B8E"/>
    <w:tbl>
      <w:tblPr>
        <w:tblW w:w="15040" w:type="dxa"/>
        <w:tblLayout w:type="fixed"/>
        <w:tblLook w:val="04A0" w:firstRow="1" w:lastRow="0" w:firstColumn="1" w:lastColumn="0" w:noHBand="0" w:noVBand="1"/>
      </w:tblPr>
      <w:tblGrid>
        <w:gridCol w:w="747"/>
        <w:gridCol w:w="1052"/>
        <w:gridCol w:w="1798"/>
        <w:gridCol w:w="1367"/>
        <w:gridCol w:w="1286"/>
        <w:gridCol w:w="1095"/>
        <w:gridCol w:w="885"/>
        <w:gridCol w:w="4600"/>
        <w:gridCol w:w="2210"/>
      </w:tblGrid>
      <w:tr w:rsidR="006E6B8E">
        <w:trPr>
          <w:trHeight w:val="380"/>
          <w:tblHeader/>
        </w:trPr>
        <w:tc>
          <w:tcPr>
            <w:tcW w:w="3597" w:type="dxa"/>
            <w:gridSpan w:val="3"/>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4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评价指标</w:t>
            </w:r>
          </w:p>
        </w:tc>
        <w:tc>
          <w:tcPr>
            <w:tcW w:w="1367" w:type="dxa"/>
            <w:vMerge w:val="restart"/>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4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年初指标值</w:t>
            </w:r>
          </w:p>
        </w:tc>
        <w:tc>
          <w:tcPr>
            <w:tcW w:w="1286" w:type="dxa"/>
            <w:vMerge w:val="restart"/>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4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实际完成值</w:t>
            </w:r>
          </w:p>
        </w:tc>
        <w:tc>
          <w:tcPr>
            <w:tcW w:w="1095" w:type="dxa"/>
            <w:vMerge w:val="restart"/>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4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权重</w:t>
            </w:r>
          </w:p>
        </w:tc>
        <w:tc>
          <w:tcPr>
            <w:tcW w:w="885" w:type="dxa"/>
            <w:vMerge w:val="restart"/>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4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得分</w:t>
            </w:r>
          </w:p>
        </w:tc>
        <w:tc>
          <w:tcPr>
            <w:tcW w:w="4600" w:type="dxa"/>
            <w:vMerge w:val="restart"/>
            <w:tcBorders>
              <w:top w:val="single" w:sz="4" w:space="0" w:color="000000"/>
              <w:left w:val="single" w:sz="4" w:space="0" w:color="000000"/>
              <w:right w:val="single" w:sz="4" w:space="0" w:color="000000"/>
            </w:tcBorders>
            <w:vAlign w:val="center"/>
          </w:tcPr>
          <w:p w:rsidR="006E6B8E" w:rsidRDefault="00A76A9D">
            <w:pPr>
              <w:widowControl/>
              <w:spacing w:line="24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评分依据</w:t>
            </w:r>
          </w:p>
        </w:tc>
        <w:tc>
          <w:tcPr>
            <w:tcW w:w="2210" w:type="dxa"/>
            <w:vMerge w:val="restart"/>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4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未完成指标原因分析</w:t>
            </w:r>
          </w:p>
        </w:tc>
      </w:tr>
      <w:tr w:rsidR="006E6B8E">
        <w:trPr>
          <w:trHeight w:val="474"/>
          <w:tblHeader/>
        </w:trPr>
        <w:tc>
          <w:tcPr>
            <w:tcW w:w="74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4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一级指标</w:t>
            </w:r>
          </w:p>
        </w:tc>
        <w:tc>
          <w:tcPr>
            <w:tcW w:w="1052"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4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二级指标</w:t>
            </w: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4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三级指标</w:t>
            </w:r>
          </w:p>
        </w:tc>
        <w:tc>
          <w:tcPr>
            <w:tcW w:w="1367" w:type="dxa"/>
            <w:vMerge/>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286" w:type="dxa"/>
            <w:vMerge/>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095" w:type="dxa"/>
            <w:vMerge/>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885" w:type="dxa"/>
            <w:vMerge/>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4600" w:type="dxa"/>
            <w:vMerge/>
            <w:tcBorders>
              <w:left w:val="single" w:sz="4" w:space="0" w:color="000000"/>
              <w:bottom w:val="single" w:sz="4" w:space="0" w:color="000000"/>
              <w:right w:val="single" w:sz="4" w:space="0" w:color="000000"/>
            </w:tcBorders>
            <w:vAlign w:val="center"/>
          </w:tcPr>
          <w:p w:rsidR="006E6B8E" w:rsidRDefault="006E6B8E">
            <w:pPr>
              <w:widowControl/>
              <w:spacing w:line="320" w:lineRule="exact"/>
              <w:jc w:val="left"/>
              <w:textAlignment w:val="center"/>
              <w:rPr>
                <w:rFonts w:ascii="Times New Roman" w:eastAsia="宋体" w:hAnsi="Times New Roman" w:cs="Times New Roman"/>
                <w:color w:val="000000"/>
                <w:sz w:val="20"/>
                <w:szCs w:val="20"/>
              </w:rPr>
            </w:pPr>
          </w:p>
        </w:tc>
        <w:tc>
          <w:tcPr>
            <w:tcW w:w="2210" w:type="dxa"/>
            <w:vMerge/>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460"/>
        </w:trPr>
        <w:tc>
          <w:tcPr>
            <w:tcW w:w="747" w:type="dxa"/>
            <w:vMerge w:val="restart"/>
            <w:tcBorders>
              <w:top w:val="single" w:sz="4" w:space="0" w:color="000000"/>
              <w:left w:val="single" w:sz="4" w:space="0" w:color="000000"/>
              <w:right w:val="single" w:sz="4" w:space="0" w:color="000000"/>
            </w:tcBorders>
            <w:vAlign w:val="center"/>
          </w:tcPr>
          <w:p w:rsidR="006E6B8E" w:rsidRDefault="00A76A9D">
            <w:pPr>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决策</w:t>
            </w:r>
          </w:p>
        </w:tc>
        <w:tc>
          <w:tcPr>
            <w:tcW w:w="1052" w:type="dxa"/>
            <w:vMerge w:val="restart"/>
            <w:tcBorders>
              <w:top w:val="single" w:sz="4" w:space="0" w:color="000000"/>
              <w:left w:val="single" w:sz="4" w:space="0" w:color="000000"/>
              <w:right w:val="single" w:sz="4" w:space="0" w:color="000000"/>
            </w:tcBorders>
            <w:vAlign w:val="center"/>
          </w:tcPr>
          <w:p w:rsidR="006E6B8E" w:rsidRDefault="00A76A9D">
            <w:pPr>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项目立项</w:t>
            </w: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立项程序规范性</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规范</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规范</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2</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2</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评价要点：</w:t>
            </w:r>
          </w:p>
          <w:p w:rsidR="006E6B8E" w:rsidRDefault="00A76A9D">
            <w:pPr>
              <w:widowControl/>
              <w:spacing w:line="320" w:lineRule="exact"/>
              <w:jc w:val="left"/>
              <w:textAlignment w:val="center"/>
              <w:rPr>
                <w:rFonts w:ascii="Times New Roman" w:eastAsia="宋体" w:hAnsi="Times New Roman" w:cs="Times New Roman"/>
                <w:color w:val="000000"/>
                <w:kern w:val="0"/>
                <w:sz w:val="20"/>
                <w:szCs w:val="20"/>
                <w:lang w:bidi="ar"/>
              </w:rPr>
            </w:pPr>
            <w:r>
              <w:rPr>
                <w:rFonts w:ascii="宋体" w:eastAsia="宋体" w:hAnsi="宋体" w:cs="Times New Roman" w:hint="eastAsia"/>
                <w:color w:val="000000"/>
                <w:kern w:val="0"/>
                <w:sz w:val="20"/>
                <w:szCs w:val="20"/>
                <w:lang w:bidi="ar"/>
              </w:rPr>
              <w:t>①</w:t>
            </w:r>
            <w:r>
              <w:rPr>
                <w:rFonts w:ascii="Times New Roman" w:eastAsia="宋体" w:hAnsi="Times New Roman" w:cs="Times New Roman"/>
                <w:color w:val="000000"/>
                <w:kern w:val="0"/>
                <w:sz w:val="20"/>
                <w:szCs w:val="20"/>
                <w:lang w:bidi="ar"/>
              </w:rPr>
              <w:t>项目是否按照规定的程序申请设立；</w:t>
            </w:r>
            <w:r>
              <w:rPr>
                <w:rFonts w:ascii="Times New Roman" w:eastAsia="宋体" w:hAnsi="Times New Roman" w:cs="Times New Roman"/>
                <w:color w:val="000000"/>
                <w:kern w:val="0"/>
                <w:sz w:val="20"/>
                <w:szCs w:val="20"/>
                <w:lang w:bidi="ar"/>
              </w:rPr>
              <w:t xml:space="preserve"> </w:t>
            </w:r>
            <w:r>
              <w:rPr>
                <w:rFonts w:ascii="Cambria Math" w:eastAsia="宋体" w:hAnsi="Cambria Math" w:cs="Cambria Math"/>
                <w:color w:val="000000"/>
                <w:kern w:val="0"/>
                <w:sz w:val="20"/>
                <w:szCs w:val="20"/>
                <w:lang w:bidi="ar"/>
              </w:rPr>
              <w:t>②</w:t>
            </w:r>
            <w:r>
              <w:rPr>
                <w:rFonts w:ascii="Times New Roman" w:eastAsia="宋体" w:hAnsi="Times New Roman" w:cs="Times New Roman"/>
                <w:color w:val="000000"/>
                <w:kern w:val="0"/>
                <w:sz w:val="20"/>
                <w:szCs w:val="20"/>
                <w:lang w:bidi="ar"/>
              </w:rPr>
              <w:t>审批文件、材料是否符合相关要求；</w:t>
            </w:r>
            <w:r>
              <w:rPr>
                <w:rFonts w:ascii="Times New Roman" w:eastAsia="宋体" w:hAnsi="Times New Roman" w:cs="Times New Roman"/>
                <w:color w:val="000000"/>
                <w:kern w:val="0"/>
                <w:sz w:val="20"/>
                <w:szCs w:val="20"/>
                <w:lang w:bidi="ar"/>
              </w:rPr>
              <w:t xml:space="preserve"> </w:t>
            </w:r>
            <w:r>
              <w:rPr>
                <w:rFonts w:ascii="Cambria Math" w:eastAsia="宋体" w:hAnsi="Cambria Math" w:cs="Cambria Math"/>
                <w:color w:val="000000"/>
                <w:kern w:val="0"/>
                <w:sz w:val="20"/>
                <w:szCs w:val="20"/>
                <w:lang w:bidi="ar"/>
              </w:rPr>
              <w:t>③</w:t>
            </w:r>
            <w:r>
              <w:rPr>
                <w:rFonts w:ascii="Times New Roman" w:eastAsia="宋体" w:hAnsi="Times New Roman" w:cs="Times New Roman"/>
                <w:color w:val="000000"/>
                <w:kern w:val="0"/>
                <w:sz w:val="20"/>
                <w:szCs w:val="20"/>
                <w:lang w:bidi="ar"/>
              </w:rPr>
              <w:t>事前是否已经过必要的可行性研究、专家论证、风险评估、绩效评估、集体决策。</w:t>
            </w:r>
            <w:r>
              <w:rPr>
                <w:rFonts w:ascii="Times New Roman" w:eastAsia="宋体" w:hAnsi="Times New Roman" w:cs="Times New Roman"/>
                <w:color w:val="000000"/>
                <w:kern w:val="0"/>
                <w:sz w:val="20"/>
                <w:szCs w:val="20"/>
                <w:lang w:bidi="ar"/>
              </w:rPr>
              <w:t xml:space="preserve"> </w:t>
            </w:r>
            <w:r>
              <w:rPr>
                <w:rFonts w:ascii="Times New Roman" w:eastAsia="宋体" w:hAnsi="Times New Roman" w:cs="Times New Roman"/>
                <w:color w:val="000000"/>
                <w:kern w:val="0"/>
                <w:sz w:val="20"/>
                <w:szCs w:val="20"/>
                <w:lang w:bidi="ar"/>
              </w:rPr>
              <w:t>评分规则：以上评价要点各占</w:t>
            </w:r>
            <w:r>
              <w:rPr>
                <w:rFonts w:ascii="Times New Roman" w:eastAsia="宋体" w:hAnsi="Times New Roman" w:cs="Times New Roman"/>
                <w:color w:val="000000"/>
                <w:kern w:val="0"/>
                <w:sz w:val="20"/>
                <w:szCs w:val="20"/>
                <w:lang w:bidi="ar"/>
              </w:rPr>
              <w:t>1/3</w:t>
            </w:r>
            <w:r>
              <w:rPr>
                <w:rFonts w:ascii="Times New Roman" w:eastAsia="宋体" w:hAnsi="Times New Roman" w:cs="Times New Roman"/>
                <w:color w:val="000000"/>
                <w:kern w:val="0"/>
                <w:sz w:val="20"/>
                <w:szCs w:val="20"/>
                <w:lang w:bidi="ar"/>
              </w:rPr>
              <w:t>权重，每个要点执行情况分达成、部分达成、未达成三档，按</w:t>
            </w:r>
            <w:r>
              <w:rPr>
                <w:rFonts w:ascii="Times New Roman" w:eastAsia="宋体" w:hAnsi="Times New Roman" w:cs="Times New Roman"/>
                <w:color w:val="000000"/>
                <w:kern w:val="0"/>
                <w:sz w:val="20"/>
                <w:szCs w:val="20"/>
                <w:lang w:bidi="ar"/>
              </w:rPr>
              <w:t>100%-80%</w:t>
            </w:r>
            <w:r>
              <w:rPr>
                <w:rFonts w:ascii="Times New Roman" w:eastAsia="宋体" w:hAnsi="Times New Roman" w:cs="Times New Roman"/>
                <w:color w:val="000000"/>
                <w:kern w:val="0"/>
                <w:sz w:val="20"/>
                <w:szCs w:val="20"/>
                <w:lang w:bidi="ar"/>
              </w:rPr>
              <w:t>（含）、</w:t>
            </w:r>
            <w:r>
              <w:rPr>
                <w:rFonts w:ascii="Times New Roman" w:eastAsia="宋体" w:hAnsi="Times New Roman" w:cs="Times New Roman"/>
                <w:color w:val="000000"/>
                <w:kern w:val="0"/>
                <w:sz w:val="20"/>
                <w:szCs w:val="20"/>
                <w:lang w:bidi="ar"/>
              </w:rPr>
              <w:t>80%-60%</w:t>
            </w:r>
            <w:r>
              <w:rPr>
                <w:rFonts w:ascii="Times New Roman" w:eastAsia="宋体" w:hAnsi="Times New Roman" w:cs="Times New Roman"/>
                <w:color w:val="000000"/>
                <w:kern w:val="0"/>
                <w:sz w:val="20"/>
                <w:szCs w:val="20"/>
                <w:lang w:bidi="ar"/>
              </w:rPr>
              <w:t>（含）、</w:t>
            </w:r>
            <w:r>
              <w:rPr>
                <w:rFonts w:ascii="Times New Roman" w:eastAsia="宋体" w:hAnsi="Times New Roman" w:cs="Times New Roman"/>
                <w:color w:val="000000"/>
                <w:kern w:val="0"/>
                <w:sz w:val="20"/>
                <w:szCs w:val="20"/>
                <w:lang w:bidi="ar"/>
              </w:rPr>
              <w:t>60%-0%</w:t>
            </w:r>
            <w:r>
              <w:rPr>
                <w:rFonts w:ascii="Times New Roman" w:eastAsia="宋体" w:hAnsi="Times New Roman" w:cs="Times New Roman"/>
                <w:color w:val="000000"/>
                <w:kern w:val="0"/>
                <w:sz w:val="20"/>
                <w:szCs w:val="20"/>
                <w:lang w:bidi="ar"/>
              </w:rPr>
              <w:t>评分。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460"/>
        </w:trPr>
        <w:tc>
          <w:tcPr>
            <w:tcW w:w="747" w:type="dxa"/>
            <w:vMerge/>
            <w:tcBorders>
              <w:left w:val="single" w:sz="4" w:space="0" w:color="000000"/>
              <w:bottom w:val="single" w:sz="4" w:space="0" w:color="000000"/>
              <w:right w:val="single" w:sz="4" w:space="0" w:color="000000"/>
            </w:tcBorders>
            <w:vAlign w:val="center"/>
          </w:tcPr>
          <w:p w:rsidR="006E6B8E" w:rsidRDefault="006E6B8E">
            <w:pPr>
              <w:widowControl/>
              <w:spacing w:line="320" w:lineRule="exact"/>
              <w:jc w:val="center"/>
              <w:textAlignment w:val="center"/>
              <w:rPr>
                <w:rFonts w:ascii="Times New Roman" w:eastAsia="宋体" w:hAnsi="Times New Roman" w:cs="Times New Roman"/>
                <w:color w:val="000000"/>
                <w:sz w:val="20"/>
                <w:szCs w:val="20"/>
              </w:rPr>
            </w:pPr>
          </w:p>
        </w:tc>
        <w:tc>
          <w:tcPr>
            <w:tcW w:w="1052" w:type="dxa"/>
            <w:vMerge/>
            <w:tcBorders>
              <w:left w:val="single" w:sz="4" w:space="0" w:color="000000"/>
              <w:bottom w:val="single" w:sz="4" w:space="0" w:color="000000"/>
              <w:right w:val="single" w:sz="4" w:space="0" w:color="000000"/>
            </w:tcBorders>
            <w:vAlign w:val="center"/>
          </w:tcPr>
          <w:p w:rsidR="006E6B8E" w:rsidRDefault="006E6B8E">
            <w:pPr>
              <w:widowControl/>
              <w:spacing w:line="320" w:lineRule="exact"/>
              <w:jc w:val="center"/>
              <w:textAlignment w:val="center"/>
              <w:rPr>
                <w:rFonts w:ascii="Times New Roman" w:eastAsia="宋体" w:hAnsi="Times New Roman" w:cs="Times New Roman"/>
                <w:color w:val="000000"/>
                <w:sz w:val="20"/>
                <w:szCs w:val="20"/>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立项依据充分性</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充分</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充分</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2</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2</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评价要点：</w:t>
            </w:r>
            <w:r>
              <w:rPr>
                <w:rFonts w:ascii="Cambria Math" w:eastAsia="宋体" w:hAnsi="Cambria Math" w:cs="Cambria Math"/>
                <w:color w:val="000000"/>
                <w:kern w:val="0"/>
                <w:sz w:val="20"/>
                <w:szCs w:val="20"/>
                <w:lang w:bidi="ar"/>
              </w:rPr>
              <w:t>①</w:t>
            </w:r>
            <w:r>
              <w:rPr>
                <w:rFonts w:ascii="Times New Roman" w:eastAsia="宋体" w:hAnsi="Times New Roman" w:cs="Times New Roman"/>
                <w:color w:val="000000"/>
                <w:kern w:val="0"/>
                <w:sz w:val="20"/>
                <w:szCs w:val="20"/>
                <w:lang w:bidi="ar"/>
              </w:rPr>
              <w:t>项目立项是否符合国家法律法规、国民经济发展规划和相关政策；</w:t>
            </w:r>
            <w:r>
              <w:rPr>
                <w:rFonts w:ascii="Cambria Math" w:eastAsia="宋体" w:hAnsi="Cambria Math" w:cs="Cambria Math"/>
                <w:color w:val="000000"/>
                <w:kern w:val="0"/>
                <w:sz w:val="20"/>
                <w:szCs w:val="20"/>
                <w:lang w:bidi="ar"/>
              </w:rPr>
              <w:t>②</w:t>
            </w:r>
            <w:r>
              <w:rPr>
                <w:rFonts w:ascii="Times New Roman" w:eastAsia="宋体" w:hAnsi="Times New Roman" w:cs="Times New Roman"/>
                <w:color w:val="000000"/>
                <w:kern w:val="0"/>
                <w:sz w:val="20"/>
                <w:szCs w:val="20"/>
                <w:lang w:bidi="ar"/>
              </w:rPr>
              <w:t>项目立项是否符合行业发展规划和政策要求；</w:t>
            </w:r>
            <w:r>
              <w:rPr>
                <w:rFonts w:ascii="Times New Roman" w:eastAsia="宋体" w:hAnsi="Times New Roman" w:cs="Times New Roman"/>
                <w:color w:val="000000"/>
                <w:kern w:val="0"/>
                <w:sz w:val="20"/>
                <w:szCs w:val="20"/>
                <w:lang w:bidi="ar"/>
              </w:rPr>
              <w:t xml:space="preserve"> </w:t>
            </w:r>
            <w:r>
              <w:rPr>
                <w:rFonts w:ascii="Cambria Math" w:eastAsia="宋体" w:hAnsi="Cambria Math" w:cs="Cambria Math"/>
                <w:color w:val="000000"/>
                <w:kern w:val="0"/>
                <w:sz w:val="20"/>
                <w:szCs w:val="20"/>
                <w:lang w:bidi="ar"/>
              </w:rPr>
              <w:t>③</w:t>
            </w:r>
            <w:r>
              <w:rPr>
                <w:rFonts w:ascii="Times New Roman" w:eastAsia="宋体" w:hAnsi="Times New Roman" w:cs="Times New Roman"/>
                <w:color w:val="000000"/>
                <w:kern w:val="0"/>
                <w:sz w:val="20"/>
                <w:szCs w:val="20"/>
                <w:lang w:bidi="ar"/>
              </w:rPr>
              <w:t>项目立项是否与部门职责范围相符，属于部门履职所需；</w:t>
            </w:r>
            <w:r>
              <w:rPr>
                <w:rFonts w:ascii="Times New Roman" w:eastAsia="宋体" w:hAnsi="Times New Roman" w:cs="Times New Roman"/>
                <w:color w:val="000000"/>
                <w:kern w:val="0"/>
                <w:sz w:val="20"/>
                <w:szCs w:val="20"/>
                <w:lang w:bidi="ar"/>
              </w:rPr>
              <w:t xml:space="preserve"> </w:t>
            </w:r>
            <w:r>
              <w:rPr>
                <w:rFonts w:ascii="Cambria Math" w:eastAsia="宋体" w:hAnsi="Cambria Math" w:cs="Cambria Math"/>
                <w:color w:val="000000"/>
                <w:kern w:val="0"/>
                <w:sz w:val="20"/>
                <w:szCs w:val="20"/>
                <w:lang w:bidi="ar"/>
              </w:rPr>
              <w:t>④</w:t>
            </w:r>
            <w:r>
              <w:rPr>
                <w:rFonts w:ascii="Times New Roman" w:eastAsia="宋体" w:hAnsi="Times New Roman" w:cs="Times New Roman"/>
                <w:color w:val="000000"/>
                <w:kern w:val="0"/>
                <w:sz w:val="20"/>
                <w:szCs w:val="20"/>
                <w:lang w:bidi="ar"/>
              </w:rPr>
              <w:t>项目是否属于公共财政支持范围，是否符合中央、地方事权支出责任划分原则；</w:t>
            </w:r>
            <w:r>
              <w:rPr>
                <w:rFonts w:ascii="Cambria Math" w:eastAsia="宋体" w:hAnsi="Cambria Math" w:cs="Cambria Math"/>
                <w:color w:val="000000"/>
                <w:kern w:val="0"/>
                <w:sz w:val="20"/>
                <w:szCs w:val="20"/>
                <w:lang w:bidi="ar"/>
              </w:rPr>
              <w:t>⑤</w:t>
            </w:r>
            <w:r>
              <w:rPr>
                <w:rFonts w:ascii="Times New Roman" w:eastAsia="宋体" w:hAnsi="Times New Roman" w:cs="Times New Roman"/>
                <w:color w:val="000000"/>
                <w:kern w:val="0"/>
                <w:sz w:val="20"/>
                <w:szCs w:val="20"/>
                <w:lang w:bidi="ar"/>
              </w:rPr>
              <w:t>项目是否与相关部门同类项目或部门内部相关项目重复。</w:t>
            </w:r>
          </w:p>
          <w:p w:rsidR="006E6B8E" w:rsidRDefault="00A76A9D">
            <w:pPr>
              <w:widowControl/>
              <w:spacing w:line="320" w:lineRule="exact"/>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评分规则：以上评价要点各占</w:t>
            </w:r>
            <w:r>
              <w:rPr>
                <w:rFonts w:ascii="Times New Roman" w:eastAsia="宋体" w:hAnsi="Times New Roman" w:cs="Times New Roman"/>
                <w:color w:val="000000"/>
                <w:kern w:val="0"/>
                <w:sz w:val="20"/>
                <w:szCs w:val="20"/>
                <w:lang w:bidi="ar"/>
              </w:rPr>
              <w:t>20%</w:t>
            </w:r>
            <w:r>
              <w:rPr>
                <w:rFonts w:ascii="Times New Roman" w:eastAsia="宋体" w:hAnsi="Times New Roman" w:cs="Times New Roman"/>
                <w:color w:val="000000"/>
                <w:kern w:val="0"/>
                <w:sz w:val="20"/>
                <w:szCs w:val="20"/>
                <w:lang w:bidi="ar"/>
              </w:rPr>
              <w:t>权重，每个要点执行情况分达成、部分达成、未达成三档，按</w:t>
            </w:r>
            <w:r>
              <w:rPr>
                <w:rFonts w:ascii="Times New Roman" w:eastAsia="宋体" w:hAnsi="Times New Roman" w:cs="Times New Roman"/>
                <w:color w:val="000000"/>
                <w:kern w:val="0"/>
                <w:sz w:val="20"/>
                <w:szCs w:val="20"/>
                <w:lang w:bidi="ar"/>
              </w:rPr>
              <w:lastRenderedPageBreak/>
              <w:t>100%-80%</w:t>
            </w:r>
            <w:r>
              <w:rPr>
                <w:rFonts w:ascii="Times New Roman" w:eastAsia="宋体" w:hAnsi="Times New Roman" w:cs="Times New Roman"/>
                <w:color w:val="000000"/>
                <w:kern w:val="0"/>
                <w:sz w:val="20"/>
                <w:szCs w:val="20"/>
                <w:lang w:bidi="ar"/>
              </w:rPr>
              <w:t>（含）、</w:t>
            </w:r>
            <w:r>
              <w:rPr>
                <w:rFonts w:ascii="Times New Roman" w:eastAsia="宋体" w:hAnsi="Times New Roman" w:cs="Times New Roman"/>
                <w:color w:val="000000"/>
                <w:kern w:val="0"/>
                <w:sz w:val="20"/>
                <w:szCs w:val="20"/>
                <w:lang w:bidi="ar"/>
              </w:rPr>
              <w:t>80%-60%</w:t>
            </w:r>
            <w:r>
              <w:rPr>
                <w:rFonts w:ascii="Times New Roman" w:eastAsia="宋体" w:hAnsi="Times New Roman" w:cs="Times New Roman"/>
                <w:color w:val="000000"/>
                <w:kern w:val="0"/>
                <w:sz w:val="20"/>
                <w:szCs w:val="20"/>
                <w:lang w:bidi="ar"/>
              </w:rPr>
              <w:t>（含）、</w:t>
            </w:r>
            <w:r>
              <w:rPr>
                <w:rFonts w:ascii="Times New Roman" w:eastAsia="宋体" w:hAnsi="Times New Roman" w:cs="Times New Roman"/>
                <w:color w:val="000000"/>
                <w:kern w:val="0"/>
                <w:sz w:val="20"/>
                <w:szCs w:val="20"/>
                <w:lang w:bidi="ar"/>
              </w:rPr>
              <w:t>60%-0%</w:t>
            </w:r>
            <w:r>
              <w:rPr>
                <w:rFonts w:ascii="Times New Roman" w:eastAsia="宋体" w:hAnsi="Times New Roman" w:cs="Times New Roman"/>
                <w:color w:val="000000"/>
                <w:kern w:val="0"/>
                <w:sz w:val="20"/>
                <w:szCs w:val="20"/>
                <w:lang w:bidi="ar"/>
              </w:rPr>
              <w:t>评分。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460"/>
        </w:trPr>
        <w:tc>
          <w:tcPr>
            <w:tcW w:w="747" w:type="dxa"/>
            <w:vMerge w:val="restart"/>
            <w:tcBorders>
              <w:top w:val="single" w:sz="4" w:space="0" w:color="000000"/>
              <w:left w:val="single" w:sz="4" w:space="0" w:color="000000"/>
              <w:right w:val="single" w:sz="4" w:space="0" w:color="000000"/>
            </w:tcBorders>
            <w:vAlign w:val="center"/>
          </w:tcPr>
          <w:p w:rsidR="006E6B8E" w:rsidRDefault="00A76A9D">
            <w:pPr>
              <w:spacing w:line="320" w:lineRule="exact"/>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lastRenderedPageBreak/>
              <w:t>决策</w:t>
            </w:r>
          </w:p>
        </w:tc>
        <w:tc>
          <w:tcPr>
            <w:tcW w:w="1052" w:type="dxa"/>
            <w:vMerge w:val="restart"/>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绩效目标</w:t>
            </w: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绩效目标合理性</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合理</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合理</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2</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2</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00" w:lineRule="exac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评价要点：</w:t>
            </w:r>
            <w:r>
              <w:rPr>
                <w:rFonts w:ascii="Times New Roman" w:eastAsia="宋体" w:hAnsi="Times New Roman" w:cs="Times New Roman"/>
                <w:color w:val="000000"/>
                <w:kern w:val="0"/>
                <w:sz w:val="20"/>
                <w:szCs w:val="20"/>
                <w:lang w:bidi="ar"/>
              </w:rPr>
              <w:br/>
              <w:t xml:space="preserve"> </w:t>
            </w:r>
            <w:r>
              <w:rPr>
                <w:rFonts w:ascii="Cambria Math" w:eastAsia="宋体" w:hAnsi="Cambria Math" w:cs="Cambria Math"/>
                <w:color w:val="000000"/>
                <w:kern w:val="0"/>
                <w:sz w:val="20"/>
                <w:szCs w:val="20"/>
                <w:lang w:bidi="ar"/>
              </w:rPr>
              <w:t>①</w:t>
            </w:r>
            <w:r>
              <w:rPr>
                <w:rFonts w:ascii="Times New Roman" w:eastAsia="宋体" w:hAnsi="Times New Roman" w:cs="Times New Roman"/>
                <w:color w:val="000000"/>
                <w:kern w:val="0"/>
                <w:sz w:val="20"/>
                <w:szCs w:val="20"/>
                <w:lang w:bidi="ar"/>
              </w:rPr>
              <w:t>项目是否有绩效目标；</w:t>
            </w:r>
            <w:r>
              <w:rPr>
                <w:rFonts w:ascii="Cambria Math" w:eastAsia="宋体" w:hAnsi="Cambria Math" w:cs="Cambria Math"/>
                <w:color w:val="000000"/>
                <w:kern w:val="0"/>
                <w:sz w:val="20"/>
                <w:szCs w:val="20"/>
                <w:lang w:bidi="ar"/>
              </w:rPr>
              <w:t>②</w:t>
            </w:r>
            <w:r>
              <w:rPr>
                <w:rFonts w:ascii="Times New Roman" w:eastAsia="宋体" w:hAnsi="Times New Roman" w:cs="Times New Roman"/>
                <w:color w:val="000000"/>
                <w:kern w:val="0"/>
                <w:sz w:val="20"/>
                <w:szCs w:val="20"/>
                <w:lang w:bidi="ar"/>
              </w:rPr>
              <w:t>项目绩效目标与实际工作内容是否具有相关性；</w:t>
            </w:r>
            <w:r>
              <w:rPr>
                <w:rFonts w:ascii="Cambria Math" w:eastAsia="宋体" w:hAnsi="Cambria Math" w:cs="Cambria Math"/>
                <w:color w:val="000000"/>
                <w:kern w:val="0"/>
                <w:sz w:val="20"/>
                <w:szCs w:val="20"/>
                <w:lang w:bidi="ar"/>
              </w:rPr>
              <w:t>③</w:t>
            </w:r>
            <w:r>
              <w:rPr>
                <w:rFonts w:ascii="Times New Roman" w:eastAsia="宋体" w:hAnsi="Times New Roman" w:cs="Times New Roman"/>
                <w:color w:val="000000"/>
                <w:kern w:val="0"/>
                <w:sz w:val="20"/>
                <w:szCs w:val="20"/>
                <w:lang w:bidi="ar"/>
              </w:rPr>
              <w:t>项目预期产出效益和效果是否符合正常的业绩水平；</w:t>
            </w:r>
            <w:r>
              <w:rPr>
                <w:rFonts w:ascii="Cambria Math" w:eastAsia="宋体" w:hAnsi="Cambria Math" w:cs="Cambria Math"/>
                <w:color w:val="000000"/>
                <w:kern w:val="0"/>
                <w:sz w:val="20"/>
                <w:szCs w:val="20"/>
                <w:lang w:bidi="ar"/>
              </w:rPr>
              <w:t>④</w:t>
            </w:r>
            <w:r>
              <w:rPr>
                <w:rFonts w:ascii="Times New Roman" w:eastAsia="宋体" w:hAnsi="Times New Roman" w:cs="Times New Roman"/>
                <w:color w:val="000000"/>
                <w:kern w:val="0"/>
                <w:sz w:val="20"/>
                <w:szCs w:val="20"/>
                <w:lang w:bidi="ar"/>
              </w:rPr>
              <w:t>是否与预算确定的项目投资额或资金量相匹配。</w:t>
            </w:r>
            <w:r>
              <w:rPr>
                <w:rFonts w:ascii="Times New Roman" w:eastAsia="宋体" w:hAnsi="Times New Roman" w:cs="Times New Roman"/>
                <w:color w:val="000000"/>
                <w:kern w:val="0"/>
                <w:sz w:val="20"/>
                <w:szCs w:val="20"/>
                <w:lang w:bidi="ar"/>
              </w:rPr>
              <w:br/>
            </w:r>
            <w:r>
              <w:rPr>
                <w:rFonts w:ascii="Times New Roman" w:eastAsia="宋体" w:hAnsi="Times New Roman" w:cs="Times New Roman"/>
                <w:color w:val="000000"/>
                <w:kern w:val="0"/>
                <w:sz w:val="20"/>
                <w:szCs w:val="20"/>
                <w:lang w:bidi="ar"/>
              </w:rPr>
              <w:t>评分规则：以上评价要点各占</w:t>
            </w:r>
            <w:r>
              <w:rPr>
                <w:rFonts w:ascii="Times New Roman" w:eastAsia="宋体" w:hAnsi="Times New Roman" w:cs="Times New Roman"/>
                <w:color w:val="000000"/>
                <w:kern w:val="0"/>
                <w:sz w:val="20"/>
                <w:szCs w:val="20"/>
                <w:lang w:bidi="ar"/>
              </w:rPr>
              <w:t>25%</w:t>
            </w:r>
            <w:r>
              <w:rPr>
                <w:rFonts w:ascii="Times New Roman" w:eastAsia="宋体" w:hAnsi="Times New Roman" w:cs="Times New Roman"/>
                <w:color w:val="000000"/>
                <w:kern w:val="0"/>
                <w:sz w:val="20"/>
                <w:szCs w:val="20"/>
                <w:lang w:bidi="ar"/>
              </w:rPr>
              <w:t>权重，每个要点执行情况分达成、部分达成、未达成三档，按</w:t>
            </w:r>
            <w:r>
              <w:rPr>
                <w:rFonts w:ascii="Times New Roman" w:eastAsia="宋体" w:hAnsi="Times New Roman" w:cs="Times New Roman"/>
                <w:color w:val="000000"/>
                <w:kern w:val="0"/>
                <w:sz w:val="20"/>
                <w:szCs w:val="20"/>
                <w:lang w:bidi="ar"/>
              </w:rPr>
              <w:t>100%-80%</w:t>
            </w:r>
            <w:r>
              <w:rPr>
                <w:rFonts w:ascii="Times New Roman" w:eastAsia="宋体" w:hAnsi="Times New Roman" w:cs="Times New Roman"/>
                <w:color w:val="000000"/>
                <w:kern w:val="0"/>
                <w:sz w:val="20"/>
                <w:szCs w:val="20"/>
                <w:lang w:bidi="ar"/>
              </w:rPr>
              <w:t>（含）、</w:t>
            </w:r>
            <w:r>
              <w:rPr>
                <w:rFonts w:ascii="Times New Roman" w:eastAsia="宋体" w:hAnsi="Times New Roman" w:cs="Times New Roman"/>
                <w:color w:val="000000"/>
                <w:kern w:val="0"/>
                <w:sz w:val="20"/>
                <w:szCs w:val="20"/>
                <w:lang w:bidi="ar"/>
              </w:rPr>
              <w:t>80%-60%</w:t>
            </w:r>
            <w:r>
              <w:rPr>
                <w:rFonts w:ascii="Times New Roman" w:eastAsia="宋体" w:hAnsi="Times New Roman" w:cs="Times New Roman"/>
                <w:color w:val="000000"/>
                <w:kern w:val="0"/>
                <w:sz w:val="20"/>
                <w:szCs w:val="20"/>
                <w:lang w:bidi="ar"/>
              </w:rPr>
              <w:t>（含）、</w:t>
            </w:r>
            <w:r>
              <w:rPr>
                <w:rFonts w:ascii="Times New Roman" w:eastAsia="宋体" w:hAnsi="Times New Roman" w:cs="Times New Roman"/>
                <w:color w:val="000000"/>
                <w:kern w:val="0"/>
                <w:sz w:val="20"/>
                <w:szCs w:val="20"/>
                <w:lang w:bidi="ar"/>
              </w:rPr>
              <w:t>60%-0%</w:t>
            </w:r>
            <w:r>
              <w:rPr>
                <w:rFonts w:ascii="Times New Roman" w:eastAsia="宋体" w:hAnsi="Times New Roman" w:cs="Times New Roman"/>
                <w:color w:val="000000"/>
                <w:kern w:val="0"/>
                <w:sz w:val="20"/>
                <w:szCs w:val="20"/>
                <w:lang w:bidi="ar"/>
              </w:rPr>
              <w:t>评分。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460"/>
        </w:trPr>
        <w:tc>
          <w:tcPr>
            <w:tcW w:w="747" w:type="dxa"/>
            <w:vMerge/>
            <w:tcBorders>
              <w:left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052" w:type="dxa"/>
            <w:vMerge/>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绩效指标明确性</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明确</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明确</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2</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00" w:lineRule="exac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评价要点：</w:t>
            </w:r>
            <w:r>
              <w:rPr>
                <w:rFonts w:ascii="Times New Roman" w:eastAsia="宋体" w:hAnsi="Times New Roman" w:cs="Times New Roman"/>
                <w:color w:val="000000"/>
                <w:kern w:val="0"/>
                <w:sz w:val="20"/>
                <w:szCs w:val="20"/>
                <w:lang w:bidi="ar"/>
              </w:rPr>
              <w:br/>
              <w:t xml:space="preserve"> </w:t>
            </w:r>
            <w:r>
              <w:rPr>
                <w:rFonts w:ascii="Cambria Math" w:eastAsia="宋体" w:hAnsi="Cambria Math" w:cs="Cambria Math"/>
                <w:color w:val="000000"/>
                <w:kern w:val="0"/>
                <w:sz w:val="20"/>
                <w:szCs w:val="20"/>
                <w:lang w:bidi="ar"/>
              </w:rPr>
              <w:t>①</w:t>
            </w:r>
            <w:r>
              <w:rPr>
                <w:rFonts w:ascii="Times New Roman" w:eastAsia="宋体" w:hAnsi="Times New Roman" w:cs="Times New Roman"/>
                <w:color w:val="000000"/>
                <w:kern w:val="0"/>
                <w:sz w:val="20"/>
                <w:szCs w:val="20"/>
                <w:lang w:bidi="ar"/>
              </w:rPr>
              <w:t>是否将项目绩效目标细化分解为具体的绩效指标；</w:t>
            </w:r>
            <w:r>
              <w:rPr>
                <w:rFonts w:ascii="Times New Roman" w:eastAsia="宋体" w:hAnsi="Times New Roman" w:cs="Times New Roman"/>
                <w:color w:val="000000"/>
                <w:kern w:val="0"/>
                <w:sz w:val="20"/>
                <w:szCs w:val="20"/>
                <w:lang w:bidi="ar"/>
              </w:rPr>
              <w:t xml:space="preserve"> </w:t>
            </w:r>
            <w:r>
              <w:rPr>
                <w:rFonts w:ascii="Cambria Math" w:eastAsia="宋体" w:hAnsi="Cambria Math" w:cs="Cambria Math"/>
                <w:color w:val="000000"/>
                <w:kern w:val="0"/>
                <w:sz w:val="20"/>
                <w:szCs w:val="20"/>
                <w:lang w:bidi="ar"/>
              </w:rPr>
              <w:t>②</w:t>
            </w:r>
            <w:r>
              <w:rPr>
                <w:rFonts w:ascii="Times New Roman" w:eastAsia="宋体" w:hAnsi="Times New Roman" w:cs="Times New Roman"/>
                <w:color w:val="000000"/>
                <w:kern w:val="0"/>
                <w:sz w:val="20"/>
                <w:szCs w:val="20"/>
                <w:lang w:bidi="ar"/>
              </w:rPr>
              <w:t>是否通过清晰、可衡量的指标</w:t>
            </w:r>
            <w:proofErr w:type="gramStart"/>
            <w:r>
              <w:rPr>
                <w:rFonts w:ascii="Times New Roman" w:eastAsia="宋体" w:hAnsi="Times New Roman" w:cs="Times New Roman"/>
                <w:color w:val="000000"/>
                <w:kern w:val="0"/>
                <w:sz w:val="20"/>
                <w:szCs w:val="20"/>
                <w:lang w:bidi="ar"/>
              </w:rPr>
              <w:t>值予以</w:t>
            </w:r>
            <w:proofErr w:type="gramEnd"/>
            <w:r>
              <w:rPr>
                <w:rFonts w:ascii="Times New Roman" w:eastAsia="宋体" w:hAnsi="Times New Roman" w:cs="Times New Roman"/>
                <w:color w:val="000000"/>
                <w:kern w:val="0"/>
                <w:sz w:val="20"/>
                <w:szCs w:val="20"/>
                <w:lang w:bidi="ar"/>
              </w:rPr>
              <w:t>体现；</w:t>
            </w:r>
            <w:r>
              <w:rPr>
                <w:rFonts w:ascii="Cambria Math" w:eastAsia="宋体" w:hAnsi="Cambria Math" w:cs="Cambria Math"/>
                <w:color w:val="000000"/>
                <w:kern w:val="0"/>
                <w:sz w:val="20"/>
                <w:szCs w:val="20"/>
                <w:lang w:bidi="ar"/>
              </w:rPr>
              <w:t>③</w:t>
            </w:r>
            <w:r>
              <w:rPr>
                <w:rFonts w:ascii="Times New Roman" w:eastAsia="宋体" w:hAnsi="Times New Roman" w:cs="Times New Roman"/>
                <w:color w:val="000000"/>
                <w:kern w:val="0"/>
                <w:sz w:val="20"/>
                <w:szCs w:val="20"/>
                <w:lang w:bidi="ar"/>
              </w:rPr>
              <w:t>是否与项目目标任务数或计划数相对应。</w:t>
            </w:r>
            <w:r>
              <w:rPr>
                <w:rFonts w:ascii="Times New Roman" w:eastAsia="宋体" w:hAnsi="Times New Roman" w:cs="Times New Roman"/>
                <w:color w:val="000000"/>
                <w:kern w:val="0"/>
                <w:sz w:val="20"/>
                <w:szCs w:val="20"/>
                <w:lang w:bidi="ar"/>
              </w:rPr>
              <w:br/>
            </w:r>
            <w:r>
              <w:rPr>
                <w:rFonts w:ascii="Times New Roman" w:eastAsia="宋体" w:hAnsi="Times New Roman" w:cs="Times New Roman"/>
                <w:color w:val="000000"/>
                <w:kern w:val="0"/>
                <w:sz w:val="20"/>
                <w:szCs w:val="20"/>
                <w:lang w:bidi="ar"/>
              </w:rPr>
              <w:t>评分规则：以上评价要点各占</w:t>
            </w:r>
            <w:r>
              <w:rPr>
                <w:rFonts w:ascii="Times New Roman" w:eastAsia="宋体" w:hAnsi="Times New Roman" w:cs="Times New Roman"/>
                <w:color w:val="000000"/>
                <w:kern w:val="0"/>
                <w:sz w:val="20"/>
                <w:szCs w:val="20"/>
                <w:lang w:bidi="ar"/>
              </w:rPr>
              <w:t>1/3</w:t>
            </w:r>
            <w:r>
              <w:rPr>
                <w:rFonts w:ascii="Times New Roman" w:eastAsia="宋体" w:hAnsi="Times New Roman" w:cs="Times New Roman"/>
                <w:color w:val="000000"/>
                <w:kern w:val="0"/>
                <w:sz w:val="20"/>
                <w:szCs w:val="20"/>
                <w:lang w:bidi="ar"/>
              </w:rPr>
              <w:t>权重，每个要点执行情况分达成、部分达成、未达成三档，按</w:t>
            </w:r>
            <w:r>
              <w:rPr>
                <w:rFonts w:ascii="Times New Roman" w:eastAsia="宋体" w:hAnsi="Times New Roman" w:cs="Times New Roman"/>
                <w:color w:val="000000"/>
                <w:kern w:val="0"/>
                <w:sz w:val="20"/>
                <w:szCs w:val="20"/>
                <w:lang w:bidi="ar"/>
              </w:rPr>
              <w:t>100%-80%</w:t>
            </w:r>
            <w:r>
              <w:rPr>
                <w:rFonts w:ascii="Times New Roman" w:eastAsia="宋体" w:hAnsi="Times New Roman" w:cs="Times New Roman"/>
                <w:color w:val="000000"/>
                <w:kern w:val="0"/>
                <w:sz w:val="20"/>
                <w:szCs w:val="20"/>
                <w:lang w:bidi="ar"/>
              </w:rPr>
              <w:t>（含）、</w:t>
            </w:r>
            <w:r>
              <w:rPr>
                <w:rFonts w:ascii="Times New Roman" w:eastAsia="宋体" w:hAnsi="Times New Roman" w:cs="Times New Roman"/>
                <w:color w:val="000000"/>
                <w:kern w:val="0"/>
                <w:sz w:val="20"/>
                <w:szCs w:val="20"/>
                <w:lang w:bidi="ar"/>
              </w:rPr>
              <w:t>80%-60%</w:t>
            </w:r>
            <w:r>
              <w:rPr>
                <w:rFonts w:ascii="Times New Roman" w:eastAsia="宋体" w:hAnsi="Times New Roman" w:cs="Times New Roman"/>
                <w:color w:val="000000"/>
                <w:kern w:val="0"/>
                <w:sz w:val="20"/>
                <w:szCs w:val="20"/>
                <w:lang w:bidi="ar"/>
              </w:rPr>
              <w:t>（含）、</w:t>
            </w:r>
            <w:r>
              <w:rPr>
                <w:rFonts w:ascii="Times New Roman" w:eastAsia="宋体" w:hAnsi="Times New Roman" w:cs="Times New Roman"/>
                <w:color w:val="000000"/>
                <w:kern w:val="0"/>
                <w:sz w:val="20"/>
                <w:szCs w:val="20"/>
                <w:lang w:bidi="ar"/>
              </w:rPr>
              <w:t>60%-0%</w:t>
            </w:r>
            <w:r>
              <w:rPr>
                <w:rFonts w:ascii="Times New Roman" w:eastAsia="宋体" w:hAnsi="Times New Roman" w:cs="Times New Roman"/>
                <w:color w:val="000000"/>
                <w:kern w:val="0"/>
                <w:sz w:val="20"/>
                <w:szCs w:val="20"/>
                <w:lang w:bidi="ar"/>
              </w:rPr>
              <w:t>评分。</w:t>
            </w:r>
            <w:r>
              <w:rPr>
                <w:rFonts w:ascii="Times New Roman" w:eastAsia="宋体" w:hAnsi="Times New Roman" w:cs="Times New Roman"/>
                <w:color w:val="000000"/>
                <w:kern w:val="0"/>
                <w:sz w:val="20"/>
                <w:szCs w:val="20"/>
                <w:lang w:bidi="ar"/>
              </w:rPr>
              <w:t xml:space="preserve">      </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460"/>
        </w:trPr>
        <w:tc>
          <w:tcPr>
            <w:tcW w:w="747" w:type="dxa"/>
            <w:vMerge/>
            <w:tcBorders>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052"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资金投入</w:t>
            </w: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预算编制科学性</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科学</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科学</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2</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2</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00" w:lineRule="exact"/>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评价要点：</w:t>
            </w:r>
            <w:r>
              <w:rPr>
                <w:rFonts w:ascii="Times New Roman" w:eastAsia="宋体" w:hAnsi="Times New Roman" w:cs="Times New Roman"/>
                <w:color w:val="000000"/>
                <w:kern w:val="0"/>
                <w:sz w:val="20"/>
                <w:szCs w:val="20"/>
                <w:lang w:bidi="ar"/>
              </w:rPr>
              <w:br/>
            </w:r>
            <w:r>
              <w:rPr>
                <w:rFonts w:ascii="Cambria Math" w:eastAsia="宋体" w:hAnsi="Cambria Math" w:cs="Cambria Math"/>
                <w:color w:val="000000"/>
                <w:kern w:val="0"/>
                <w:sz w:val="20"/>
                <w:szCs w:val="20"/>
                <w:lang w:bidi="ar"/>
              </w:rPr>
              <w:t>①</w:t>
            </w:r>
            <w:r>
              <w:rPr>
                <w:rFonts w:ascii="Times New Roman" w:eastAsia="宋体" w:hAnsi="Times New Roman" w:cs="Times New Roman"/>
                <w:color w:val="000000"/>
                <w:kern w:val="0"/>
                <w:sz w:val="20"/>
                <w:szCs w:val="20"/>
                <w:lang w:bidi="ar"/>
              </w:rPr>
              <w:t>预算编制是否经过科学论证；</w:t>
            </w:r>
            <w:r>
              <w:rPr>
                <w:rFonts w:ascii="Times New Roman" w:eastAsia="宋体" w:hAnsi="Times New Roman" w:cs="Times New Roman"/>
                <w:color w:val="000000"/>
                <w:kern w:val="0"/>
                <w:sz w:val="20"/>
                <w:szCs w:val="20"/>
                <w:lang w:bidi="ar"/>
              </w:rPr>
              <w:t xml:space="preserve"> </w:t>
            </w:r>
            <w:r>
              <w:rPr>
                <w:rFonts w:ascii="Cambria Math" w:eastAsia="宋体" w:hAnsi="Cambria Math" w:cs="Cambria Math"/>
                <w:color w:val="000000"/>
                <w:kern w:val="0"/>
                <w:sz w:val="20"/>
                <w:szCs w:val="20"/>
                <w:lang w:bidi="ar"/>
              </w:rPr>
              <w:t>②</w:t>
            </w:r>
            <w:r>
              <w:rPr>
                <w:rFonts w:ascii="Times New Roman" w:eastAsia="宋体" w:hAnsi="Times New Roman" w:cs="Times New Roman"/>
                <w:color w:val="000000"/>
                <w:kern w:val="0"/>
                <w:sz w:val="20"/>
                <w:szCs w:val="20"/>
                <w:lang w:bidi="ar"/>
              </w:rPr>
              <w:t>预算内容与项目内容是否匹配；</w:t>
            </w:r>
            <w:r>
              <w:rPr>
                <w:rFonts w:ascii="Cambria Math" w:eastAsia="宋体" w:hAnsi="Cambria Math" w:cs="Cambria Math"/>
                <w:color w:val="000000"/>
                <w:kern w:val="0"/>
                <w:sz w:val="20"/>
                <w:szCs w:val="20"/>
                <w:lang w:bidi="ar"/>
              </w:rPr>
              <w:t>③</w:t>
            </w:r>
            <w:r>
              <w:rPr>
                <w:rFonts w:ascii="Times New Roman" w:eastAsia="宋体" w:hAnsi="Times New Roman" w:cs="Times New Roman"/>
                <w:color w:val="000000"/>
                <w:kern w:val="0"/>
                <w:sz w:val="20"/>
                <w:szCs w:val="20"/>
                <w:lang w:bidi="ar"/>
              </w:rPr>
              <w:t>预算额度测算依据是否充分，是否按照标准编制；</w:t>
            </w:r>
            <w:r>
              <w:rPr>
                <w:rFonts w:ascii="Cambria Math" w:eastAsia="宋体" w:hAnsi="Cambria Math" w:cs="Cambria Math"/>
                <w:color w:val="000000"/>
                <w:kern w:val="0"/>
                <w:sz w:val="20"/>
                <w:szCs w:val="20"/>
                <w:lang w:bidi="ar"/>
              </w:rPr>
              <w:t>④</w:t>
            </w:r>
            <w:r>
              <w:rPr>
                <w:rFonts w:ascii="Times New Roman" w:eastAsia="宋体" w:hAnsi="Times New Roman" w:cs="Times New Roman"/>
                <w:color w:val="000000"/>
                <w:kern w:val="0"/>
                <w:sz w:val="20"/>
                <w:szCs w:val="20"/>
                <w:lang w:bidi="ar"/>
              </w:rPr>
              <w:t>预算确定的项目投资额或资金量是否与工作任务相匹配。</w:t>
            </w:r>
            <w:r>
              <w:rPr>
                <w:rFonts w:ascii="Times New Roman" w:eastAsia="宋体" w:hAnsi="Times New Roman" w:cs="Times New Roman"/>
                <w:color w:val="000000"/>
                <w:kern w:val="0"/>
                <w:sz w:val="20"/>
                <w:szCs w:val="20"/>
                <w:lang w:bidi="ar"/>
              </w:rPr>
              <w:br/>
            </w:r>
            <w:r>
              <w:rPr>
                <w:rFonts w:ascii="Times New Roman" w:eastAsia="宋体" w:hAnsi="Times New Roman" w:cs="Times New Roman"/>
                <w:color w:val="000000"/>
                <w:kern w:val="0"/>
                <w:sz w:val="20"/>
                <w:szCs w:val="20"/>
                <w:lang w:bidi="ar"/>
              </w:rPr>
              <w:t>评分规则：以上评价要点各占</w:t>
            </w:r>
            <w:r>
              <w:rPr>
                <w:rFonts w:ascii="Times New Roman" w:eastAsia="宋体" w:hAnsi="Times New Roman" w:cs="Times New Roman"/>
                <w:color w:val="000000"/>
                <w:kern w:val="0"/>
                <w:sz w:val="20"/>
                <w:szCs w:val="20"/>
                <w:lang w:bidi="ar"/>
              </w:rPr>
              <w:t>25%</w:t>
            </w:r>
            <w:r>
              <w:rPr>
                <w:rFonts w:ascii="Times New Roman" w:eastAsia="宋体" w:hAnsi="Times New Roman" w:cs="Times New Roman"/>
                <w:color w:val="000000"/>
                <w:kern w:val="0"/>
                <w:sz w:val="20"/>
                <w:szCs w:val="20"/>
                <w:lang w:bidi="ar"/>
              </w:rPr>
              <w:t>权重，每个要点执行情况分达成、部分达成、未达成三档，按</w:t>
            </w:r>
            <w:r>
              <w:rPr>
                <w:rFonts w:ascii="Times New Roman" w:eastAsia="宋体" w:hAnsi="Times New Roman" w:cs="Times New Roman"/>
                <w:color w:val="000000"/>
                <w:kern w:val="0"/>
                <w:sz w:val="20"/>
                <w:szCs w:val="20"/>
                <w:lang w:bidi="ar"/>
              </w:rPr>
              <w:t>100%-80%</w:t>
            </w:r>
            <w:r>
              <w:rPr>
                <w:rFonts w:ascii="Times New Roman" w:eastAsia="宋体" w:hAnsi="Times New Roman" w:cs="Times New Roman"/>
                <w:color w:val="000000"/>
                <w:kern w:val="0"/>
                <w:sz w:val="20"/>
                <w:szCs w:val="20"/>
                <w:lang w:bidi="ar"/>
              </w:rPr>
              <w:t>（含）、</w:t>
            </w:r>
            <w:r>
              <w:rPr>
                <w:rFonts w:ascii="Times New Roman" w:eastAsia="宋体" w:hAnsi="Times New Roman" w:cs="Times New Roman"/>
                <w:color w:val="000000"/>
                <w:kern w:val="0"/>
                <w:sz w:val="20"/>
                <w:szCs w:val="20"/>
                <w:lang w:bidi="ar"/>
              </w:rPr>
              <w:t>80%-60%</w:t>
            </w:r>
            <w:r>
              <w:rPr>
                <w:rFonts w:ascii="Times New Roman" w:eastAsia="宋体" w:hAnsi="Times New Roman" w:cs="Times New Roman"/>
                <w:color w:val="000000"/>
                <w:kern w:val="0"/>
                <w:sz w:val="20"/>
                <w:szCs w:val="20"/>
                <w:lang w:bidi="ar"/>
              </w:rPr>
              <w:t>（含）、</w:t>
            </w:r>
            <w:r>
              <w:rPr>
                <w:rFonts w:ascii="Times New Roman" w:eastAsia="宋体" w:hAnsi="Times New Roman" w:cs="Times New Roman"/>
                <w:color w:val="000000"/>
                <w:kern w:val="0"/>
                <w:sz w:val="20"/>
                <w:szCs w:val="20"/>
                <w:lang w:bidi="ar"/>
              </w:rPr>
              <w:t>60%-0%</w:t>
            </w:r>
            <w:r>
              <w:rPr>
                <w:rFonts w:ascii="Times New Roman" w:eastAsia="宋体" w:hAnsi="Times New Roman" w:cs="Times New Roman"/>
                <w:color w:val="000000"/>
                <w:kern w:val="0"/>
                <w:sz w:val="20"/>
                <w:szCs w:val="20"/>
                <w:lang w:bidi="ar"/>
              </w:rPr>
              <w:t>评分。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2209"/>
        </w:trPr>
        <w:tc>
          <w:tcPr>
            <w:tcW w:w="747" w:type="dxa"/>
            <w:tcBorders>
              <w:top w:val="single" w:sz="4" w:space="0" w:color="000000"/>
              <w:left w:val="single" w:sz="4" w:space="0" w:color="000000"/>
              <w:bottom w:val="single" w:sz="4" w:space="0" w:color="000000"/>
              <w:right w:val="single" w:sz="4" w:space="0" w:color="000000"/>
            </w:tcBorders>
            <w:vAlign w:val="center"/>
          </w:tcPr>
          <w:p w:rsidR="006E6B8E" w:rsidRDefault="00A76A9D">
            <w:pPr>
              <w:spacing w:line="320" w:lineRule="exact"/>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lastRenderedPageBreak/>
              <w:t>决策</w:t>
            </w:r>
          </w:p>
        </w:tc>
        <w:tc>
          <w:tcPr>
            <w:tcW w:w="1052" w:type="dxa"/>
            <w:tcBorders>
              <w:top w:val="single" w:sz="4" w:space="0" w:color="000000"/>
              <w:left w:val="single" w:sz="4" w:space="0" w:color="000000"/>
              <w:bottom w:val="single" w:sz="4" w:space="0" w:color="000000"/>
              <w:right w:val="single" w:sz="4" w:space="0" w:color="000000"/>
            </w:tcBorders>
            <w:vAlign w:val="center"/>
          </w:tcPr>
          <w:p w:rsidR="006E6B8E" w:rsidRDefault="00A76A9D">
            <w:pPr>
              <w:spacing w:line="320" w:lineRule="exact"/>
              <w:jc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sz w:val="20"/>
                <w:szCs w:val="20"/>
              </w:rPr>
              <w:t>资金投入</w:t>
            </w: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资金分配合理性</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合理</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合理</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评价要点：</w:t>
            </w:r>
            <w:r>
              <w:rPr>
                <w:rFonts w:ascii="Times New Roman" w:eastAsia="宋体" w:hAnsi="Times New Roman" w:cs="Times New Roman"/>
                <w:color w:val="000000"/>
                <w:kern w:val="0"/>
                <w:sz w:val="20"/>
                <w:szCs w:val="20"/>
                <w:lang w:bidi="ar"/>
              </w:rPr>
              <w:br/>
              <w:t xml:space="preserve"> </w:t>
            </w:r>
            <w:r>
              <w:rPr>
                <w:rFonts w:ascii="Cambria Math" w:eastAsia="宋体" w:hAnsi="Cambria Math" w:cs="Cambria Math"/>
                <w:color w:val="000000"/>
                <w:kern w:val="0"/>
                <w:sz w:val="20"/>
                <w:szCs w:val="20"/>
                <w:lang w:bidi="ar"/>
              </w:rPr>
              <w:t>①</w:t>
            </w:r>
            <w:r>
              <w:rPr>
                <w:rFonts w:ascii="Times New Roman" w:eastAsia="宋体" w:hAnsi="Times New Roman" w:cs="Times New Roman"/>
                <w:color w:val="000000"/>
                <w:kern w:val="0"/>
                <w:sz w:val="20"/>
                <w:szCs w:val="20"/>
                <w:lang w:bidi="ar"/>
              </w:rPr>
              <w:t>预算资金分配依据是否充分；</w:t>
            </w:r>
            <w:r>
              <w:rPr>
                <w:rFonts w:ascii="Times New Roman" w:eastAsia="宋体" w:hAnsi="Times New Roman" w:cs="Times New Roman"/>
                <w:color w:val="000000"/>
                <w:kern w:val="0"/>
                <w:sz w:val="20"/>
                <w:szCs w:val="20"/>
                <w:lang w:bidi="ar"/>
              </w:rPr>
              <w:t xml:space="preserve"> </w:t>
            </w:r>
            <w:r>
              <w:rPr>
                <w:rFonts w:ascii="Cambria Math" w:eastAsia="宋体" w:hAnsi="Cambria Math" w:cs="Cambria Math"/>
                <w:color w:val="000000"/>
                <w:kern w:val="0"/>
                <w:sz w:val="20"/>
                <w:szCs w:val="20"/>
                <w:lang w:bidi="ar"/>
              </w:rPr>
              <w:t>②</w:t>
            </w:r>
            <w:r>
              <w:rPr>
                <w:rFonts w:ascii="Times New Roman" w:eastAsia="宋体" w:hAnsi="Times New Roman" w:cs="Times New Roman"/>
                <w:color w:val="000000"/>
                <w:kern w:val="0"/>
                <w:sz w:val="20"/>
                <w:szCs w:val="20"/>
                <w:lang w:bidi="ar"/>
              </w:rPr>
              <w:t>资金分配额度是否合理，与项目单位或地方实际是否相适应。</w:t>
            </w:r>
            <w:r>
              <w:rPr>
                <w:rFonts w:ascii="Times New Roman" w:eastAsia="宋体" w:hAnsi="Times New Roman" w:cs="Times New Roman"/>
                <w:color w:val="000000"/>
                <w:kern w:val="0"/>
                <w:sz w:val="20"/>
                <w:szCs w:val="20"/>
                <w:lang w:bidi="ar"/>
              </w:rPr>
              <w:br/>
            </w:r>
            <w:r>
              <w:rPr>
                <w:rFonts w:ascii="Times New Roman" w:eastAsia="宋体" w:hAnsi="Times New Roman" w:cs="Times New Roman"/>
                <w:color w:val="000000"/>
                <w:kern w:val="0"/>
                <w:sz w:val="20"/>
                <w:szCs w:val="20"/>
                <w:lang w:bidi="ar"/>
              </w:rPr>
              <w:t>评分规则：以上评价要点各占</w:t>
            </w:r>
            <w:r>
              <w:rPr>
                <w:rFonts w:ascii="Times New Roman" w:eastAsia="宋体" w:hAnsi="Times New Roman" w:cs="Times New Roman"/>
                <w:color w:val="000000"/>
                <w:kern w:val="0"/>
                <w:sz w:val="20"/>
                <w:szCs w:val="20"/>
                <w:lang w:bidi="ar"/>
              </w:rPr>
              <w:t>50%</w:t>
            </w:r>
            <w:r>
              <w:rPr>
                <w:rFonts w:ascii="Times New Roman" w:eastAsia="宋体" w:hAnsi="Times New Roman" w:cs="Times New Roman"/>
                <w:color w:val="000000"/>
                <w:kern w:val="0"/>
                <w:sz w:val="20"/>
                <w:szCs w:val="20"/>
                <w:lang w:bidi="ar"/>
              </w:rPr>
              <w:t>权重，每个要点执行情况分达成、部分达成、未达成三档，按</w:t>
            </w:r>
            <w:r>
              <w:rPr>
                <w:rFonts w:ascii="Times New Roman" w:eastAsia="宋体" w:hAnsi="Times New Roman" w:cs="Times New Roman"/>
                <w:color w:val="000000"/>
                <w:kern w:val="0"/>
                <w:sz w:val="20"/>
                <w:szCs w:val="20"/>
                <w:lang w:bidi="ar"/>
              </w:rPr>
              <w:t>100%-80%</w:t>
            </w:r>
            <w:r>
              <w:rPr>
                <w:rFonts w:ascii="Times New Roman" w:eastAsia="宋体" w:hAnsi="Times New Roman" w:cs="Times New Roman"/>
                <w:color w:val="000000"/>
                <w:kern w:val="0"/>
                <w:sz w:val="20"/>
                <w:szCs w:val="20"/>
                <w:lang w:bidi="ar"/>
              </w:rPr>
              <w:t>（含）、</w:t>
            </w:r>
            <w:r>
              <w:rPr>
                <w:rFonts w:ascii="Times New Roman" w:eastAsia="宋体" w:hAnsi="Times New Roman" w:cs="Times New Roman"/>
                <w:color w:val="000000"/>
                <w:kern w:val="0"/>
                <w:sz w:val="20"/>
                <w:szCs w:val="20"/>
                <w:lang w:bidi="ar"/>
              </w:rPr>
              <w:t>80%-60%</w:t>
            </w:r>
            <w:r>
              <w:rPr>
                <w:rFonts w:ascii="Times New Roman" w:eastAsia="宋体" w:hAnsi="Times New Roman" w:cs="Times New Roman"/>
                <w:color w:val="000000"/>
                <w:kern w:val="0"/>
                <w:sz w:val="20"/>
                <w:szCs w:val="20"/>
                <w:lang w:bidi="ar"/>
              </w:rPr>
              <w:t>（含）、</w:t>
            </w:r>
            <w:r>
              <w:rPr>
                <w:rFonts w:ascii="Times New Roman" w:eastAsia="宋体" w:hAnsi="Times New Roman" w:cs="Times New Roman"/>
                <w:color w:val="000000"/>
                <w:kern w:val="0"/>
                <w:sz w:val="20"/>
                <w:szCs w:val="20"/>
                <w:lang w:bidi="ar"/>
              </w:rPr>
              <w:t>60%-0%</w:t>
            </w:r>
            <w:r>
              <w:rPr>
                <w:rFonts w:ascii="Times New Roman" w:eastAsia="宋体" w:hAnsi="Times New Roman" w:cs="Times New Roman"/>
                <w:color w:val="000000"/>
                <w:kern w:val="0"/>
                <w:sz w:val="20"/>
                <w:szCs w:val="20"/>
                <w:lang w:bidi="ar"/>
              </w:rPr>
              <w:t>评分。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1785"/>
        </w:trPr>
        <w:tc>
          <w:tcPr>
            <w:tcW w:w="747" w:type="dxa"/>
            <w:vMerge w:val="restart"/>
            <w:tcBorders>
              <w:top w:val="single" w:sz="4" w:space="0" w:color="000000"/>
              <w:left w:val="single" w:sz="4" w:space="0" w:color="000000"/>
              <w:bottom w:val="single" w:sz="4" w:space="0" w:color="000000"/>
              <w:right w:val="single" w:sz="4" w:space="0" w:color="000000"/>
            </w:tcBorders>
            <w:vAlign w:val="center"/>
          </w:tcPr>
          <w:p w:rsidR="006E6B8E" w:rsidRDefault="00A76A9D">
            <w:pPr>
              <w:spacing w:line="320" w:lineRule="exact"/>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过程</w:t>
            </w:r>
          </w:p>
        </w:tc>
        <w:tc>
          <w:tcPr>
            <w:tcW w:w="1052" w:type="dxa"/>
            <w:vMerge w:val="restart"/>
            <w:tcBorders>
              <w:top w:val="single" w:sz="4" w:space="0" w:color="000000"/>
              <w:left w:val="single" w:sz="4" w:space="0" w:color="000000"/>
              <w:right w:val="single" w:sz="4" w:space="0" w:color="000000"/>
            </w:tcBorders>
            <w:vAlign w:val="center"/>
          </w:tcPr>
          <w:p w:rsidR="006E6B8E" w:rsidRDefault="00A76A9D">
            <w:pPr>
              <w:spacing w:line="320" w:lineRule="exact"/>
              <w:jc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sz w:val="20"/>
                <w:szCs w:val="20"/>
              </w:rPr>
              <w:t>资金管理</w:t>
            </w: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预算执行率</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w:t>
            </w:r>
            <w:r>
              <w:rPr>
                <w:rFonts w:ascii="Times New Roman" w:eastAsia="宋体" w:hAnsi="Times New Roman" w:cs="Times New Roman"/>
                <w:kern w:val="0"/>
                <w:sz w:val="20"/>
                <w:szCs w:val="20"/>
                <w:lang w:bidi="ar"/>
              </w:rPr>
              <w:t>100%</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sz w:val="24"/>
                <w:szCs w:val="24"/>
              </w:rPr>
            </w:pPr>
            <w:r>
              <w:rPr>
                <w:rFonts w:ascii="Times New Roman" w:eastAsia="宋体" w:hAnsi="Times New Roman" w:cs="Times New Roman" w:hint="eastAsia"/>
                <w:kern w:val="0"/>
                <w:sz w:val="22"/>
                <w:lang w:bidi="ar"/>
              </w:rPr>
              <w:t>54.20%</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3</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1.6</w:t>
            </w:r>
            <w:r>
              <w:rPr>
                <w:rFonts w:ascii="Times New Roman" w:eastAsia="宋体" w:hAnsi="Times New Roman" w:cs="Times New Roman" w:hint="eastAsia"/>
                <w:kern w:val="0"/>
                <w:sz w:val="20"/>
                <w:szCs w:val="20"/>
                <w:lang w:bidi="ar"/>
              </w:rPr>
              <w:t>3</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预算执行率</w:t>
            </w:r>
            <w:r>
              <w:rPr>
                <w:rFonts w:ascii="Times New Roman" w:eastAsia="宋体" w:hAnsi="Times New Roman" w:cs="Times New Roman" w:hint="eastAsia"/>
                <w:color w:val="000000"/>
                <w:kern w:val="0"/>
                <w:sz w:val="20"/>
                <w:szCs w:val="20"/>
                <w:lang w:bidi="ar"/>
              </w:rPr>
              <w:t>=</w:t>
            </w:r>
            <w:r>
              <w:rPr>
                <w:rFonts w:ascii="Times New Roman" w:eastAsia="宋体" w:hAnsi="Times New Roman" w:cs="Times New Roman" w:hint="eastAsia"/>
                <w:color w:val="000000"/>
                <w:kern w:val="0"/>
                <w:sz w:val="20"/>
                <w:szCs w:val="20"/>
                <w:lang w:bidi="ar"/>
              </w:rPr>
              <w:t>（实际支出资金</w:t>
            </w:r>
            <w:r>
              <w:rPr>
                <w:rFonts w:ascii="Times New Roman" w:eastAsia="宋体" w:hAnsi="Times New Roman" w:cs="Times New Roman" w:hint="eastAsia"/>
                <w:color w:val="000000"/>
                <w:kern w:val="0"/>
                <w:sz w:val="20"/>
                <w:szCs w:val="20"/>
                <w:lang w:bidi="ar"/>
              </w:rPr>
              <w:t>/</w:t>
            </w:r>
            <w:r>
              <w:rPr>
                <w:rFonts w:ascii="Times New Roman" w:eastAsia="宋体" w:hAnsi="Times New Roman" w:cs="Times New Roman" w:hint="eastAsia"/>
                <w:color w:val="000000"/>
                <w:kern w:val="0"/>
                <w:sz w:val="20"/>
                <w:szCs w:val="20"/>
                <w:lang w:bidi="ar"/>
              </w:rPr>
              <w:t>实际到位资金）×</w:t>
            </w:r>
            <w:r>
              <w:rPr>
                <w:rFonts w:ascii="Times New Roman" w:eastAsia="宋体" w:hAnsi="Times New Roman" w:cs="Times New Roman" w:hint="eastAsia"/>
                <w:color w:val="000000"/>
                <w:kern w:val="0"/>
                <w:sz w:val="20"/>
                <w:szCs w:val="20"/>
                <w:lang w:bidi="ar"/>
              </w:rPr>
              <w:t>100%</w:t>
            </w:r>
            <w:r>
              <w:rPr>
                <w:rFonts w:ascii="Times New Roman" w:eastAsia="宋体" w:hAnsi="Times New Roman" w:cs="Times New Roman" w:hint="eastAsia"/>
                <w:color w:val="000000"/>
                <w:kern w:val="0"/>
                <w:sz w:val="20"/>
                <w:szCs w:val="20"/>
                <w:lang w:bidi="ar"/>
              </w:rPr>
              <w:t>。</w:t>
            </w:r>
          </w:p>
          <w:p w:rsidR="006E6B8E" w:rsidRDefault="00A76A9D">
            <w:pPr>
              <w:widowControl/>
              <w:spacing w:line="320" w:lineRule="exact"/>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hint="eastAsia"/>
                <w:color w:val="000000"/>
                <w:kern w:val="0"/>
                <w:sz w:val="20"/>
                <w:szCs w:val="20"/>
                <w:lang w:bidi="ar"/>
              </w:rPr>
              <w:t>实际支出资金：一定时期（本年度或项目期）内项目实际拨付的资金。</w:t>
            </w:r>
          </w:p>
          <w:p w:rsidR="006E6B8E" w:rsidRDefault="00A76A9D">
            <w:pPr>
              <w:widowControl/>
              <w:spacing w:line="320" w:lineRule="exact"/>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hint="eastAsia"/>
                <w:color w:val="000000"/>
                <w:kern w:val="0"/>
                <w:sz w:val="20"/>
                <w:szCs w:val="20"/>
                <w:lang w:bidi="ar"/>
              </w:rPr>
              <w:t>评分规则：得分</w:t>
            </w:r>
            <w:r>
              <w:rPr>
                <w:rFonts w:ascii="Times New Roman" w:eastAsia="宋体" w:hAnsi="Times New Roman" w:cs="Times New Roman" w:hint="eastAsia"/>
                <w:color w:val="000000"/>
                <w:kern w:val="0"/>
                <w:sz w:val="20"/>
                <w:szCs w:val="20"/>
                <w:lang w:bidi="ar"/>
              </w:rPr>
              <w:t>=</w:t>
            </w:r>
            <w:r>
              <w:rPr>
                <w:rFonts w:ascii="Times New Roman" w:eastAsia="宋体" w:hAnsi="Times New Roman" w:cs="Times New Roman" w:hint="eastAsia"/>
                <w:color w:val="000000"/>
                <w:kern w:val="0"/>
                <w:sz w:val="20"/>
                <w:szCs w:val="20"/>
                <w:lang w:bidi="ar"/>
              </w:rPr>
              <w:t>资金到位率×分值</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80" w:lineRule="exact"/>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各区对项目补助资金实现</w:t>
            </w:r>
            <w:r>
              <w:rPr>
                <w:rFonts w:ascii="Times New Roman" w:eastAsia="宋体" w:hAnsi="Times New Roman" w:cs="Times New Roman"/>
                <w:color w:val="000000"/>
                <w:kern w:val="0"/>
                <w:sz w:val="18"/>
                <w:szCs w:val="18"/>
                <w:lang w:bidi="ar"/>
              </w:rPr>
              <w:t>“</w:t>
            </w:r>
            <w:r>
              <w:rPr>
                <w:rFonts w:ascii="Times New Roman" w:eastAsia="宋体" w:hAnsi="Times New Roman" w:cs="Times New Roman"/>
                <w:color w:val="000000"/>
                <w:kern w:val="0"/>
                <w:sz w:val="18"/>
                <w:szCs w:val="18"/>
                <w:lang w:bidi="ar"/>
              </w:rPr>
              <w:t>先建后补</w:t>
            </w:r>
            <w:r>
              <w:rPr>
                <w:rFonts w:ascii="Times New Roman" w:eastAsia="宋体" w:hAnsi="Times New Roman" w:cs="Times New Roman"/>
                <w:color w:val="000000"/>
                <w:kern w:val="0"/>
                <w:sz w:val="18"/>
                <w:szCs w:val="18"/>
                <w:lang w:bidi="ar"/>
              </w:rPr>
              <w:t>”</w:t>
            </w:r>
            <w:r>
              <w:rPr>
                <w:rFonts w:ascii="Times New Roman" w:eastAsia="宋体" w:hAnsi="Times New Roman" w:cs="Times New Roman"/>
                <w:color w:val="000000"/>
                <w:kern w:val="0"/>
                <w:sz w:val="18"/>
                <w:szCs w:val="18"/>
                <w:lang w:bidi="ar"/>
              </w:rPr>
              <w:t>的政策，待建设项目验收合格后再拨付财政资金。</w:t>
            </w:r>
            <w:r>
              <w:rPr>
                <w:rFonts w:ascii="Times New Roman" w:eastAsia="宋体" w:hAnsi="Times New Roman" w:cs="Times New Roman" w:hint="eastAsia"/>
                <w:color w:val="000000"/>
                <w:kern w:val="0"/>
                <w:sz w:val="18"/>
                <w:szCs w:val="18"/>
                <w:lang w:bidi="ar"/>
              </w:rPr>
              <w:t>部分项目还在建设期；部分项目已验收但尚未支付资金。</w:t>
            </w:r>
          </w:p>
        </w:tc>
      </w:tr>
      <w:tr w:rsidR="006E6B8E">
        <w:trPr>
          <w:trHeight w:val="2788"/>
        </w:trPr>
        <w:tc>
          <w:tcPr>
            <w:tcW w:w="747" w:type="dxa"/>
            <w:vMerge/>
            <w:tcBorders>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052" w:type="dxa"/>
            <w:vMerge/>
            <w:tcBorders>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资金使用合</w:t>
            </w:r>
            <w:proofErr w:type="gramStart"/>
            <w:r>
              <w:rPr>
                <w:rFonts w:ascii="Times New Roman" w:eastAsia="宋体" w:hAnsi="Times New Roman" w:cs="Times New Roman"/>
                <w:color w:val="000000"/>
                <w:kern w:val="0"/>
                <w:sz w:val="20"/>
                <w:szCs w:val="20"/>
                <w:lang w:bidi="ar"/>
              </w:rPr>
              <w:t>规</w:t>
            </w:r>
            <w:proofErr w:type="gramEnd"/>
            <w:r>
              <w:rPr>
                <w:rFonts w:ascii="Times New Roman" w:eastAsia="宋体" w:hAnsi="Times New Roman" w:cs="Times New Roman"/>
                <w:color w:val="000000"/>
                <w:kern w:val="0"/>
                <w:sz w:val="20"/>
                <w:szCs w:val="20"/>
                <w:lang w:bidi="ar"/>
              </w:rPr>
              <w:t>性</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合</w:t>
            </w:r>
            <w:proofErr w:type="gramStart"/>
            <w:r>
              <w:rPr>
                <w:rFonts w:ascii="Times New Roman" w:eastAsia="宋体" w:hAnsi="Times New Roman" w:cs="Times New Roman"/>
                <w:color w:val="000000"/>
                <w:kern w:val="0"/>
                <w:sz w:val="20"/>
                <w:szCs w:val="20"/>
                <w:lang w:bidi="ar"/>
              </w:rPr>
              <w:t>规</w:t>
            </w:r>
            <w:proofErr w:type="gramEnd"/>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合</w:t>
            </w:r>
            <w:proofErr w:type="gramStart"/>
            <w:r>
              <w:rPr>
                <w:rFonts w:ascii="Times New Roman" w:eastAsia="宋体" w:hAnsi="Times New Roman" w:cs="Times New Roman"/>
                <w:color w:val="000000"/>
                <w:kern w:val="0"/>
                <w:sz w:val="20"/>
                <w:szCs w:val="20"/>
                <w:lang w:bidi="ar"/>
              </w:rPr>
              <w:t>规</w:t>
            </w:r>
            <w:proofErr w:type="gramEnd"/>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50" w:lineRule="exac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评价要点：</w:t>
            </w:r>
            <w:r>
              <w:rPr>
                <w:rFonts w:ascii="Times New Roman" w:eastAsia="宋体" w:hAnsi="Times New Roman" w:cs="Times New Roman"/>
                <w:color w:val="000000"/>
                <w:kern w:val="0"/>
                <w:sz w:val="20"/>
                <w:szCs w:val="20"/>
                <w:lang w:bidi="ar"/>
              </w:rPr>
              <w:br/>
              <w:t xml:space="preserve"> </w:t>
            </w:r>
            <w:r>
              <w:rPr>
                <w:rFonts w:ascii="Cambria Math" w:eastAsia="宋体" w:hAnsi="Cambria Math" w:cs="Cambria Math"/>
                <w:color w:val="000000"/>
                <w:kern w:val="0"/>
                <w:sz w:val="20"/>
                <w:szCs w:val="20"/>
                <w:lang w:bidi="ar"/>
              </w:rPr>
              <w:t>①</w:t>
            </w:r>
            <w:r>
              <w:rPr>
                <w:rFonts w:ascii="Times New Roman" w:eastAsia="宋体" w:hAnsi="Times New Roman" w:cs="Times New Roman"/>
                <w:color w:val="000000"/>
                <w:kern w:val="0"/>
                <w:sz w:val="20"/>
                <w:szCs w:val="20"/>
                <w:lang w:bidi="ar"/>
              </w:rPr>
              <w:t>是否符合国家财经法规和财务管理制度以及有关专项资金管理办法的规定；</w:t>
            </w:r>
            <w:r>
              <w:rPr>
                <w:rFonts w:ascii="Times New Roman" w:eastAsia="宋体" w:hAnsi="Times New Roman" w:cs="Times New Roman"/>
                <w:color w:val="000000"/>
                <w:kern w:val="0"/>
                <w:sz w:val="20"/>
                <w:szCs w:val="20"/>
                <w:lang w:bidi="ar"/>
              </w:rPr>
              <w:t xml:space="preserve"> </w:t>
            </w:r>
            <w:r>
              <w:rPr>
                <w:rFonts w:ascii="Cambria Math" w:eastAsia="宋体" w:hAnsi="Cambria Math" w:cs="Cambria Math"/>
                <w:color w:val="000000"/>
                <w:kern w:val="0"/>
                <w:sz w:val="20"/>
                <w:szCs w:val="20"/>
                <w:lang w:bidi="ar"/>
              </w:rPr>
              <w:t>②</w:t>
            </w:r>
            <w:r>
              <w:rPr>
                <w:rFonts w:ascii="Times New Roman" w:eastAsia="宋体" w:hAnsi="Times New Roman" w:cs="Times New Roman"/>
                <w:color w:val="000000"/>
                <w:kern w:val="0"/>
                <w:sz w:val="20"/>
                <w:szCs w:val="20"/>
                <w:lang w:bidi="ar"/>
              </w:rPr>
              <w:t>资金的拨付是否有完整的审批程序和手续；</w:t>
            </w:r>
            <w:r>
              <w:rPr>
                <w:rFonts w:ascii="Times New Roman" w:eastAsia="宋体" w:hAnsi="Times New Roman" w:cs="Times New Roman"/>
                <w:color w:val="000000"/>
                <w:kern w:val="0"/>
                <w:sz w:val="20"/>
                <w:szCs w:val="20"/>
                <w:lang w:bidi="ar"/>
              </w:rPr>
              <w:t xml:space="preserve"> </w:t>
            </w:r>
            <w:r>
              <w:rPr>
                <w:rFonts w:ascii="Cambria Math" w:eastAsia="宋体" w:hAnsi="Cambria Math" w:cs="Cambria Math"/>
                <w:color w:val="000000"/>
                <w:kern w:val="0"/>
                <w:sz w:val="20"/>
                <w:szCs w:val="20"/>
                <w:lang w:bidi="ar"/>
              </w:rPr>
              <w:t>③</w:t>
            </w:r>
            <w:r>
              <w:rPr>
                <w:rFonts w:ascii="Times New Roman" w:eastAsia="宋体" w:hAnsi="Times New Roman" w:cs="Times New Roman"/>
                <w:color w:val="000000"/>
                <w:kern w:val="0"/>
                <w:sz w:val="20"/>
                <w:szCs w:val="20"/>
                <w:lang w:bidi="ar"/>
              </w:rPr>
              <w:t>是否符合项目预算批复或合同规定的用途；</w:t>
            </w:r>
            <w:r>
              <w:rPr>
                <w:rFonts w:ascii="Times New Roman" w:eastAsia="宋体" w:hAnsi="Times New Roman" w:cs="Times New Roman"/>
                <w:color w:val="000000"/>
                <w:kern w:val="0"/>
                <w:sz w:val="20"/>
                <w:szCs w:val="20"/>
                <w:lang w:bidi="ar"/>
              </w:rPr>
              <w:t xml:space="preserve"> </w:t>
            </w:r>
            <w:r>
              <w:rPr>
                <w:rFonts w:ascii="Cambria Math" w:eastAsia="宋体" w:hAnsi="Cambria Math" w:cs="Cambria Math"/>
                <w:color w:val="000000"/>
                <w:kern w:val="0"/>
                <w:sz w:val="20"/>
                <w:szCs w:val="20"/>
                <w:lang w:bidi="ar"/>
              </w:rPr>
              <w:t>④</w:t>
            </w:r>
            <w:r>
              <w:rPr>
                <w:rFonts w:ascii="Times New Roman" w:eastAsia="宋体" w:hAnsi="Times New Roman" w:cs="Times New Roman"/>
                <w:color w:val="000000"/>
                <w:kern w:val="0"/>
                <w:sz w:val="20"/>
                <w:szCs w:val="20"/>
                <w:lang w:bidi="ar"/>
              </w:rPr>
              <w:t>是否存在截留、挤占、挪用、虚列支出等情况。</w:t>
            </w:r>
            <w:r>
              <w:rPr>
                <w:rFonts w:ascii="Times New Roman" w:eastAsia="宋体" w:hAnsi="Times New Roman" w:cs="Times New Roman"/>
                <w:color w:val="000000"/>
                <w:kern w:val="0"/>
                <w:sz w:val="20"/>
                <w:szCs w:val="20"/>
                <w:lang w:bidi="ar"/>
              </w:rPr>
              <w:br/>
            </w:r>
            <w:r>
              <w:rPr>
                <w:rFonts w:ascii="Times New Roman" w:eastAsia="宋体" w:hAnsi="Times New Roman" w:cs="Times New Roman"/>
                <w:color w:val="000000"/>
                <w:kern w:val="0"/>
                <w:sz w:val="20"/>
                <w:szCs w:val="20"/>
                <w:lang w:bidi="ar"/>
              </w:rPr>
              <w:t>评分规则：以上评价要点各占</w:t>
            </w:r>
            <w:r>
              <w:rPr>
                <w:rFonts w:ascii="Times New Roman" w:eastAsia="宋体" w:hAnsi="Times New Roman" w:cs="Times New Roman"/>
                <w:color w:val="000000"/>
                <w:kern w:val="0"/>
                <w:sz w:val="20"/>
                <w:szCs w:val="20"/>
                <w:lang w:bidi="ar"/>
              </w:rPr>
              <w:t>25%</w:t>
            </w:r>
            <w:r>
              <w:rPr>
                <w:rFonts w:ascii="Times New Roman" w:eastAsia="宋体" w:hAnsi="Times New Roman" w:cs="Times New Roman"/>
                <w:color w:val="000000"/>
                <w:kern w:val="0"/>
                <w:sz w:val="20"/>
                <w:szCs w:val="20"/>
                <w:lang w:bidi="ar"/>
              </w:rPr>
              <w:t>权重，每个要点执行情况分达成、部分达成、未达成三档，按</w:t>
            </w:r>
            <w:r>
              <w:rPr>
                <w:rFonts w:ascii="Times New Roman" w:eastAsia="宋体" w:hAnsi="Times New Roman" w:cs="Times New Roman"/>
                <w:color w:val="000000"/>
                <w:kern w:val="0"/>
                <w:sz w:val="20"/>
                <w:szCs w:val="20"/>
                <w:lang w:bidi="ar"/>
              </w:rPr>
              <w:t>100%-80%</w:t>
            </w:r>
            <w:r>
              <w:rPr>
                <w:rFonts w:ascii="Times New Roman" w:eastAsia="宋体" w:hAnsi="Times New Roman" w:cs="Times New Roman"/>
                <w:color w:val="000000"/>
                <w:kern w:val="0"/>
                <w:sz w:val="20"/>
                <w:szCs w:val="20"/>
                <w:lang w:bidi="ar"/>
              </w:rPr>
              <w:t>（含）、</w:t>
            </w:r>
            <w:r>
              <w:rPr>
                <w:rFonts w:ascii="Times New Roman" w:eastAsia="宋体" w:hAnsi="Times New Roman" w:cs="Times New Roman"/>
                <w:color w:val="000000"/>
                <w:kern w:val="0"/>
                <w:sz w:val="20"/>
                <w:szCs w:val="20"/>
                <w:lang w:bidi="ar"/>
              </w:rPr>
              <w:t>80%-60%</w:t>
            </w:r>
            <w:r>
              <w:rPr>
                <w:rFonts w:ascii="Times New Roman" w:eastAsia="宋体" w:hAnsi="Times New Roman" w:cs="Times New Roman"/>
                <w:color w:val="000000"/>
                <w:kern w:val="0"/>
                <w:sz w:val="20"/>
                <w:szCs w:val="20"/>
                <w:lang w:bidi="ar"/>
              </w:rPr>
              <w:t>（含）、</w:t>
            </w:r>
            <w:r>
              <w:rPr>
                <w:rFonts w:ascii="Times New Roman" w:eastAsia="宋体" w:hAnsi="Times New Roman" w:cs="Times New Roman"/>
                <w:color w:val="000000"/>
                <w:kern w:val="0"/>
                <w:sz w:val="20"/>
                <w:szCs w:val="20"/>
                <w:lang w:bidi="ar"/>
              </w:rPr>
              <w:t>60%-0%</w:t>
            </w:r>
            <w:r>
              <w:rPr>
                <w:rFonts w:ascii="Times New Roman" w:eastAsia="宋体" w:hAnsi="Times New Roman" w:cs="Times New Roman"/>
                <w:color w:val="000000"/>
                <w:kern w:val="0"/>
                <w:sz w:val="20"/>
                <w:szCs w:val="20"/>
                <w:lang w:bidi="ar"/>
              </w:rPr>
              <w:t>评分。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1665"/>
        </w:trPr>
        <w:tc>
          <w:tcPr>
            <w:tcW w:w="747" w:type="dxa"/>
            <w:vMerge/>
            <w:tcBorders>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kern w:val="0"/>
                <w:sz w:val="20"/>
                <w:szCs w:val="20"/>
                <w:lang w:bidi="ar"/>
              </w:rPr>
            </w:pPr>
          </w:p>
        </w:tc>
        <w:tc>
          <w:tcPr>
            <w:tcW w:w="1052" w:type="dxa"/>
            <w:tcBorders>
              <w:top w:val="single" w:sz="4" w:space="0" w:color="000000"/>
              <w:left w:val="single" w:sz="4" w:space="0" w:color="000000"/>
              <w:bottom w:val="single" w:sz="4" w:space="0" w:color="000000"/>
              <w:right w:val="single" w:sz="4" w:space="0" w:color="000000"/>
            </w:tcBorders>
            <w:vAlign w:val="center"/>
          </w:tcPr>
          <w:p w:rsidR="006E6B8E" w:rsidRDefault="00A76A9D">
            <w:pPr>
              <w:spacing w:line="320" w:lineRule="exact"/>
              <w:jc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sz w:val="20"/>
                <w:szCs w:val="20"/>
              </w:rPr>
              <w:t>资金管理</w:t>
            </w: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资金到位率</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kern w:val="0"/>
                <w:sz w:val="20"/>
                <w:szCs w:val="20"/>
                <w:lang w:bidi="ar"/>
              </w:rPr>
              <w:t>100%</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kern w:val="0"/>
                <w:sz w:val="22"/>
                <w:lang w:bidi="ar"/>
              </w:rPr>
              <w:t>100%</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kern w:val="0"/>
                <w:sz w:val="20"/>
                <w:szCs w:val="20"/>
                <w:lang w:bidi="ar"/>
              </w:rPr>
              <w:t>3</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kern w:val="0"/>
                <w:sz w:val="20"/>
                <w:szCs w:val="20"/>
                <w:lang w:bidi="ar"/>
              </w:rPr>
              <w:t>3</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50" w:lineRule="exac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资金到位率</w:t>
            </w:r>
            <w:r>
              <w:rPr>
                <w:rFonts w:ascii="Times New Roman" w:eastAsia="宋体" w:hAnsi="Times New Roman" w:cs="Times New Roman"/>
                <w:color w:val="000000"/>
                <w:kern w:val="0"/>
                <w:sz w:val="20"/>
                <w:szCs w:val="20"/>
                <w:lang w:bidi="ar"/>
              </w:rPr>
              <w:t>=</w:t>
            </w:r>
            <w:r>
              <w:rPr>
                <w:rFonts w:ascii="Times New Roman" w:eastAsia="宋体" w:hAnsi="Times New Roman" w:cs="Times New Roman"/>
                <w:color w:val="000000"/>
                <w:kern w:val="0"/>
                <w:sz w:val="20"/>
                <w:szCs w:val="20"/>
                <w:lang w:bidi="ar"/>
              </w:rPr>
              <w:t>（实际到位资金</w:t>
            </w:r>
            <w:r>
              <w:rPr>
                <w:rFonts w:ascii="Times New Roman" w:eastAsia="宋体" w:hAnsi="Times New Roman" w:cs="Times New Roman"/>
                <w:color w:val="000000"/>
                <w:kern w:val="0"/>
                <w:sz w:val="20"/>
                <w:szCs w:val="20"/>
                <w:lang w:bidi="ar"/>
              </w:rPr>
              <w:t>/</w:t>
            </w:r>
            <w:r>
              <w:rPr>
                <w:rFonts w:ascii="Times New Roman" w:eastAsia="宋体" w:hAnsi="Times New Roman" w:cs="Times New Roman"/>
                <w:color w:val="000000"/>
                <w:kern w:val="0"/>
                <w:sz w:val="20"/>
                <w:szCs w:val="20"/>
                <w:lang w:bidi="ar"/>
              </w:rPr>
              <w:t>预算资金）</w:t>
            </w:r>
            <w:r>
              <w:rPr>
                <w:rFonts w:ascii="Times New Roman" w:eastAsia="宋体" w:hAnsi="Times New Roman" w:cs="Times New Roman"/>
                <w:color w:val="000000"/>
                <w:kern w:val="0"/>
                <w:sz w:val="20"/>
                <w:szCs w:val="20"/>
                <w:lang w:bidi="ar"/>
              </w:rPr>
              <w:t>×100%</w:t>
            </w:r>
            <w:r>
              <w:rPr>
                <w:rFonts w:ascii="Times New Roman" w:eastAsia="宋体" w:hAnsi="Times New Roman" w:cs="Times New Roman"/>
                <w:color w:val="000000"/>
                <w:kern w:val="0"/>
                <w:sz w:val="20"/>
                <w:szCs w:val="20"/>
                <w:lang w:bidi="ar"/>
              </w:rPr>
              <w:t>。</w:t>
            </w:r>
            <w:r>
              <w:rPr>
                <w:rFonts w:ascii="Times New Roman" w:eastAsia="宋体" w:hAnsi="Times New Roman" w:cs="Times New Roman"/>
                <w:color w:val="000000"/>
                <w:kern w:val="0"/>
                <w:sz w:val="20"/>
                <w:szCs w:val="20"/>
                <w:lang w:bidi="ar"/>
              </w:rPr>
              <w:br/>
            </w:r>
            <w:r>
              <w:rPr>
                <w:rFonts w:ascii="Times New Roman" w:eastAsia="宋体" w:hAnsi="Times New Roman" w:cs="Times New Roman"/>
                <w:color w:val="000000"/>
                <w:kern w:val="0"/>
                <w:sz w:val="20"/>
                <w:szCs w:val="20"/>
                <w:lang w:bidi="ar"/>
              </w:rPr>
              <w:t>实际到位资金：一定时期（本年度或项目期）内落实到</w:t>
            </w:r>
            <w:r>
              <w:rPr>
                <w:rFonts w:ascii="Times New Roman" w:eastAsia="宋体" w:hAnsi="Times New Roman" w:cs="Times New Roman" w:hint="eastAsia"/>
                <w:color w:val="000000"/>
                <w:kern w:val="0"/>
                <w:sz w:val="20"/>
                <w:szCs w:val="20"/>
                <w:lang w:bidi="ar"/>
              </w:rPr>
              <w:t>位的市级</w:t>
            </w:r>
            <w:r>
              <w:rPr>
                <w:rFonts w:ascii="Times New Roman" w:eastAsia="宋体" w:hAnsi="Times New Roman" w:cs="Times New Roman"/>
                <w:color w:val="000000"/>
                <w:kern w:val="0"/>
                <w:sz w:val="20"/>
                <w:szCs w:val="20"/>
                <w:lang w:bidi="ar"/>
              </w:rPr>
              <w:t>资金。</w:t>
            </w:r>
            <w:r>
              <w:rPr>
                <w:rFonts w:ascii="Times New Roman" w:eastAsia="宋体" w:hAnsi="Times New Roman" w:cs="Times New Roman"/>
                <w:color w:val="000000"/>
                <w:kern w:val="0"/>
                <w:sz w:val="20"/>
                <w:szCs w:val="20"/>
                <w:lang w:bidi="ar"/>
              </w:rPr>
              <w:br/>
            </w:r>
            <w:r>
              <w:rPr>
                <w:rFonts w:ascii="Times New Roman" w:eastAsia="宋体" w:hAnsi="Times New Roman" w:cs="Times New Roman"/>
                <w:color w:val="000000"/>
                <w:kern w:val="0"/>
                <w:sz w:val="20"/>
                <w:szCs w:val="20"/>
                <w:lang w:bidi="ar"/>
              </w:rPr>
              <w:t>预算资金：一定时期（本年度或项目期）</w:t>
            </w:r>
            <w:proofErr w:type="gramStart"/>
            <w:r>
              <w:rPr>
                <w:rFonts w:ascii="Times New Roman" w:eastAsia="宋体" w:hAnsi="Times New Roman" w:cs="Times New Roman"/>
                <w:color w:val="000000"/>
                <w:kern w:val="0"/>
                <w:sz w:val="20"/>
                <w:szCs w:val="20"/>
                <w:lang w:bidi="ar"/>
              </w:rPr>
              <w:t>内预算</w:t>
            </w:r>
            <w:proofErr w:type="gramEnd"/>
            <w:r>
              <w:rPr>
                <w:rFonts w:ascii="Times New Roman" w:eastAsia="宋体" w:hAnsi="Times New Roman" w:cs="Times New Roman"/>
                <w:color w:val="000000"/>
                <w:kern w:val="0"/>
                <w:sz w:val="20"/>
                <w:szCs w:val="20"/>
                <w:lang w:bidi="ar"/>
              </w:rPr>
              <w:t>安排到具体项目的资金。</w:t>
            </w:r>
            <w:r>
              <w:rPr>
                <w:rFonts w:ascii="Times New Roman" w:eastAsia="宋体" w:hAnsi="Times New Roman" w:cs="Times New Roman"/>
                <w:color w:val="000000"/>
                <w:kern w:val="0"/>
                <w:sz w:val="20"/>
                <w:szCs w:val="20"/>
                <w:lang w:bidi="ar"/>
              </w:rPr>
              <w:br/>
            </w:r>
            <w:r>
              <w:rPr>
                <w:rFonts w:ascii="Times New Roman" w:eastAsia="宋体" w:hAnsi="Times New Roman" w:cs="Times New Roman"/>
                <w:color w:val="000000"/>
                <w:kern w:val="0"/>
                <w:sz w:val="20"/>
                <w:szCs w:val="20"/>
                <w:lang w:bidi="ar"/>
              </w:rPr>
              <w:t>评分规则：得分</w:t>
            </w:r>
            <w:r>
              <w:rPr>
                <w:rFonts w:ascii="Times New Roman" w:eastAsia="宋体" w:hAnsi="Times New Roman" w:cs="Times New Roman"/>
                <w:color w:val="000000"/>
                <w:kern w:val="0"/>
                <w:sz w:val="20"/>
                <w:szCs w:val="20"/>
                <w:lang w:bidi="ar"/>
              </w:rPr>
              <w:t>=</w:t>
            </w:r>
            <w:r>
              <w:rPr>
                <w:rFonts w:ascii="Times New Roman" w:eastAsia="宋体" w:hAnsi="Times New Roman" w:cs="Times New Roman"/>
                <w:color w:val="000000"/>
                <w:kern w:val="0"/>
                <w:sz w:val="20"/>
                <w:szCs w:val="20"/>
                <w:lang w:bidi="ar"/>
              </w:rPr>
              <w:t>资金到位率</w:t>
            </w:r>
            <w:r>
              <w:rPr>
                <w:rFonts w:ascii="Times New Roman" w:eastAsia="宋体" w:hAnsi="Times New Roman" w:cs="Times New Roman"/>
                <w:color w:val="000000"/>
                <w:kern w:val="0"/>
                <w:sz w:val="20"/>
                <w:szCs w:val="20"/>
                <w:lang w:bidi="ar"/>
              </w:rPr>
              <w:t>×</w:t>
            </w:r>
            <w:r>
              <w:rPr>
                <w:rFonts w:ascii="Times New Roman" w:eastAsia="宋体" w:hAnsi="Times New Roman" w:cs="Times New Roman"/>
                <w:color w:val="000000"/>
                <w:kern w:val="0"/>
                <w:sz w:val="20"/>
                <w:szCs w:val="20"/>
                <w:lang w:bidi="ar"/>
              </w:rPr>
              <w:t>分值。</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1972"/>
        </w:trPr>
        <w:tc>
          <w:tcPr>
            <w:tcW w:w="747" w:type="dxa"/>
            <w:vMerge/>
            <w:tcBorders>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052" w:type="dxa"/>
            <w:vMerge w:val="restart"/>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组织实施</w:t>
            </w: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管理制度健全性</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健全</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健全</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50" w:lineRule="exac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评价要点：</w:t>
            </w:r>
            <w:r>
              <w:rPr>
                <w:rFonts w:ascii="Times New Roman" w:eastAsia="宋体" w:hAnsi="Times New Roman" w:cs="Times New Roman"/>
                <w:color w:val="000000"/>
                <w:kern w:val="0"/>
                <w:sz w:val="20"/>
                <w:szCs w:val="20"/>
                <w:lang w:bidi="ar"/>
              </w:rPr>
              <w:br/>
            </w:r>
            <w:r>
              <w:rPr>
                <w:rFonts w:ascii="Cambria Math" w:eastAsia="宋体" w:hAnsi="Cambria Math" w:cs="Cambria Math"/>
                <w:color w:val="000000"/>
                <w:kern w:val="0"/>
                <w:sz w:val="20"/>
                <w:szCs w:val="20"/>
                <w:lang w:bidi="ar"/>
              </w:rPr>
              <w:t>①</w:t>
            </w:r>
            <w:r>
              <w:rPr>
                <w:rFonts w:ascii="Times New Roman" w:eastAsia="宋体" w:hAnsi="Times New Roman" w:cs="Times New Roman"/>
                <w:color w:val="000000"/>
                <w:kern w:val="0"/>
                <w:sz w:val="20"/>
                <w:szCs w:val="20"/>
                <w:lang w:bidi="ar"/>
              </w:rPr>
              <w:t>是否已制定或具有相应的财务和业务管理等制度；</w:t>
            </w:r>
            <w:r>
              <w:rPr>
                <w:rFonts w:ascii="Cambria Math" w:eastAsia="宋体" w:hAnsi="Cambria Math" w:cs="Cambria Math"/>
                <w:color w:val="000000"/>
                <w:kern w:val="0"/>
                <w:sz w:val="20"/>
                <w:szCs w:val="20"/>
                <w:lang w:bidi="ar"/>
              </w:rPr>
              <w:t>②</w:t>
            </w:r>
            <w:r>
              <w:rPr>
                <w:rFonts w:ascii="Times New Roman" w:eastAsia="宋体" w:hAnsi="Times New Roman" w:cs="Times New Roman"/>
                <w:color w:val="000000"/>
                <w:kern w:val="0"/>
                <w:sz w:val="20"/>
                <w:szCs w:val="20"/>
                <w:lang w:bidi="ar"/>
              </w:rPr>
              <w:t>财务和业务管理等制度是否合法、合</w:t>
            </w:r>
            <w:proofErr w:type="gramStart"/>
            <w:r>
              <w:rPr>
                <w:rFonts w:ascii="Times New Roman" w:eastAsia="宋体" w:hAnsi="Times New Roman" w:cs="Times New Roman"/>
                <w:color w:val="000000"/>
                <w:kern w:val="0"/>
                <w:sz w:val="20"/>
                <w:szCs w:val="20"/>
                <w:lang w:bidi="ar"/>
              </w:rPr>
              <w:t>规</w:t>
            </w:r>
            <w:proofErr w:type="gramEnd"/>
            <w:r>
              <w:rPr>
                <w:rFonts w:ascii="Times New Roman" w:eastAsia="宋体" w:hAnsi="Times New Roman" w:cs="Times New Roman"/>
                <w:color w:val="000000"/>
                <w:kern w:val="0"/>
                <w:sz w:val="20"/>
                <w:szCs w:val="20"/>
                <w:lang w:bidi="ar"/>
              </w:rPr>
              <w:t>、完整。</w:t>
            </w:r>
            <w:r>
              <w:rPr>
                <w:rFonts w:ascii="Times New Roman" w:eastAsia="宋体" w:hAnsi="Times New Roman" w:cs="Times New Roman"/>
                <w:color w:val="000000"/>
                <w:kern w:val="0"/>
                <w:sz w:val="20"/>
                <w:szCs w:val="20"/>
                <w:lang w:bidi="ar"/>
              </w:rPr>
              <w:br/>
            </w:r>
            <w:r>
              <w:rPr>
                <w:rFonts w:ascii="Times New Roman" w:eastAsia="宋体" w:hAnsi="Times New Roman" w:cs="Times New Roman"/>
                <w:color w:val="000000"/>
                <w:kern w:val="0"/>
                <w:sz w:val="20"/>
                <w:szCs w:val="20"/>
                <w:lang w:bidi="ar"/>
              </w:rPr>
              <w:t>评分规则：以上评价要点各占</w:t>
            </w:r>
            <w:r>
              <w:rPr>
                <w:rFonts w:ascii="Times New Roman" w:eastAsia="宋体" w:hAnsi="Times New Roman" w:cs="Times New Roman"/>
                <w:color w:val="000000"/>
                <w:kern w:val="0"/>
                <w:sz w:val="20"/>
                <w:szCs w:val="20"/>
                <w:lang w:bidi="ar"/>
              </w:rPr>
              <w:t>50%</w:t>
            </w:r>
            <w:r>
              <w:rPr>
                <w:rFonts w:ascii="Times New Roman" w:eastAsia="宋体" w:hAnsi="Times New Roman" w:cs="Times New Roman"/>
                <w:color w:val="000000"/>
                <w:kern w:val="0"/>
                <w:sz w:val="20"/>
                <w:szCs w:val="20"/>
                <w:lang w:bidi="ar"/>
              </w:rPr>
              <w:t>权重，每个要点执行情况分达成、部分达成、未达成三档，按</w:t>
            </w:r>
            <w:r>
              <w:rPr>
                <w:rFonts w:ascii="Times New Roman" w:eastAsia="宋体" w:hAnsi="Times New Roman" w:cs="Times New Roman"/>
                <w:color w:val="000000"/>
                <w:kern w:val="0"/>
                <w:sz w:val="20"/>
                <w:szCs w:val="20"/>
                <w:lang w:bidi="ar"/>
              </w:rPr>
              <w:t>100%-80%</w:t>
            </w:r>
            <w:r>
              <w:rPr>
                <w:rFonts w:ascii="Times New Roman" w:eastAsia="宋体" w:hAnsi="Times New Roman" w:cs="Times New Roman"/>
                <w:color w:val="000000"/>
                <w:kern w:val="0"/>
                <w:sz w:val="20"/>
                <w:szCs w:val="20"/>
                <w:lang w:bidi="ar"/>
              </w:rPr>
              <w:t>（含）、</w:t>
            </w:r>
            <w:r>
              <w:rPr>
                <w:rFonts w:ascii="Times New Roman" w:eastAsia="宋体" w:hAnsi="Times New Roman" w:cs="Times New Roman"/>
                <w:color w:val="000000"/>
                <w:kern w:val="0"/>
                <w:sz w:val="20"/>
                <w:szCs w:val="20"/>
                <w:lang w:bidi="ar"/>
              </w:rPr>
              <w:t>80%-60%</w:t>
            </w:r>
            <w:r>
              <w:rPr>
                <w:rFonts w:ascii="Times New Roman" w:eastAsia="宋体" w:hAnsi="Times New Roman" w:cs="Times New Roman"/>
                <w:color w:val="000000"/>
                <w:kern w:val="0"/>
                <w:sz w:val="20"/>
                <w:szCs w:val="20"/>
                <w:lang w:bidi="ar"/>
              </w:rPr>
              <w:t>（含）、</w:t>
            </w:r>
            <w:r>
              <w:rPr>
                <w:rFonts w:ascii="Times New Roman" w:eastAsia="宋体" w:hAnsi="Times New Roman" w:cs="Times New Roman"/>
                <w:color w:val="000000"/>
                <w:kern w:val="0"/>
                <w:sz w:val="20"/>
                <w:szCs w:val="20"/>
                <w:lang w:bidi="ar"/>
              </w:rPr>
              <w:t>60%-0%</w:t>
            </w:r>
            <w:r>
              <w:rPr>
                <w:rFonts w:ascii="Times New Roman" w:eastAsia="宋体" w:hAnsi="Times New Roman" w:cs="Times New Roman"/>
                <w:color w:val="000000"/>
                <w:kern w:val="0"/>
                <w:sz w:val="20"/>
                <w:szCs w:val="20"/>
                <w:lang w:bidi="ar"/>
              </w:rPr>
              <w:t>评分。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3497"/>
        </w:trPr>
        <w:tc>
          <w:tcPr>
            <w:tcW w:w="747" w:type="dxa"/>
            <w:vMerge/>
            <w:tcBorders>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052" w:type="dxa"/>
            <w:vMerge/>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制度执行有效性</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有效</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有效</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50" w:lineRule="exac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评价要点：</w:t>
            </w:r>
            <w:r>
              <w:rPr>
                <w:rFonts w:ascii="Times New Roman" w:eastAsia="宋体" w:hAnsi="Times New Roman" w:cs="Times New Roman"/>
                <w:color w:val="000000"/>
                <w:kern w:val="0"/>
                <w:sz w:val="20"/>
                <w:szCs w:val="20"/>
                <w:lang w:bidi="ar"/>
              </w:rPr>
              <w:br/>
            </w:r>
            <w:r>
              <w:rPr>
                <w:rFonts w:ascii="Cambria Math" w:eastAsia="宋体" w:hAnsi="Cambria Math" w:cs="Cambria Math"/>
                <w:color w:val="000000"/>
                <w:kern w:val="0"/>
                <w:sz w:val="20"/>
                <w:szCs w:val="20"/>
                <w:lang w:bidi="ar"/>
              </w:rPr>
              <w:t>①</w:t>
            </w:r>
            <w:r>
              <w:rPr>
                <w:rFonts w:ascii="Times New Roman" w:eastAsia="宋体" w:hAnsi="Times New Roman" w:cs="Times New Roman"/>
                <w:color w:val="000000"/>
                <w:kern w:val="0"/>
                <w:sz w:val="20"/>
                <w:szCs w:val="20"/>
                <w:lang w:bidi="ar"/>
              </w:rPr>
              <w:t>项目是否制定合理的实施计划，实施过程中是否遵守相关法律法规和相关管理规定，并按照规定程序实施项目，进度是否符合计划；</w:t>
            </w:r>
            <w:r>
              <w:rPr>
                <w:rFonts w:ascii="Times New Roman" w:eastAsia="宋体" w:hAnsi="Times New Roman" w:cs="Times New Roman"/>
                <w:color w:val="000000"/>
                <w:kern w:val="0"/>
                <w:sz w:val="20"/>
                <w:szCs w:val="20"/>
                <w:lang w:bidi="ar"/>
              </w:rPr>
              <w:t xml:space="preserve"> </w:t>
            </w:r>
            <w:r>
              <w:rPr>
                <w:rFonts w:ascii="Cambria Math" w:eastAsia="宋体" w:hAnsi="Cambria Math" w:cs="Cambria Math"/>
                <w:color w:val="000000"/>
                <w:kern w:val="0"/>
                <w:sz w:val="20"/>
                <w:szCs w:val="20"/>
                <w:lang w:bidi="ar"/>
              </w:rPr>
              <w:t>②</w:t>
            </w:r>
            <w:r>
              <w:rPr>
                <w:rFonts w:ascii="Times New Roman" w:eastAsia="宋体" w:hAnsi="Times New Roman" w:cs="Times New Roman"/>
                <w:color w:val="000000"/>
                <w:kern w:val="0"/>
                <w:sz w:val="20"/>
                <w:szCs w:val="20"/>
                <w:lang w:bidi="ar"/>
              </w:rPr>
              <w:t>项目调整及支出调整手续是否完备，资产管理是否规范，是否开展监督检查、绩效监控和评价；</w:t>
            </w:r>
            <w:r>
              <w:rPr>
                <w:rFonts w:ascii="Cambria Math" w:eastAsia="宋体" w:hAnsi="Cambria Math" w:cs="Cambria Math"/>
                <w:color w:val="000000"/>
                <w:kern w:val="0"/>
                <w:sz w:val="20"/>
                <w:szCs w:val="20"/>
                <w:lang w:bidi="ar"/>
              </w:rPr>
              <w:t>③</w:t>
            </w:r>
            <w:r>
              <w:rPr>
                <w:rFonts w:ascii="Times New Roman" w:eastAsia="宋体" w:hAnsi="Times New Roman" w:cs="Times New Roman"/>
                <w:color w:val="000000"/>
                <w:kern w:val="0"/>
                <w:sz w:val="20"/>
                <w:szCs w:val="20"/>
                <w:lang w:bidi="ar"/>
              </w:rPr>
              <w:t>项目合同书、验收报告、技术鉴定、监督检查、绩效管理等资料是否齐全并及时归档；</w:t>
            </w:r>
            <w:r>
              <w:rPr>
                <w:rFonts w:ascii="Times New Roman" w:eastAsia="宋体" w:hAnsi="Times New Roman" w:cs="Times New Roman"/>
                <w:color w:val="000000"/>
                <w:kern w:val="0"/>
                <w:sz w:val="20"/>
                <w:szCs w:val="20"/>
                <w:lang w:bidi="ar"/>
              </w:rPr>
              <w:t xml:space="preserve"> </w:t>
            </w:r>
            <w:r>
              <w:rPr>
                <w:rFonts w:ascii="Cambria Math" w:eastAsia="宋体" w:hAnsi="Cambria Math" w:cs="Cambria Math"/>
                <w:color w:val="000000"/>
                <w:kern w:val="0"/>
                <w:sz w:val="20"/>
                <w:szCs w:val="20"/>
                <w:lang w:bidi="ar"/>
              </w:rPr>
              <w:t>④</w:t>
            </w:r>
            <w:r>
              <w:rPr>
                <w:rFonts w:ascii="Times New Roman" w:eastAsia="宋体" w:hAnsi="Times New Roman" w:cs="Times New Roman"/>
                <w:color w:val="000000"/>
                <w:kern w:val="0"/>
                <w:sz w:val="20"/>
                <w:szCs w:val="20"/>
                <w:lang w:bidi="ar"/>
              </w:rPr>
              <w:t>项目实施的组织机构、人员条件、场地设备、信息支撑等是否落实到位；</w:t>
            </w:r>
            <w:r>
              <w:rPr>
                <w:rFonts w:ascii="Times New Roman" w:eastAsia="宋体" w:hAnsi="Times New Roman" w:cs="Times New Roman"/>
                <w:color w:val="000000"/>
                <w:kern w:val="0"/>
                <w:sz w:val="20"/>
                <w:szCs w:val="20"/>
                <w:lang w:bidi="ar"/>
              </w:rPr>
              <w:br/>
              <w:t xml:space="preserve"> </w:t>
            </w:r>
            <w:r>
              <w:rPr>
                <w:rFonts w:ascii="Times New Roman" w:eastAsia="宋体" w:hAnsi="Times New Roman" w:cs="Times New Roman"/>
                <w:color w:val="000000"/>
                <w:kern w:val="0"/>
                <w:sz w:val="20"/>
                <w:szCs w:val="20"/>
                <w:lang w:bidi="ar"/>
              </w:rPr>
              <w:t>评分规则：以上评价要点各占</w:t>
            </w:r>
            <w:r>
              <w:rPr>
                <w:rFonts w:ascii="Times New Roman" w:eastAsia="宋体" w:hAnsi="Times New Roman" w:cs="Times New Roman"/>
                <w:color w:val="000000"/>
                <w:kern w:val="0"/>
                <w:sz w:val="20"/>
                <w:szCs w:val="20"/>
                <w:lang w:bidi="ar"/>
              </w:rPr>
              <w:t>25%</w:t>
            </w:r>
            <w:r>
              <w:rPr>
                <w:rFonts w:ascii="Times New Roman" w:eastAsia="宋体" w:hAnsi="Times New Roman" w:cs="Times New Roman"/>
                <w:color w:val="000000"/>
                <w:kern w:val="0"/>
                <w:sz w:val="20"/>
                <w:szCs w:val="20"/>
                <w:lang w:bidi="ar"/>
              </w:rPr>
              <w:t>权重，每个要点执行情况分达成、部分达成、未达成三档，按</w:t>
            </w:r>
            <w:r>
              <w:rPr>
                <w:rFonts w:ascii="Times New Roman" w:eastAsia="宋体" w:hAnsi="Times New Roman" w:cs="Times New Roman"/>
                <w:color w:val="000000"/>
                <w:kern w:val="0"/>
                <w:sz w:val="20"/>
                <w:szCs w:val="20"/>
                <w:lang w:bidi="ar"/>
              </w:rPr>
              <w:t>100%-80%</w:t>
            </w:r>
            <w:r>
              <w:rPr>
                <w:rFonts w:ascii="Times New Roman" w:eastAsia="宋体" w:hAnsi="Times New Roman" w:cs="Times New Roman"/>
                <w:color w:val="000000"/>
                <w:kern w:val="0"/>
                <w:sz w:val="20"/>
                <w:szCs w:val="20"/>
                <w:lang w:bidi="ar"/>
              </w:rPr>
              <w:t>（含）、</w:t>
            </w:r>
            <w:r>
              <w:rPr>
                <w:rFonts w:ascii="Times New Roman" w:eastAsia="宋体" w:hAnsi="Times New Roman" w:cs="Times New Roman"/>
                <w:color w:val="000000"/>
                <w:kern w:val="0"/>
                <w:sz w:val="20"/>
                <w:szCs w:val="20"/>
                <w:lang w:bidi="ar"/>
              </w:rPr>
              <w:t>80%-60%</w:t>
            </w:r>
            <w:r>
              <w:rPr>
                <w:rFonts w:ascii="Times New Roman" w:eastAsia="宋体" w:hAnsi="Times New Roman" w:cs="Times New Roman"/>
                <w:color w:val="000000"/>
                <w:kern w:val="0"/>
                <w:sz w:val="20"/>
                <w:szCs w:val="20"/>
                <w:lang w:bidi="ar"/>
              </w:rPr>
              <w:t>（含）、</w:t>
            </w:r>
            <w:r>
              <w:rPr>
                <w:rFonts w:ascii="Times New Roman" w:eastAsia="宋体" w:hAnsi="Times New Roman" w:cs="Times New Roman"/>
                <w:color w:val="000000"/>
                <w:kern w:val="0"/>
                <w:sz w:val="20"/>
                <w:szCs w:val="20"/>
                <w:lang w:bidi="ar"/>
              </w:rPr>
              <w:t>60%-0%</w:t>
            </w:r>
            <w:r>
              <w:rPr>
                <w:rFonts w:ascii="Times New Roman" w:eastAsia="宋体" w:hAnsi="Times New Roman" w:cs="Times New Roman"/>
                <w:color w:val="000000"/>
                <w:kern w:val="0"/>
                <w:sz w:val="20"/>
                <w:szCs w:val="20"/>
                <w:lang w:bidi="ar"/>
              </w:rPr>
              <w:t>评分。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460"/>
        </w:trPr>
        <w:tc>
          <w:tcPr>
            <w:tcW w:w="74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lastRenderedPageBreak/>
              <w:t>成本指标</w:t>
            </w:r>
          </w:p>
        </w:tc>
        <w:tc>
          <w:tcPr>
            <w:tcW w:w="1052"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经济成本</w:t>
            </w: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单体项目经济效益达标率</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=100%</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100%</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5</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5</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按完成值与目标值比例得分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460"/>
        </w:trPr>
        <w:tc>
          <w:tcPr>
            <w:tcW w:w="747" w:type="dxa"/>
            <w:vMerge w:val="restart"/>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产出指标</w:t>
            </w:r>
          </w:p>
        </w:tc>
        <w:tc>
          <w:tcPr>
            <w:tcW w:w="1052" w:type="dxa"/>
            <w:vMerge w:val="restart"/>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数量指标</w:t>
            </w: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建设农业机械化示范基地或粮食生产</w:t>
            </w:r>
            <w:proofErr w:type="gramStart"/>
            <w:r>
              <w:rPr>
                <w:rFonts w:ascii="Times New Roman" w:eastAsia="宋体" w:hAnsi="Times New Roman" w:cs="Times New Roman" w:hint="eastAsia"/>
                <w:color w:val="000000"/>
                <w:kern w:val="0"/>
                <w:sz w:val="20"/>
                <w:szCs w:val="20"/>
                <w:lang w:bidi="ar"/>
              </w:rPr>
              <w:t>无人化</w:t>
            </w:r>
            <w:proofErr w:type="gramEnd"/>
            <w:r>
              <w:rPr>
                <w:rFonts w:ascii="Times New Roman" w:eastAsia="宋体" w:hAnsi="Times New Roman" w:cs="Times New Roman" w:hint="eastAsia"/>
                <w:color w:val="000000"/>
                <w:kern w:val="0"/>
                <w:sz w:val="20"/>
                <w:szCs w:val="20"/>
                <w:lang w:bidi="ar"/>
              </w:rPr>
              <w:t>农场数量</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=15</w:t>
            </w:r>
            <w:r>
              <w:rPr>
                <w:rFonts w:ascii="Times New Roman" w:eastAsia="宋体" w:hAnsi="Times New Roman" w:cs="Times New Roman"/>
                <w:color w:val="000000"/>
                <w:kern w:val="0"/>
                <w:sz w:val="20"/>
                <w:szCs w:val="20"/>
                <w:lang w:bidi="ar"/>
              </w:rPr>
              <w:t>个</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22</w:t>
            </w:r>
            <w:r>
              <w:rPr>
                <w:rFonts w:ascii="Times New Roman" w:eastAsia="宋体" w:hAnsi="Times New Roman" w:cs="Times New Roman"/>
                <w:color w:val="000000"/>
                <w:kern w:val="0"/>
                <w:sz w:val="20"/>
                <w:szCs w:val="20"/>
                <w:lang w:bidi="ar"/>
              </w:rPr>
              <w:t>个</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4</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4</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bookmarkStart w:id="19" w:name="OLE_LINK3"/>
            <w:r>
              <w:rPr>
                <w:rFonts w:ascii="Times New Roman" w:eastAsia="宋体" w:hAnsi="Times New Roman" w:cs="Times New Roman"/>
                <w:color w:val="000000"/>
                <w:kern w:val="0"/>
                <w:sz w:val="20"/>
                <w:szCs w:val="20"/>
                <w:lang w:bidi="ar"/>
              </w:rPr>
              <w:t>按完成值与目标值比例得分</w:t>
            </w:r>
            <w:bookmarkEnd w:id="19"/>
            <w:r>
              <w:rPr>
                <w:rFonts w:ascii="Times New Roman" w:eastAsia="宋体" w:hAnsi="Times New Roman" w:cs="Times New Roman" w:hint="eastAsia"/>
                <w:color w:val="000000"/>
                <w:kern w:val="0"/>
                <w:sz w:val="20"/>
                <w:szCs w:val="20"/>
                <w:lang w:bidi="ar"/>
              </w:rPr>
              <w:t>，最高得该项满分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880"/>
        </w:trPr>
        <w:tc>
          <w:tcPr>
            <w:tcW w:w="747" w:type="dxa"/>
            <w:vMerge/>
            <w:tcBorders>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052" w:type="dxa"/>
            <w:vMerge/>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798" w:type="dxa"/>
            <w:tcBorders>
              <w:top w:val="single" w:sz="4" w:space="0" w:color="000000"/>
              <w:left w:val="single" w:sz="4" w:space="0" w:color="000000"/>
              <w:bottom w:val="single" w:sz="4" w:space="0" w:color="000000"/>
              <w:right w:val="single" w:sz="4" w:space="0" w:color="000000"/>
            </w:tcBorders>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全市主要粮食耕种</w:t>
            </w:r>
            <w:proofErr w:type="gramStart"/>
            <w:r>
              <w:rPr>
                <w:rFonts w:ascii="Times New Roman" w:eastAsia="宋体" w:hAnsi="Times New Roman" w:cs="Times New Roman" w:hint="eastAsia"/>
                <w:color w:val="000000"/>
                <w:kern w:val="0"/>
                <w:sz w:val="20"/>
                <w:szCs w:val="20"/>
                <w:lang w:bidi="ar"/>
              </w:rPr>
              <w:t>收综合</w:t>
            </w:r>
            <w:proofErr w:type="gramEnd"/>
            <w:r>
              <w:rPr>
                <w:rFonts w:ascii="Times New Roman" w:eastAsia="宋体" w:hAnsi="Times New Roman" w:cs="Times New Roman" w:hint="eastAsia"/>
                <w:color w:val="000000"/>
                <w:kern w:val="0"/>
                <w:sz w:val="20"/>
                <w:szCs w:val="20"/>
                <w:lang w:bidi="ar"/>
              </w:rPr>
              <w:t>机械化率</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w:t>
            </w:r>
            <w:r>
              <w:rPr>
                <w:rFonts w:ascii="Times New Roman" w:eastAsia="宋体" w:hAnsi="Times New Roman" w:cs="Times New Roman" w:hint="eastAsia"/>
                <w:color w:val="000000"/>
                <w:kern w:val="0"/>
                <w:sz w:val="20"/>
                <w:szCs w:val="20"/>
                <w:lang w:bidi="ar"/>
              </w:rPr>
              <w:t>98%</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sz w:val="20"/>
                <w:szCs w:val="20"/>
              </w:rPr>
              <w:t>99.7%</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4</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4</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按完成值与目标值比例得分</w:t>
            </w:r>
            <w:r>
              <w:rPr>
                <w:rFonts w:ascii="Times New Roman" w:eastAsia="宋体" w:hAnsi="Times New Roman" w:cs="Times New Roman" w:hint="eastAsia"/>
                <w:color w:val="000000"/>
                <w:kern w:val="0"/>
                <w:sz w:val="20"/>
                <w:szCs w:val="20"/>
                <w:lang w:bidi="ar"/>
              </w:rPr>
              <w:t>，最高得该项满分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880"/>
        </w:trPr>
        <w:tc>
          <w:tcPr>
            <w:tcW w:w="747" w:type="dxa"/>
            <w:vMerge/>
            <w:tcBorders>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052" w:type="dxa"/>
            <w:vMerge/>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拖拉机检验率</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w:t>
            </w:r>
            <w:r>
              <w:rPr>
                <w:rFonts w:ascii="Times New Roman" w:eastAsia="宋体" w:hAnsi="Times New Roman" w:cs="Times New Roman" w:hint="eastAsia"/>
                <w:color w:val="000000"/>
                <w:kern w:val="0"/>
                <w:sz w:val="20"/>
                <w:szCs w:val="20"/>
                <w:lang w:bidi="ar"/>
              </w:rPr>
              <w:t>90%</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sz w:val="20"/>
                <w:szCs w:val="20"/>
              </w:rPr>
              <w:t>95.71%</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4</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4</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按完成值与目标值比例得分</w:t>
            </w:r>
            <w:r>
              <w:rPr>
                <w:rFonts w:ascii="Times New Roman" w:eastAsia="宋体" w:hAnsi="Times New Roman" w:cs="Times New Roman" w:hint="eastAsia"/>
                <w:color w:val="000000"/>
                <w:kern w:val="0"/>
                <w:sz w:val="20"/>
                <w:szCs w:val="20"/>
                <w:lang w:bidi="ar"/>
              </w:rPr>
              <w:t>，最高得该项满分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460"/>
        </w:trPr>
        <w:tc>
          <w:tcPr>
            <w:tcW w:w="747" w:type="dxa"/>
            <w:vMerge/>
            <w:tcBorders>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052" w:type="dxa"/>
            <w:vMerge/>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798" w:type="dxa"/>
            <w:tcBorders>
              <w:top w:val="single" w:sz="4" w:space="0" w:color="000000"/>
              <w:left w:val="single" w:sz="4" w:space="0" w:color="000000"/>
              <w:bottom w:val="single" w:sz="4" w:space="0" w:color="000000"/>
              <w:right w:val="single" w:sz="4" w:space="0" w:color="000000"/>
            </w:tcBorders>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联合收割机检验率</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w:t>
            </w:r>
            <w:r>
              <w:rPr>
                <w:rFonts w:ascii="Times New Roman" w:eastAsia="宋体" w:hAnsi="Times New Roman" w:cs="Times New Roman" w:hint="eastAsia"/>
                <w:color w:val="000000"/>
                <w:kern w:val="0"/>
                <w:sz w:val="20"/>
                <w:szCs w:val="20"/>
                <w:lang w:bidi="ar"/>
              </w:rPr>
              <w:t>90%</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sz w:val="20"/>
                <w:szCs w:val="20"/>
              </w:rPr>
              <w:t>97.61%</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4</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4</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按完成值与目标值比例得分</w:t>
            </w:r>
            <w:r>
              <w:rPr>
                <w:rFonts w:ascii="Times New Roman" w:eastAsia="宋体" w:hAnsi="Times New Roman" w:cs="Times New Roman" w:hint="eastAsia"/>
                <w:color w:val="000000"/>
                <w:kern w:val="0"/>
                <w:sz w:val="20"/>
                <w:szCs w:val="20"/>
                <w:lang w:bidi="ar"/>
              </w:rPr>
              <w:t>，最高得该项满分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460"/>
        </w:trPr>
        <w:tc>
          <w:tcPr>
            <w:tcW w:w="747" w:type="dxa"/>
            <w:vMerge/>
            <w:tcBorders>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052" w:type="dxa"/>
            <w:vMerge/>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农机事故万台死亡人数</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w:t>
            </w:r>
            <w:r>
              <w:rPr>
                <w:rFonts w:ascii="Times New Roman" w:eastAsia="宋体" w:hAnsi="Times New Roman" w:cs="Times New Roman" w:hint="eastAsia"/>
                <w:color w:val="000000"/>
                <w:kern w:val="0"/>
                <w:sz w:val="20"/>
                <w:szCs w:val="20"/>
                <w:lang w:bidi="ar"/>
              </w:rPr>
              <w:t>4</w:t>
            </w:r>
            <w:r>
              <w:rPr>
                <w:rFonts w:ascii="Times New Roman" w:eastAsia="宋体" w:hAnsi="Times New Roman" w:cs="Times New Roman" w:hint="eastAsia"/>
                <w:color w:val="000000"/>
                <w:kern w:val="0"/>
                <w:sz w:val="20"/>
                <w:szCs w:val="20"/>
                <w:lang w:bidi="ar"/>
              </w:rPr>
              <w:t>人</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sz w:val="20"/>
                <w:szCs w:val="20"/>
              </w:rPr>
              <w:t>0</w:t>
            </w:r>
            <w:r>
              <w:rPr>
                <w:rFonts w:ascii="Times New Roman" w:eastAsia="宋体" w:hAnsi="Times New Roman" w:cs="Times New Roman" w:hint="eastAsia"/>
                <w:color w:val="000000"/>
                <w:sz w:val="20"/>
                <w:szCs w:val="20"/>
              </w:rPr>
              <w:t>人</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4</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4</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按完成值与目标值比例得分</w:t>
            </w:r>
            <w:r>
              <w:rPr>
                <w:rFonts w:ascii="Times New Roman" w:eastAsia="宋体" w:hAnsi="Times New Roman" w:cs="Times New Roman" w:hint="eastAsia"/>
                <w:color w:val="000000"/>
                <w:kern w:val="0"/>
                <w:sz w:val="20"/>
                <w:szCs w:val="20"/>
                <w:lang w:bidi="ar"/>
              </w:rPr>
              <w:t>，最高得该项满分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460"/>
        </w:trPr>
        <w:tc>
          <w:tcPr>
            <w:tcW w:w="747" w:type="dxa"/>
            <w:vMerge/>
            <w:tcBorders>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052" w:type="dxa"/>
            <w:vMerge/>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798" w:type="dxa"/>
            <w:tcBorders>
              <w:top w:val="single" w:sz="4" w:space="0" w:color="000000"/>
              <w:left w:val="single" w:sz="4" w:space="0" w:color="000000"/>
              <w:bottom w:val="single" w:sz="4" w:space="0" w:color="000000"/>
              <w:right w:val="single" w:sz="4" w:space="0" w:color="000000"/>
            </w:tcBorders>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报废更新农机数量</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w:t>
            </w:r>
            <w:r>
              <w:rPr>
                <w:rFonts w:ascii="Times New Roman" w:eastAsia="宋体" w:hAnsi="Times New Roman" w:cs="Times New Roman" w:hint="eastAsia"/>
                <w:color w:val="000000"/>
                <w:kern w:val="0"/>
                <w:sz w:val="20"/>
                <w:szCs w:val="20"/>
                <w:lang w:bidi="ar"/>
              </w:rPr>
              <w:t>650</w:t>
            </w:r>
            <w:r>
              <w:rPr>
                <w:rFonts w:ascii="Times New Roman" w:eastAsia="宋体" w:hAnsi="Times New Roman" w:cs="Times New Roman" w:hint="eastAsia"/>
                <w:color w:val="000000"/>
                <w:kern w:val="0"/>
                <w:sz w:val="20"/>
                <w:szCs w:val="20"/>
                <w:lang w:bidi="ar"/>
              </w:rPr>
              <w:t>台</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sz w:val="20"/>
                <w:szCs w:val="20"/>
              </w:rPr>
              <w:t>734</w:t>
            </w:r>
            <w:r>
              <w:rPr>
                <w:rFonts w:ascii="Times New Roman" w:eastAsia="宋体" w:hAnsi="Times New Roman" w:cs="Times New Roman" w:hint="eastAsia"/>
                <w:color w:val="000000"/>
                <w:sz w:val="20"/>
                <w:szCs w:val="20"/>
              </w:rPr>
              <w:t>台</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3</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3</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按完成值与目标值比例得分</w:t>
            </w:r>
            <w:r>
              <w:rPr>
                <w:rFonts w:ascii="Times New Roman" w:eastAsia="宋体" w:hAnsi="Times New Roman" w:cs="Times New Roman" w:hint="eastAsia"/>
                <w:color w:val="000000"/>
                <w:kern w:val="0"/>
                <w:sz w:val="20"/>
                <w:szCs w:val="20"/>
                <w:lang w:bidi="ar"/>
              </w:rPr>
              <w:t>，最高得该项满分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460"/>
        </w:trPr>
        <w:tc>
          <w:tcPr>
            <w:tcW w:w="747" w:type="dxa"/>
            <w:vMerge/>
            <w:tcBorders>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052" w:type="dxa"/>
            <w:vMerge/>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798" w:type="dxa"/>
            <w:tcBorders>
              <w:top w:val="single" w:sz="4" w:space="0" w:color="000000"/>
              <w:left w:val="single" w:sz="4" w:space="0" w:color="000000"/>
              <w:bottom w:val="single" w:sz="4" w:space="0" w:color="000000"/>
              <w:right w:val="single" w:sz="4" w:space="0" w:color="000000"/>
            </w:tcBorders>
          </w:tcPr>
          <w:p w:rsidR="006E6B8E" w:rsidRDefault="00A76A9D">
            <w:pPr>
              <w:widowControl/>
              <w:spacing w:line="36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研究改进、示范农业短板装备种类数量</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6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w:t>
            </w:r>
            <w:r>
              <w:rPr>
                <w:rFonts w:ascii="Times New Roman" w:eastAsia="宋体" w:hAnsi="Times New Roman" w:cs="Times New Roman"/>
                <w:color w:val="000000"/>
                <w:kern w:val="0"/>
                <w:sz w:val="20"/>
                <w:szCs w:val="20"/>
                <w:lang w:bidi="ar"/>
              </w:rPr>
              <w:t>5</w:t>
            </w:r>
            <w:r>
              <w:rPr>
                <w:rFonts w:ascii="Times New Roman" w:eastAsia="宋体" w:hAnsi="Times New Roman" w:cs="Times New Roman"/>
                <w:color w:val="000000"/>
                <w:kern w:val="0"/>
                <w:sz w:val="20"/>
                <w:szCs w:val="20"/>
                <w:lang w:bidi="ar"/>
              </w:rPr>
              <w:t>个</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6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sz w:val="20"/>
                <w:szCs w:val="20"/>
              </w:rPr>
              <w:t>6</w:t>
            </w:r>
            <w:r>
              <w:rPr>
                <w:rFonts w:ascii="Times New Roman" w:eastAsia="宋体" w:hAnsi="Times New Roman" w:cs="Times New Roman" w:hint="eastAsia"/>
                <w:color w:val="000000"/>
                <w:sz w:val="20"/>
                <w:szCs w:val="20"/>
              </w:rPr>
              <w:t>个</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6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3</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6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3</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6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按完成值与目标值比例得分</w:t>
            </w:r>
            <w:r>
              <w:rPr>
                <w:rFonts w:ascii="Times New Roman" w:eastAsia="宋体" w:hAnsi="Times New Roman" w:cs="Times New Roman" w:hint="eastAsia"/>
                <w:color w:val="000000"/>
                <w:kern w:val="0"/>
                <w:sz w:val="20"/>
                <w:szCs w:val="20"/>
                <w:lang w:bidi="ar"/>
              </w:rPr>
              <w:t>，最高得该项满分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60" w:lineRule="exact"/>
              <w:jc w:val="center"/>
              <w:rPr>
                <w:rFonts w:ascii="Times New Roman" w:eastAsia="宋体" w:hAnsi="Times New Roman" w:cs="Times New Roman"/>
                <w:color w:val="000000"/>
                <w:sz w:val="18"/>
                <w:szCs w:val="18"/>
              </w:rPr>
            </w:pPr>
          </w:p>
        </w:tc>
      </w:tr>
      <w:tr w:rsidR="006E6B8E">
        <w:trPr>
          <w:trHeight w:val="775"/>
        </w:trPr>
        <w:tc>
          <w:tcPr>
            <w:tcW w:w="747" w:type="dxa"/>
            <w:vMerge w:val="restart"/>
            <w:tcBorders>
              <w:top w:val="single" w:sz="4" w:space="0" w:color="000000"/>
              <w:left w:val="single" w:sz="4" w:space="0" w:color="000000"/>
              <w:right w:val="single" w:sz="4" w:space="0" w:color="000000"/>
            </w:tcBorders>
            <w:vAlign w:val="center"/>
          </w:tcPr>
          <w:p w:rsidR="006E6B8E" w:rsidRDefault="00A76A9D">
            <w:pPr>
              <w:spacing w:line="320" w:lineRule="exact"/>
              <w:jc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sz w:val="20"/>
                <w:szCs w:val="20"/>
              </w:rPr>
              <w:lastRenderedPageBreak/>
              <w:t>产出指标</w:t>
            </w:r>
          </w:p>
        </w:tc>
        <w:tc>
          <w:tcPr>
            <w:tcW w:w="1052"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质量指标</w:t>
            </w: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6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项目质量达标率</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6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color w:val="000000"/>
                <w:kern w:val="0"/>
                <w:sz w:val="20"/>
                <w:szCs w:val="20"/>
                <w:lang w:bidi="ar"/>
              </w:rPr>
              <w:t>100%</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6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100</w:t>
            </w:r>
            <w:r>
              <w:rPr>
                <w:rFonts w:ascii="Times New Roman" w:eastAsia="宋体" w:hAnsi="Times New Roman" w:cs="Times New Roman" w:hint="eastAsia"/>
                <w:color w:val="000000"/>
                <w:kern w:val="0"/>
                <w:sz w:val="20"/>
                <w:szCs w:val="20"/>
                <w:lang w:bidi="ar"/>
              </w:rPr>
              <w:t>%</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6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4</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6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4</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6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按完成值与目标值比例得分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60" w:lineRule="exact"/>
              <w:jc w:val="center"/>
              <w:rPr>
                <w:rFonts w:ascii="Times New Roman" w:eastAsia="宋体" w:hAnsi="Times New Roman" w:cs="Times New Roman"/>
                <w:color w:val="000000"/>
                <w:sz w:val="18"/>
                <w:szCs w:val="18"/>
              </w:rPr>
            </w:pPr>
          </w:p>
        </w:tc>
      </w:tr>
      <w:tr w:rsidR="006E6B8E">
        <w:trPr>
          <w:trHeight w:val="881"/>
        </w:trPr>
        <w:tc>
          <w:tcPr>
            <w:tcW w:w="747" w:type="dxa"/>
            <w:vMerge/>
            <w:tcBorders>
              <w:left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052"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8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时效指标</w:t>
            </w: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8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项目完成及时率</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8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color w:val="000000"/>
                <w:kern w:val="0"/>
                <w:sz w:val="20"/>
                <w:szCs w:val="20"/>
                <w:lang w:bidi="ar"/>
              </w:rPr>
              <w:t>100%</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8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91.78</w:t>
            </w:r>
            <w:r>
              <w:rPr>
                <w:rFonts w:ascii="Times New Roman" w:eastAsia="宋体" w:hAnsi="Times New Roman" w:cs="Times New Roman"/>
                <w:color w:val="000000"/>
                <w:kern w:val="0"/>
                <w:sz w:val="20"/>
                <w:szCs w:val="20"/>
                <w:lang w:bidi="ar"/>
              </w:rPr>
              <w:t>%</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8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6</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8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5.51</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8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按完成值与目标值比例得分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28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hint="eastAsia"/>
                <w:color w:val="000000"/>
                <w:kern w:val="0"/>
                <w:sz w:val="18"/>
                <w:szCs w:val="18"/>
                <w:lang w:bidi="ar"/>
              </w:rPr>
              <w:t>在建项目</w:t>
            </w:r>
            <w:r>
              <w:rPr>
                <w:rFonts w:ascii="Times New Roman" w:eastAsia="宋体" w:hAnsi="Times New Roman" w:cs="Times New Roman" w:hint="eastAsia"/>
                <w:color w:val="000000"/>
                <w:kern w:val="0"/>
                <w:sz w:val="18"/>
                <w:szCs w:val="18"/>
                <w:lang w:bidi="ar"/>
              </w:rPr>
              <w:t>8</w:t>
            </w:r>
            <w:r>
              <w:rPr>
                <w:rFonts w:ascii="Times New Roman" w:eastAsia="宋体" w:hAnsi="Times New Roman" w:cs="Times New Roman" w:hint="eastAsia"/>
                <w:color w:val="000000"/>
                <w:kern w:val="0"/>
                <w:sz w:val="18"/>
                <w:szCs w:val="18"/>
                <w:lang w:bidi="ar"/>
              </w:rPr>
              <w:t>个（其中延期建设项目有</w:t>
            </w:r>
            <w:r>
              <w:rPr>
                <w:rFonts w:ascii="Times New Roman" w:eastAsia="宋体" w:hAnsi="Times New Roman" w:cs="Times New Roman" w:hint="eastAsia"/>
                <w:color w:val="000000"/>
                <w:kern w:val="0"/>
                <w:sz w:val="18"/>
                <w:szCs w:val="18"/>
                <w:lang w:bidi="ar"/>
              </w:rPr>
              <w:t>4</w:t>
            </w:r>
            <w:r>
              <w:rPr>
                <w:rFonts w:ascii="Times New Roman" w:eastAsia="宋体" w:hAnsi="Times New Roman" w:cs="Times New Roman" w:hint="eastAsia"/>
                <w:color w:val="000000"/>
                <w:kern w:val="0"/>
                <w:sz w:val="18"/>
                <w:szCs w:val="18"/>
                <w:lang w:bidi="ar"/>
              </w:rPr>
              <w:t>个）、终止</w:t>
            </w:r>
            <w:r>
              <w:rPr>
                <w:rFonts w:ascii="Times New Roman" w:eastAsia="宋体" w:hAnsi="Times New Roman" w:cs="Times New Roman" w:hint="eastAsia"/>
                <w:color w:val="000000"/>
                <w:kern w:val="0"/>
                <w:sz w:val="18"/>
                <w:szCs w:val="18"/>
                <w:lang w:bidi="ar"/>
              </w:rPr>
              <w:t>2</w:t>
            </w:r>
            <w:r>
              <w:rPr>
                <w:rFonts w:ascii="Times New Roman" w:eastAsia="宋体" w:hAnsi="Times New Roman" w:cs="Times New Roman" w:hint="eastAsia"/>
                <w:color w:val="000000"/>
                <w:kern w:val="0"/>
                <w:sz w:val="18"/>
                <w:szCs w:val="18"/>
                <w:lang w:bidi="ar"/>
              </w:rPr>
              <w:t>个项目。</w:t>
            </w:r>
          </w:p>
        </w:tc>
      </w:tr>
      <w:tr w:rsidR="006E6B8E">
        <w:trPr>
          <w:trHeight w:val="460"/>
        </w:trPr>
        <w:tc>
          <w:tcPr>
            <w:tcW w:w="747" w:type="dxa"/>
            <w:vMerge w:val="restart"/>
            <w:tcBorders>
              <w:top w:val="single" w:sz="4" w:space="0" w:color="000000"/>
              <w:left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bookmarkStart w:id="20" w:name="_Hlk199318550"/>
            <w:r>
              <w:rPr>
                <w:rFonts w:ascii="Times New Roman" w:eastAsia="宋体" w:hAnsi="Times New Roman" w:cs="Times New Roman"/>
                <w:color w:val="000000"/>
                <w:kern w:val="0"/>
                <w:sz w:val="20"/>
                <w:szCs w:val="20"/>
                <w:lang w:bidi="ar"/>
              </w:rPr>
              <w:t>效益指标</w:t>
            </w:r>
          </w:p>
        </w:tc>
        <w:tc>
          <w:tcPr>
            <w:tcW w:w="1052"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经济效益</w:t>
            </w: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引导各类农机化投入</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2000</w:t>
            </w:r>
            <w:r>
              <w:rPr>
                <w:rFonts w:ascii="Times New Roman" w:eastAsia="宋体" w:hAnsi="Times New Roman" w:cs="Times New Roman"/>
                <w:color w:val="000000"/>
                <w:kern w:val="0"/>
                <w:sz w:val="20"/>
                <w:szCs w:val="20"/>
                <w:lang w:bidi="ar"/>
              </w:rPr>
              <w:t>万元</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2020.76</w:t>
            </w:r>
            <w:r>
              <w:rPr>
                <w:rFonts w:ascii="Times New Roman" w:eastAsia="宋体" w:hAnsi="Times New Roman" w:cs="Times New Roman"/>
                <w:color w:val="000000"/>
                <w:kern w:val="0"/>
                <w:sz w:val="20"/>
                <w:szCs w:val="20"/>
                <w:lang w:bidi="ar"/>
              </w:rPr>
              <w:t>万元</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8</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8</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按完成值与目标值比例得分</w:t>
            </w:r>
            <w:r>
              <w:rPr>
                <w:rFonts w:ascii="Times New Roman" w:eastAsia="宋体" w:hAnsi="Times New Roman" w:cs="Times New Roman" w:hint="eastAsia"/>
                <w:color w:val="000000"/>
                <w:kern w:val="0"/>
                <w:sz w:val="20"/>
                <w:szCs w:val="20"/>
                <w:lang w:bidi="ar"/>
              </w:rPr>
              <w:t>，最高得该项满分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460"/>
        </w:trPr>
        <w:tc>
          <w:tcPr>
            <w:tcW w:w="747" w:type="dxa"/>
            <w:vMerge/>
            <w:tcBorders>
              <w:left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052" w:type="dxa"/>
            <w:vMerge w:val="restart"/>
            <w:tcBorders>
              <w:top w:val="single" w:sz="4" w:space="0" w:color="000000"/>
              <w:left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社会效益</w:t>
            </w: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农作物耕种</w:t>
            </w:r>
            <w:proofErr w:type="gramStart"/>
            <w:r>
              <w:rPr>
                <w:rFonts w:ascii="Times New Roman" w:eastAsia="宋体" w:hAnsi="Times New Roman" w:cs="Times New Roman"/>
                <w:color w:val="000000"/>
                <w:kern w:val="0"/>
                <w:sz w:val="20"/>
                <w:szCs w:val="20"/>
                <w:lang w:bidi="ar"/>
              </w:rPr>
              <w:t>收</w:t>
            </w:r>
            <w:r>
              <w:rPr>
                <w:rFonts w:ascii="Times New Roman" w:eastAsia="宋体" w:hAnsi="Times New Roman" w:cs="Times New Roman" w:hint="eastAsia"/>
                <w:color w:val="000000"/>
                <w:kern w:val="0"/>
                <w:sz w:val="20"/>
                <w:szCs w:val="20"/>
                <w:lang w:bidi="ar"/>
              </w:rPr>
              <w:t>综合</w:t>
            </w:r>
            <w:proofErr w:type="gramEnd"/>
            <w:r>
              <w:rPr>
                <w:rFonts w:ascii="Times New Roman" w:eastAsia="宋体" w:hAnsi="Times New Roman" w:cs="Times New Roman"/>
                <w:color w:val="000000"/>
                <w:kern w:val="0"/>
                <w:sz w:val="20"/>
                <w:szCs w:val="20"/>
                <w:lang w:bidi="ar"/>
              </w:rPr>
              <w:t>机械化率</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91</w:t>
            </w:r>
            <w:r>
              <w:rPr>
                <w:rFonts w:ascii="Times New Roman" w:eastAsia="宋体" w:hAnsi="Times New Roman" w:cs="Times New Roman"/>
                <w:color w:val="000000"/>
                <w:kern w:val="0"/>
                <w:sz w:val="20"/>
                <w:szCs w:val="20"/>
                <w:lang w:bidi="ar"/>
              </w:rPr>
              <w:t>%</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sz w:val="20"/>
                <w:szCs w:val="20"/>
              </w:rPr>
              <w:t>92%</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6</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6</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按完成值与目标值比例得分</w:t>
            </w:r>
            <w:r>
              <w:rPr>
                <w:rFonts w:ascii="Times New Roman" w:eastAsia="宋体" w:hAnsi="Times New Roman" w:cs="Times New Roman" w:hint="eastAsia"/>
                <w:color w:val="000000"/>
                <w:kern w:val="0"/>
                <w:sz w:val="20"/>
                <w:szCs w:val="20"/>
                <w:lang w:bidi="ar"/>
              </w:rPr>
              <w:t>，最高得该项满分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460"/>
        </w:trPr>
        <w:tc>
          <w:tcPr>
            <w:tcW w:w="747" w:type="dxa"/>
            <w:vMerge/>
            <w:tcBorders>
              <w:left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052" w:type="dxa"/>
            <w:vMerge/>
            <w:tcBorders>
              <w:left w:val="single" w:sz="4" w:space="0" w:color="000000"/>
              <w:bottom w:val="single" w:sz="4" w:space="0" w:color="000000"/>
              <w:right w:val="single" w:sz="4" w:space="0" w:color="000000"/>
            </w:tcBorders>
            <w:vAlign w:val="center"/>
          </w:tcPr>
          <w:p w:rsidR="006E6B8E" w:rsidRDefault="006E6B8E">
            <w:pPr>
              <w:widowControl/>
              <w:spacing w:line="320" w:lineRule="exact"/>
              <w:jc w:val="center"/>
              <w:textAlignment w:val="center"/>
              <w:rPr>
                <w:rFonts w:ascii="Times New Roman" w:eastAsia="宋体" w:hAnsi="Times New Roman" w:cs="Times New Roman"/>
                <w:color w:val="000000"/>
                <w:kern w:val="0"/>
                <w:sz w:val="20"/>
                <w:szCs w:val="20"/>
                <w:lang w:bidi="ar"/>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proofErr w:type="gramStart"/>
            <w:r>
              <w:rPr>
                <w:rFonts w:ascii="Times New Roman" w:eastAsia="宋体" w:hAnsi="Times New Roman" w:cs="Times New Roman" w:hint="eastAsia"/>
                <w:color w:val="000000"/>
                <w:kern w:val="0"/>
                <w:sz w:val="20"/>
                <w:szCs w:val="20"/>
                <w:lang w:bidi="ar"/>
              </w:rPr>
              <w:t>油菜机</w:t>
            </w:r>
            <w:proofErr w:type="gramEnd"/>
            <w:r>
              <w:rPr>
                <w:rFonts w:ascii="Times New Roman" w:eastAsia="宋体" w:hAnsi="Times New Roman" w:cs="Times New Roman" w:hint="eastAsia"/>
                <w:color w:val="000000"/>
                <w:kern w:val="0"/>
                <w:sz w:val="20"/>
                <w:szCs w:val="20"/>
                <w:lang w:bidi="ar"/>
              </w:rPr>
              <w:t>收损失率较上年降低量</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2</w:t>
            </w:r>
            <w:r>
              <w:rPr>
                <w:rFonts w:ascii="Times New Roman" w:eastAsia="宋体" w:hAnsi="Times New Roman" w:cs="Times New Roman" w:hint="eastAsia"/>
                <w:color w:val="000000"/>
                <w:kern w:val="0"/>
                <w:sz w:val="20"/>
                <w:szCs w:val="20"/>
                <w:lang w:bidi="ar"/>
              </w:rPr>
              <w:t>百分比</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sz w:val="20"/>
                <w:szCs w:val="20"/>
              </w:rPr>
              <w:t>8.44%</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5</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5</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按完成值与目标值比例得分</w:t>
            </w:r>
            <w:r>
              <w:rPr>
                <w:rFonts w:ascii="Times New Roman" w:eastAsia="宋体" w:hAnsi="Times New Roman" w:cs="Times New Roman" w:hint="eastAsia"/>
                <w:color w:val="000000"/>
                <w:kern w:val="0"/>
                <w:sz w:val="20"/>
                <w:szCs w:val="20"/>
                <w:lang w:bidi="ar"/>
              </w:rPr>
              <w:t>，最高得该项满分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460"/>
        </w:trPr>
        <w:tc>
          <w:tcPr>
            <w:tcW w:w="747" w:type="dxa"/>
            <w:vMerge/>
            <w:tcBorders>
              <w:left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052"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生态效益</w:t>
            </w: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改建绿色智能产地烘干中心数量</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5</w:t>
            </w:r>
            <w:r>
              <w:rPr>
                <w:rFonts w:ascii="Times New Roman" w:eastAsia="宋体" w:hAnsi="Times New Roman" w:cs="Times New Roman" w:hint="eastAsia"/>
                <w:color w:val="000000"/>
                <w:kern w:val="0"/>
                <w:sz w:val="20"/>
                <w:szCs w:val="20"/>
                <w:lang w:bidi="ar"/>
              </w:rPr>
              <w:t>个</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11</w:t>
            </w:r>
            <w:r>
              <w:rPr>
                <w:rFonts w:ascii="Times New Roman" w:eastAsia="宋体" w:hAnsi="Times New Roman" w:cs="Times New Roman" w:hint="eastAsia"/>
                <w:color w:val="000000"/>
                <w:kern w:val="0"/>
                <w:sz w:val="20"/>
                <w:szCs w:val="20"/>
                <w:lang w:bidi="ar"/>
              </w:rPr>
              <w:t>个</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6</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6</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按完成值与目标值比例得分</w:t>
            </w:r>
            <w:r>
              <w:rPr>
                <w:rFonts w:ascii="Times New Roman" w:eastAsia="宋体" w:hAnsi="Times New Roman" w:cs="Times New Roman" w:hint="eastAsia"/>
                <w:color w:val="000000"/>
                <w:kern w:val="0"/>
                <w:sz w:val="20"/>
                <w:szCs w:val="20"/>
                <w:lang w:bidi="ar"/>
              </w:rPr>
              <w:t>，最高得该项满分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534"/>
        </w:trPr>
        <w:tc>
          <w:tcPr>
            <w:tcW w:w="747" w:type="dxa"/>
            <w:vMerge/>
            <w:tcBorders>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20"/>
                <w:szCs w:val="20"/>
              </w:rPr>
            </w:pPr>
          </w:p>
        </w:tc>
        <w:tc>
          <w:tcPr>
            <w:tcW w:w="1052"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可持续影响</w:t>
            </w: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特色农业机械化水平</w:t>
            </w:r>
            <w:r>
              <w:rPr>
                <w:rFonts w:ascii="Times New Roman" w:eastAsia="宋体" w:hAnsi="Times New Roman" w:cs="Times New Roman" w:hint="eastAsia"/>
                <w:color w:val="000000"/>
                <w:kern w:val="0"/>
                <w:sz w:val="20"/>
                <w:szCs w:val="20"/>
                <w:lang w:bidi="ar"/>
              </w:rPr>
              <w:t>增长量</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hAnsi="Times New Roman" w:cs="Times New Roman"/>
                <w:lang w:bidi="ar"/>
              </w:rPr>
            </w:pPr>
            <w:r>
              <w:rPr>
                <w:rFonts w:ascii="Times New Roman" w:eastAsia="宋体" w:hAnsi="Times New Roman" w:cs="Times New Roman"/>
                <w:color w:val="000000"/>
                <w:kern w:val="0"/>
                <w:sz w:val="20"/>
                <w:szCs w:val="20"/>
                <w:lang w:bidi="ar"/>
              </w:rPr>
              <w:t>≥</w:t>
            </w:r>
            <w:r>
              <w:rPr>
                <w:rFonts w:ascii="Times New Roman" w:eastAsia="宋体" w:hAnsi="Times New Roman" w:cs="Times New Roman" w:hint="eastAsia"/>
                <w:color w:val="000000"/>
                <w:kern w:val="0"/>
                <w:sz w:val="20"/>
                <w:szCs w:val="20"/>
                <w:lang w:bidi="ar"/>
              </w:rPr>
              <w:t>2</w:t>
            </w:r>
            <w:r>
              <w:rPr>
                <w:rFonts w:ascii="Times New Roman" w:eastAsia="宋体" w:hAnsi="Times New Roman" w:cs="Times New Roman" w:hint="eastAsia"/>
                <w:color w:val="000000"/>
                <w:kern w:val="0"/>
                <w:sz w:val="20"/>
                <w:szCs w:val="20"/>
                <w:lang w:bidi="ar"/>
              </w:rPr>
              <w:t>百分比</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sz w:val="20"/>
                <w:szCs w:val="20"/>
              </w:rPr>
              <w:t>2.69</w:t>
            </w:r>
            <w:r>
              <w:rPr>
                <w:rFonts w:ascii="Times New Roman" w:eastAsia="宋体" w:hAnsi="Times New Roman" w:cs="Times New Roman" w:hint="eastAsia"/>
                <w:color w:val="000000"/>
                <w:sz w:val="20"/>
                <w:szCs w:val="20"/>
              </w:rPr>
              <w:t>百分比</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6</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6</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按完成值与目标值比例得分</w:t>
            </w:r>
            <w:r>
              <w:rPr>
                <w:rFonts w:ascii="Times New Roman" w:eastAsia="宋体" w:hAnsi="Times New Roman" w:cs="Times New Roman" w:hint="eastAsia"/>
                <w:color w:val="000000"/>
                <w:kern w:val="0"/>
                <w:sz w:val="20"/>
                <w:szCs w:val="20"/>
                <w:lang w:bidi="ar"/>
              </w:rPr>
              <w:t>，最高得该项满分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tr w:rsidR="006E6B8E">
        <w:trPr>
          <w:trHeight w:val="460"/>
        </w:trPr>
        <w:tc>
          <w:tcPr>
            <w:tcW w:w="74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sz w:val="20"/>
                <w:szCs w:val="20"/>
              </w:rPr>
              <w:t>满意度指标</w:t>
            </w:r>
          </w:p>
        </w:tc>
        <w:tc>
          <w:tcPr>
            <w:tcW w:w="1052"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服务对象满意度</w:t>
            </w:r>
          </w:p>
        </w:tc>
        <w:tc>
          <w:tcPr>
            <w:tcW w:w="1798"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项目满意度</w:t>
            </w:r>
          </w:p>
        </w:tc>
        <w:tc>
          <w:tcPr>
            <w:tcW w:w="1367"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≥85%</w:t>
            </w:r>
          </w:p>
        </w:tc>
        <w:tc>
          <w:tcPr>
            <w:tcW w:w="1286"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100%</w:t>
            </w:r>
          </w:p>
        </w:tc>
        <w:tc>
          <w:tcPr>
            <w:tcW w:w="109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3</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3</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按完成值与目标值比例得分</w:t>
            </w:r>
            <w:r>
              <w:rPr>
                <w:rFonts w:ascii="Times New Roman" w:eastAsia="宋体" w:hAnsi="Times New Roman" w:cs="Times New Roman" w:hint="eastAsia"/>
                <w:color w:val="000000"/>
                <w:kern w:val="0"/>
                <w:sz w:val="20"/>
                <w:szCs w:val="20"/>
                <w:lang w:bidi="ar"/>
              </w:rPr>
              <w:t>，最高得该项满分</w:t>
            </w: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spacing w:line="320" w:lineRule="exact"/>
              <w:jc w:val="center"/>
              <w:rPr>
                <w:rFonts w:ascii="Times New Roman" w:eastAsia="宋体" w:hAnsi="Times New Roman" w:cs="Times New Roman"/>
                <w:color w:val="000000"/>
                <w:sz w:val="18"/>
                <w:szCs w:val="18"/>
              </w:rPr>
            </w:pPr>
          </w:p>
        </w:tc>
      </w:tr>
      <w:bookmarkEnd w:id="20"/>
      <w:tr w:rsidR="006E6B8E">
        <w:trPr>
          <w:trHeight w:val="624"/>
        </w:trPr>
        <w:tc>
          <w:tcPr>
            <w:tcW w:w="7345" w:type="dxa"/>
            <w:gridSpan w:val="6"/>
            <w:tcBorders>
              <w:top w:val="single" w:sz="4" w:space="0" w:color="000000"/>
              <w:left w:val="single" w:sz="4" w:space="0" w:color="000000"/>
              <w:bottom w:val="single" w:sz="4" w:space="0" w:color="000000"/>
              <w:right w:val="single" w:sz="4" w:space="0" w:color="000000"/>
            </w:tcBorders>
            <w:vAlign w:val="center"/>
          </w:tcPr>
          <w:p w:rsidR="006E6B8E" w:rsidRDefault="00A76A9D">
            <w:pPr>
              <w:spacing w:line="320" w:lineRule="exact"/>
              <w:jc w:val="center"/>
              <w:rPr>
                <w:rFonts w:ascii="Times New Roman" w:eastAsia="宋体" w:hAnsi="Times New Roman" w:cs="Times New Roman"/>
                <w:b/>
                <w:bCs/>
                <w:color w:val="000000"/>
                <w:kern w:val="0"/>
                <w:sz w:val="20"/>
                <w:szCs w:val="20"/>
                <w:lang w:bidi="ar"/>
              </w:rPr>
            </w:pPr>
            <w:r>
              <w:rPr>
                <w:rFonts w:ascii="Times New Roman" w:eastAsia="宋体" w:hAnsi="Times New Roman" w:cs="Times New Roman"/>
                <w:b/>
                <w:bCs/>
                <w:color w:val="000000"/>
                <w:kern w:val="0"/>
                <w:sz w:val="20"/>
                <w:szCs w:val="20"/>
                <w:lang w:bidi="ar"/>
              </w:rPr>
              <w:t>评价总得分</w:t>
            </w:r>
          </w:p>
        </w:tc>
        <w:tc>
          <w:tcPr>
            <w:tcW w:w="885" w:type="dxa"/>
            <w:tcBorders>
              <w:top w:val="single" w:sz="4" w:space="0" w:color="000000"/>
              <w:left w:val="single" w:sz="4" w:space="0" w:color="000000"/>
              <w:bottom w:val="single" w:sz="4" w:space="0" w:color="000000"/>
              <w:right w:val="single" w:sz="4" w:space="0" w:color="000000"/>
            </w:tcBorders>
            <w:vAlign w:val="center"/>
          </w:tcPr>
          <w:p w:rsidR="006E6B8E" w:rsidRDefault="00A76A9D">
            <w:pPr>
              <w:widowControl/>
              <w:spacing w:line="320" w:lineRule="exact"/>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9</w:t>
            </w:r>
            <w:r>
              <w:rPr>
                <w:rFonts w:ascii="Times New Roman" w:eastAsia="宋体" w:hAnsi="Times New Roman" w:cs="Times New Roman" w:hint="eastAsia"/>
                <w:b/>
                <w:bCs/>
                <w:color w:val="000000"/>
                <w:kern w:val="0"/>
                <w:sz w:val="18"/>
                <w:szCs w:val="18"/>
                <w:lang w:bidi="ar"/>
              </w:rPr>
              <w:t>8.14</w:t>
            </w:r>
          </w:p>
        </w:tc>
        <w:tc>
          <w:tcPr>
            <w:tcW w:w="4600" w:type="dxa"/>
            <w:tcBorders>
              <w:top w:val="single" w:sz="4" w:space="0" w:color="000000"/>
              <w:left w:val="single" w:sz="4" w:space="0" w:color="000000"/>
              <w:bottom w:val="single" w:sz="4" w:space="0" w:color="000000"/>
              <w:right w:val="single" w:sz="4" w:space="0" w:color="000000"/>
            </w:tcBorders>
            <w:vAlign w:val="center"/>
          </w:tcPr>
          <w:p w:rsidR="006E6B8E" w:rsidRDefault="006E6B8E">
            <w:pPr>
              <w:widowControl/>
              <w:spacing w:line="320" w:lineRule="exact"/>
              <w:jc w:val="center"/>
              <w:textAlignment w:val="center"/>
              <w:rPr>
                <w:rFonts w:ascii="Times New Roman" w:eastAsia="宋体" w:hAnsi="Times New Roman" w:cs="Times New Roman"/>
                <w:b/>
                <w:bCs/>
                <w:color w:val="000000"/>
                <w:kern w:val="0"/>
                <w:sz w:val="18"/>
                <w:szCs w:val="18"/>
                <w:lang w:bidi="ar"/>
              </w:rPr>
            </w:pPr>
          </w:p>
        </w:tc>
        <w:tc>
          <w:tcPr>
            <w:tcW w:w="2210" w:type="dxa"/>
            <w:tcBorders>
              <w:top w:val="single" w:sz="4" w:space="0" w:color="000000"/>
              <w:left w:val="single" w:sz="4" w:space="0" w:color="000000"/>
              <w:bottom w:val="single" w:sz="4" w:space="0" w:color="000000"/>
              <w:right w:val="single" w:sz="4" w:space="0" w:color="000000"/>
            </w:tcBorders>
            <w:vAlign w:val="center"/>
          </w:tcPr>
          <w:p w:rsidR="006E6B8E" w:rsidRDefault="006E6B8E">
            <w:pPr>
              <w:widowControl/>
              <w:spacing w:line="320" w:lineRule="exact"/>
              <w:jc w:val="center"/>
              <w:textAlignment w:val="center"/>
              <w:rPr>
                <w:rFonts w:ascii="Times New Roman" w:eastAsia="宋体" w:hAnsi="Times New Roman" w:cs="Times New Roman"/>
                <w:b/>
                <w:bCs/>
                <w:color w:val="000000"/>
                <w:kern w:val="0"/>
                <w:sz w:val="18"/>
                <w:szCs w:val="18"/>
                <w:lang w:bidi="ar"/>
              </w:rPr>
            </w:pPr>
          </w:p>
        </w:tc>
      </w:tr>
      <w:bookmarkEnd w:id="0"/>
      <w:bookmarkEnd w:id="1"/>
      <w:bookmarkEnd w:id="18"/>
    </w:tbl>
    <w:p w:rsidR="006E6B8E" w:rsidRDefault="006E6B8E">
      <w:pPr>
        <w:pStyle w:val="a0"/>
        <w:spacing w:line="240" w:lineRule="auto"/>
        <w:ind w:firstLine="0"/>
        <w:rPr>
          <w:lang w:val="en-US"/>
        </w:rPr>
      </w:pPr>
    </w:p>
    <w:sectPr w:rsidR="006E6B8E">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1AA8" w:rsidRDefault="005F1AA8">
      <w:r>
        <w:separator/>
      </w:r>
    </w:p>
  </w:endnote>
  <w:endnote w:type="continuationSeparator" w:id="0">
    <w:p w:rsidR="005F1AA8" w:rsidRDefault="005F1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gLiU">
    <w:altName w:val="Arial Unicode MS"/>
    <w:panose1 w:val="02010609000101010101"/>
    <w:charset w:val="88"/>
    <w:family w:val="modern"/>
    <w:notTrueType/>
    <w:pitch w:val="fixed"/>
    <w:sig w:usb0="00000000" w:usb1="08080000" w:usb2="00000010" w:usb3="00000000" w:csb0="00100000" w:csb1="00000000"/>
  </w:font>
  <w:font w:name="方正小标宋_GBK">
    <w:altName w:val="Arial Unicode MS"/>
    <w:charset w:val="86"/>
    <w:family w:val="script"/>
    <w:pitch w:val="fixed"/>
    <w:sig w:usb0="00000000"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7786252"/>
    </w:sdtPr>
    <w:sdtEndPr>
      <w:rPr>
        <w:rFonts w:ascii="宋体" w:eastAsia="宋体" w:hAnsi="宋体"/>
        <w:sz w:val="28"/>
        <w:szCs w:val="28"/>
      </w:rPr>
    </w:sdtEndPr>
    <w:sdtContent>
      <w:p w:rsidR="006E6B8E" w:rsidRDefault="00A76A9D">
        <w:pPr>
          <w:pStyle w:val="a4"/>
          <w:jc w:val="center"/>
          <w:rPr>
            <w:rFonts w:ascii="宋体" w:eastAsia="宋体" w:hAnsi="宋体"/>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sidR="00FE416B" w:rsidRPr="00FE416B">
          <w:rPr>
            <w:rFonts w:ascii="宋体" w:eastAsia="宋体" w:hAnsi="宋体"/>
            <w:noProof/>
            <w:sz w:val="28"/>
            <w:szCs w:val="28"/>
            <w:lang w:val="zh-CN"/>
          </w:rPr>
          <w:t>9</w:t>
        </w:r>
        <w:r>
          <w:rPr>
            <w:rFonts w:ascii="宋体" w:eastAsia="宋体" w:hAnsi="宋体"/>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1AA8" w:rsidRDefault="005F1AA8">
      <w:r>
        <w:separator/>
      </w:r>
    </w:p>
  </w:footnote>
  <w:footnote w:type="continuationSeparator" w:id="0">
    <w:p w:rsidR="005F1AA8" w:rsidRDefault="005F1A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F98CF"/>
    <w:multiLevelType w:val="singleLevel"/>
    <w:tmpl w:val="19CF98CF"/>
    <w:lvl w:ilvl="0">
      <w:start w:val="1"/>
      <w:numFmt w:val="chineseCounting"/>
      <w:suff w:val="nothing"/>
      <w:lvlText w:val="%1、"/>
      <w:lvlJc w:val="left"/>
      <w:rPr>
        <w:rFonts w:hint="eastAsia"/>
      </w:rPr>
    </w:lvl>
  </w:abstractNum>
  <w:abstractNum w:abstractNumId="1">
    <w:nsid w:val="2369EEE3"/>
    <w:multiLevelType w:val="singleLevel"/>
    <w:tmpl w:val="2369EEE3"/>
    <w:lvl w:ilvl="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192CF5"/>
    <w:rsid w:val="0003174F"/>
    <w:rsid w:val="00071E10"/>
    <w:rsid w:val="000D0EE3"/>
    <w:rsid w:val="005F1AA8"/>
    <w:rsid w:val="005F6563"/>
    <w:rsid w:val="00625962"/>
    <w:rsid w:val="00643421"/>
    <w:rsid w:val="006E6B8E"/>
    <w:rsid w:val="00893A81"/>
    <w:rsid w:val="00A76A9D"/>
    <w:rsid w:val="00DD6849"/>
    <w:rsid w:val="00E22A18"/>
    <w:rsid w:val="00FE416B"/>
    <w:rsid w:val="02A11C60"/>
    <w:rsid w:val="05EF5E84"/>
    <w:rsid w:val="08C74FC9"/>
    <w:rsid w:val="09923743"/>
    <w:rsid w:val="0A192CF5"/>
    <w:rsid w:val="0ABA46EF"/>
    <w:rsid w:val="0F1909FA"/>
    <w:rsid w:val="0F592339"/>
    <w:rsid w:val="15E74C42"/>
    <w:rsid w:val="173F08B5"/>
    <w:rsid w:val="18002D57"/>
    <w:rsid w:val="1C2F4C4D"/>
    <w:rsid w:val="213936F3"/>
    <w:rsid w:val="2350025C"/>
    <w:rsid w:val="284B1E95"/>
    <w:rsid w:val="2B487319"/>
    <w:rsid w:val="31801971"/>
    <w:rsid w:val="319763C5"/>
    <w:rsid w:val="3A994B2A"/>
    <w:rsid w:val="3C896247"/>
    <w:rsid w:val="3EFC3EB8"/>
    <w:rsid w:val="4232646F"/>
    <w:rsid w:val="45C854D1"/>
    <w:rsid w:val="462A4554"/>
    <w:rsid w:val="512846E5"/>
    <w:rsid w:val="55011FDF"/>
    <w:rsid w:val="568D3182"/>
    <w:rsid w:val="5EED5CCB"/>
    <w:rsid w:val="6BA8544F"/>
    <w:rsid w:val="72074198"/>
    <w:rsid w:val="722E7DB2"/>
    <w:rsid w:val="7996119D"/>
    <w:rsid w:val="7CD55D18"/>
    <w:rsid w:val="7E962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header" w:qFormat="1"/>
    <w:lsdException w:name="footer" w:uiPriority="99" w:unhideWhenUsed="1" w:qFormat="1"/>
    <w:lsdException w:name="caption" w:semiHidden="1" w:unhideWhenUsed="1" w:qFormat="1"/>
    <w:lsdException w:name="footnote reference" w:semiHidden="1" w:uiPriority="99" w:unhideWhenUsed="1" w:qFormat="1"/>
    <w:lsdException w:name="Title" w:qFormat="1"/>
    <w:lsdException w:name="Default Paragraph Font" w:semiHidden="1" w:qFormat="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keepNext/>
      <w:keepLines/>
      <w:spacing w:line="560" w:lineRule="exact"/>
      <w:ind w:firstLineChars="200" w:firstLine="200"/>
      <w:outlineLvl w:val="0"/>
    </w:pPr>
    <w:rPr>
      <w:rFonts w:eastAsia="宋体"/>
      <w:b/>
      <w:bCs/>
      <w:kern w:val="44"/>
      <w:sz w:val="32"/>
      <w:szCs w:val="44"/>
    </w:rPr>
  </w:style>
  <w:style w:type="paragraph" w:styleId="2">
    <w:name w:val="heading 2"/>
    <w:basedOn w:val="a"/>
    <w:next w:val="a"/>
    <w:uiPriority w:val="9"/>
    <w:unhideWhenUsed/>
    <w:qFormat/>
    <w:pPr>
      <w:keepNext/>
      <w:keepLines/>
      <w:spacing w:line="560" w:lineRule="exact"/>
      <w:ind w:firstLineChars="200" w:firstLine="200"/>
      <w:outlineLvl w:val="1"/>
    </w:pPr>
    <w:rPr>
      <w:rFonts w:asciiTheme="majorHAnsi" w:eastAsia="宋体" w:hAnsiTheme="majorHAnsi" w:cstheme="majorBidi"/>
      <w:b/>
      <w:bCs/>
      <w:sz w:val="28"/>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uiPriority w:val="99"/>
    <w:qFormat/>
    <w:pPr>
      <w:shd w:val="clear" w:color="auto" w:fill="FFFFFF"/>
      <w:spacing w:line="396" w:lineRule="auto"/>
      <w:ind w:firstLine="400"/>
      <w:jc w:val="left"/>
    </w:pPr>
    <w:rPr>
      <w:rFonts w:ascii="MingLiU" w:eastAsia="MingLiU" w:cs="MingLiU"/>
      <w:sz w:val="30"/>
      <w:szCs w:val="30"/>
      <w:lang w:val="zh-CN"/>
    </w:rPr>
  </w:style>
  <w:style w:type="paragraph" w:styleId="a4">
    <w:name w:val="footer"/>
    <w:basedOn w:val="a"/>
    <w:uiPriority w:val="99"/>
    <w:unhideWhenUsed/>
    <w:qFormat/>
    <w:pPr>
      <w:tabs>
        <w:tab w:val="center" w:pos="4153"/>
        <w:tab w:val="right" w:pos="8306"/>
      </w:tabs>
      <w:snapToGrid w:val="0"/>
      <w:jc w:val="left"/>
    </w:pPr>
    <w:rPr>
      <w:sz w:val="18"/>
      <w:szCs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footnote text"/>
    <w:basedOn w:val="a"/>
    <w:uiPriority w:val="99"/>
    <w:semiHidden/>
    <w:unhideWhenUsed/>
    <w:qFormat/>
    <w:pPr>
      <w:snapToGrid w:val="0"/>
      <w:jc w:val="left"/>
    </w:pPr>
    <w:rPr>
      <w:sz w:val="18"/>
      <w:szCs w:val="18"/>
    </w:rPr>
  </w:style>
  <w:style w:type="character" w:styleId="a7">
    <w:name w:val="footnote reference"/>
    <w:basedOn w:val="a1"/>
    <w:uiPriority w:val="99"/>
    <w:semiHidden/>
    <w:unhideWhenUsed/>
    <w:qFormat/>
    <w:rPr>
      <w:vertAlign w:val="superscript"/>
    </w:rPr>
  </w:style>
  <w:style w:type="paragraph" w:styleId="a8">
    <w:name w:val="Balloon Text"/>
    <w:basedOn w:val="a"/>
    <w:link w:val="Char"/>
    <w:rsid w:val="000D0EE3"/>
    <w:rPr>
      <w:sz w:val="18"/>
      <w:szCs w:val="18"/>
    </w:rPr>
  </w:style>
  <w:style w:type="character" w:customStyle="1" w:styleId="Char">
    <w:name w:val="批注框文本 Char"/>
    <w:basedOn w:val="a1"/>
    <w:link w:val="a8"/>
    <w:rsid w:val="000D0EE3"/>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header" w:qFormat="1"/>
    <w:lsdException w:name="footer" w:uiPriority="99" w:unhideWhenUsed="1" w:qFormat="1"/>
    <w:lsdException w:name="caption" w:semiHidden="1" w:unhideWhenUsed="1" w:qFormat="1"/>
    <w:lsdException w:name="footnote reference" w:semiHidden="1" w:uiPriority="99" w:unhideWhenUsed="1" w:qFormat="1"/>
    <w:lsdException w:name="Title" w:qFormat="1"/>
    <w:lsdException w:name="Default Paragraph Font" w:semiHidden="1" w:qFormat="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keepNext/>
      <w:keepLines/>
      <w:spacing w:line="560" w:lineRule="exact"/>
      <w:ind w:firstLineChars="200" w:firstLine="200"/>
      <w:outlineLvl w:val="0"/>
    </w:pPr>
    <w:rPr>
      <w:rFonts w:eastAsia="宋体"/>
      <w:b/>
      <w:bCs/>
      <w:kern w:val="44"/>
      <w:sz w:val="32"/>
      <w:szCs w:val="44"/>
    </w:rPr>
  </w:style>
  <w:style w:type="paragraph" w:styleId="2">
    <w:name w:val="heading 2"/>
    <w:basedOn w:val="a"/>
    <w:next w:val="a"/>
    <w:uiPriority w:val="9"/>
    <w:unhideWhenUsed/>
    <w:qFormat/>
    <w:pPr>
      <w:keepNext/>
      <w:keepLines/>
      <w:spacing w:line="560" w:lineRule="exact"/>
      <w:ind w:firstLineChars="200" w:firstLine="200"/>
      <w:outlineLvl w:val="1"/>
    </w:pPr>
    <w:rPr>
      <w:rFonts w:asciiTheme="majorHAnsi" w:eastAsia="宋体" w:hAnsiTheme="majorHAnsi" w:cstheme="majorBidi"/>
      <w:b/>
      <w:bCs/>
      <w:sz w:val="28"/>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uiPriority w:val="99"/>
    <w:qFormat/>
    <w:pPr>
      <w:shd w:val="clear" w:color="auto" w:fill="FFFFFF"/>
      <w:spacing w:line="396" w:lineRule="auto"/>
      <w:ind w:firstLine="400"/>
      <w:jc w:val="left"/>
    </w:pPr>
    <w:rPr>
      <w:rFonts w:ascii="MingLiU" w:eastAsia="MingLiU" w:cs="MingLiU"/>
      <w:sz w:val="30"/>
      <w:szCs w:val="30"/>
      <w:lang w:val="zh-CN"/>
    </w:rPr>
  </w:style>
  <w:style w:type="paragraph" w:styleId="a4">
    <w:name w:val="footer"/>
    <w:basedOn w:val="a"/>
    <w:uiPriority w:val="99"/>
    <w:unhideWhenUsed/>
    <w:qFormat/>
    <w:pPr>
      <w:tabs>
        <w:tab w:val="center" w:pos="4153"/>
        <w:tab w:val="right" w:pos="8306"/>
      </w:tabs>
      <w:snapToGrid w:val="0"/>
      <w:jc w:val="left"/>
    </w:pPr>
    <w:rPr>
      <w:sz w:val="18"/>
      <w:szCs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footnote text"/>
    <w:basedOn w:val="a"/>
    <w:uiPriority w:val="99"/>
    <w:semiHidden/>
    <w:unhideWhenUsed/>
    <w:qFormat/>
    <w:pPr>
      <w:snapToGrid w:val="0"/>
      <w:jc w:val="left"/>
    </w:pPr>
    <w:rPr>
      <w:sz w:val="18"/>
      <w:szCs w:val="18"/>
    </w:rPr>
  </w:style>
  <w:style w:type="character" w:styleId="a7">
    <w:name w:val="footnote reference"/>
    <w:basedOn w:val="a1"/>
    <w:uiPriority w:val="99"/>
    <w:semiHidden/>
    <w:unhideWhenUsed/>
    <w:qFormat/>
    <w:rPr>
      <w:vertAlign w:val="superscript"/>
    </w:rPr>
  </w:style>
  <w:style w:type="paragraph" w:styleId="a8">
    <w:name w:val="Balloon Text"/>
    <w:basedOn w:val="a"/>
    <w:link w:val="Char"/>
    <w:rsid w:val="000D0EE3"/>
    <w:rPr>
      <w:sz w:val="18"/>
      <w:szCs w:val="18"/>
    </w:rPr>
  </w:style>
  <w:style w:type="character" w:customStyle="1" w:styleId="Char">
    <w:name w:val="批注框文本 Char"/>
    <w:basedOn w:val="a1"/>
    <w:link w:val="a8"/>
    <w:rsid w:val="000D0EE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1743</Words>
  <Characters>9940</Characters>
  <Application>Microsoft Office Word</Application>
  <DocSecurity>0</DocSecurity>
  <Lines>82</Lines>
  <Paragraphs>23</Paragraphs>
  <ScaleCrop>false</ScaleCrop>
  <Company/>
  <LinksUpToDate>false</LinksUpToDate>
  <CharactersWithSpaces>11660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Windows 用户</cp:lastModifiedBy>
  <cp:revision>13</cp:revision>
  <cp:lastPrinted>2026-06-29T01:02:00Z</cp:lastPrinted>
  <dcterms:created xsi:type="dcterms:W3CDTF">2026-06-25T09:44:00Z</dcterms:created>
  <dcterms:modified xsi:type="dcterms:W3CDTF">2026-09-22T07:02:00Z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2052-11.8.2.12089</vt:lpwstr>
  </property>
  <property fmtid="{D5CDD505-2E9C-101B-9397-08002B2CF9AE}" pid="3" name="ICV">
    <vt:lpwstr>31E98C0A8BDC42438FEC7797E2B39D50</vt:lpwstr>
  </property>
</Properties>
</file>