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69336" w14:textId="77777777" w:rsidR="00270E27" w:rsidRDefault="001B5627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2025年度南京市农业农村局农作物重大病虫害防控</w:t>
      </w:r>
    </w:p>
    <w:p w14:paraId="01FB33DB" w14:textId="53CA60B3" w:rsidR="005875BE" w:rsidRDefault="001B5627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绩效评价报告</w:t>
      </w:r>
    </w:p>
    <w:p w14:paraId="747AF8CA" w14:textId="77777777" w:rsidR="005875BE" w:rsidRDefault="005875BE">
      <w:pPr>
        <w:widowControl/>
        <w:spacing w:line="560" w:lineRule="exact"/>
        <w:ind w:firstLineChars="200" w:firstLine="640"/>
        <w:jc w:val="left"/>
        <w:rPr>
          <w:rFonts w:eastAsia="黑体"/>
          <w:color w:val="000000"/>
          <w:kern w:val="0"/>
          <w:sz w:val="32"/>
          <w:szCs w:val="32"/>
        </w:rPr>
      </w:pPr>
    </w:p>
    <w:p w14:paraId="71F4AE87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一、专项资金概况</w:t>
      </w:r>
    </w:p>
    <w:p w14:paraId="42E4E01D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（一）基本情况</w:t>
      </w:r>
    </w:p>
    <w:p w14:paraId="091347AC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小麦赤霉病是小麦生产中的主要病害，具有“可防不可治”的显著特点，一旦预防松懈、管控失当，将严重影响小麦产量与品质。近年，各级领导高度关注粮食生产安全，2024年省政府办公厅《关于抓紧做好小麦赤霉病防控工作的通知》（苏政传发[2024]37号）中提出，各地要坚持“科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判、精准施策、减量控害”的防控思路，统筹用好各类资金，努力实现一次用药免费发放全覆盖；随后，中共江苏省委农村工作领导小组《关于切实加强小麦赤霉病防控工作的提示函》中强调，加大地方财政投入，实现一次用药免费发放全覆盖，保障防治用药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断档。市领导高度重视小麦赤霉病防控工作，多次进行批示，要求切实做好小麦赤霉病防控工作，保障夏粮生产安全。</w:t>
      </w:r>
    </w:p>
    <w:p w14:paraId="4B8A7E35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此外，粮食节约损失率是《2025年度推进乡村振兴战略实绩考核（含落实耕地保护和粮食安全责任制考核）》中考核指标，其中明确量化主要粮食作物病虫危害损失率≤5%。综上，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小麦赤霉病防控工作是我市小麦生产中一项重要而紧迫的任务，直接关系夏粮丰产丰收和考核争先。</w:t>
      </w:r>
    </w:p>
    <w:p w14:paraId="740A5038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本专项资金重点支持全市小麦赤霉病防控药剂补助，通过统一采购针对性药剂，统一施策，做到应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防尽防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，切实控制赤霉病害危害，保障夏粮生产稳定安全。</w:t>
      </w:r>
    </w:p>
    <w:p w14:paraId="472F09A4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（二）资金情况</w:t>
      </w:r>
    </w:p>
    <w:p w14:paraId="61775A71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1.项目预算</w:t>
      </w:r>
      <w:r>
        <w:rPr>
          <w:rFonts w:ascii="仿宋" w:eastAsia="仿宋" w:hAnsi="仿宋" w:cs="仿宋" w:hint="eastAsia"/>
          <w:sz w:val="32"/>
          <w:szCs w:val="32"/>
        </w:rPr>
        <w:t>与来源</w:t>
      </w:r>
    </w:p>
    <w:p w14:paraId="1793CD2A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根据《关于下达 2025 年第一批市级农业专项资金计划的通知》（宁农计〔2025〕6号），下达农作物重大病虫害防控资金总预算624万元，全部来源于市级财政，市级财政已下达到相关区财政和单位，预算分配详见下表：</w:t>
      </w:r>
    </w:p>
    <w:p w14:paraId="4200A4C6" w14:textId="77777777" w:rsidR="005875BE" w:rsidRDefault="001B5627">
      <w:pPr>
        <w:pStyle w:val="2"/>
        <w:jc w:val="right"/>
        <w:rPr>
          <w:rFonts w:ascii="仿宋" w:hAnsi="仿宋" w:cs="仿宋"/>
          <w:b w:val="0"/>
          <w:sz w:val="32"/>
          <w:szCs w:val="32"/>
        </w:rPr>
      </w:pPr>
      <w:r>
        <w:rPr>
          <w:rFonts w:ascii="仿宋" w:hAnsi="仿宋" w:cs="仿宋" w:hint="eastAsia"/>
          <w:sz w:val="32"/>
          <w:szCs w:val="32"/>
        </w:rPr>
        <w:t xml:space="preserve"> </w:t>
      </w:r>
      <w:r>
        <w:rPr>
          <w:rFonts w:ascii="仿宋" w:hAnsi="仿宋" w:cs="仿宋" w:hint="eastAsia"/>
          <w:b w:val="0"/>
          <w:sz w:val="32"/>
          <w:szCs w:val="32"/>
        </w:rPr>
        <w:t xml:space="preserve"> </w:t>
      </w:r>
    </w:p>
    <w:p w14:paraId="6ED1CF49" w14:textId="77777777" w:rsidR="005875BE" w:rsidRDefault="001B5627">
      <w:pPr>
        <w:pStyle w:val="2"/>
        <w:jc w:val="center"/>
        <w:rPr>
          <w:rFonts w:ascii="仿宋" w:hAnsi="仿宋" w:cs="仿宋"/>
          <w:bCs/>
          <w:sz w:val="32"/>
          <w:szCs w:val="32"/>
        </w:rPr>
      </w:pPr>
      <w:r>
        <w:rPr>
          <w:rFonts w:ascii="仿宋" w:hAnsi="仿宋" w:cs="仿宋" w:hint="eastAsia"/>
          <w:bCs/>
          <w:sz w:val="32"/>
          <w:szCs w:val="32"/>
        </w:rPr>
        <w:t>南京市2025年度农作物重大病虫害防控专项预算明细表</w:t>
      </w:r>
      <w:bookmarkStart w:id="0" w:name="_Toc27998"/>
      <w:bookmarkStart w:id="1" w:name="_Toc3463"/>
    </w:p>
    <w:p w14:paraId="3D52513B" w14:textId="77777777" w:rsidR="005875BE" w:rsidRDefault="001B5627">
      <w:pPr>
        <w:pStyle w:val="2"/>
        <w:jc w:val="right"/>
        <w:rPr>
          <w:rFonts w:ascii="仿宋" w:hAnsi="仿宋" w:cs="仿宋"/>
          <w:sz w:val="32"/>
          <w:szCs w:val="32"/>
        </w:rPr>
      </w:pPr>
      <w:r>
        <w:rPr>
          <w:rFonts w:ascii="仿宋" w:hAnsi="仿宋" w:cs="仿宋" w:hint="eastAsia"/>
          <w:b w:val="0"/>
          <w:sz w:val="32"/>
          <w:szCs w:val="32"/>
        </w:rPr>
        <w:t>单位：万元</w:t>
      </w:r>
      <w:bookmarkEnd w:id="0"/>
      <w:bookmarkEnd w:id="1"/>
    </w:p>
    <w:tbl>
      <w:tblPr>
        <w:tblStyle w:val="ab"/>
        <w:tblW w:w="8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3"/>
        <w:gridCol w:w="3820"/>
      </w:tblGrid>
      <w:tr w:rsidR="005875BE" w14:paraId="6BFC15B4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3C541960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区属</w:t>
            </w:r>
          </w:p>
        </w:tc>
        <w:tc>
          <w:tcPr>
            <w:tcW w:w="3820" w:type="dxa"/>
            <w:vAlign w:val="center"/>
          </w:tcPr>
          <w:p w14:paraId="0F2AAD70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资金</w:t>
            </w:r>
          </w:p>
        </w:tc>
      </w:tr>
      <w:tr w:rsidR="005875BE" w14:paraId="65236F22" w14:textId="77777777">
        <w:trPr>
          <w:jc w:val="center"/>
        </w:trPr>
        <w:tc>
          <w:tcPr>
            <w:tcW w:w="0" w:type="auto"/>
            <w:vAlign w:val="center"/>
          </w:tcPr>
          <w:p w14:paraId="13FFF6EE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江宁区</w:t>
            </w:r>
          </w:p>
        </w:tc>
        <w:tc>
          <w:tcPr>
            <w:tcW w:w="3820" w:type="dxa"/>
            <w:vAlign w:val="center"/>
          </w:tcPr>
          <w:p w14:paraId="1F89F33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116</w:t>
            </w:r>
          </w:p>
        </w:tc>
      </w:tr>
      <w:tr w:rsidR="005875BE" w14:paraId="461A9442" w14:textId="77777777">
        <w:trPr>
          <w:jc w:val="center"/>
        </w:trPr>
        <w:tc>
          <w:tcPr>
            <w:tcW w:w="0" w:type="auto"/>
            <w:vAlign w:val="center"/>
          </w:tcPr>
          <w:p w14:paraId="7BD2890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浦口区</w:t>
            </w:r>
          </w:p>
        </w:tc>
        <w:tc>
          <w:tcPr>
            <w:tcW w:w="3820" w:type="dxa"/>
            <w:vAlign w:val="center"/>
          </w:tcPr>
          <w:p w14:paraId="53C5BBC6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30</w:t>
            </w:r>
          </w:p>
        </w:tc>
      </w:tr>
      <w:tr w:rsidR="005875BE" w14:paraId="5F16D3F8" w14:textId="77777777">
        <w:trPr>
          <w:jc w:val="center"/>
        </w:trPr>
        <w:tc>
          <w:tcPr>
            <w:tcW w:w="0" w:type="auto"/>
            <w:vAlign w:val="center"/>
          </w:tcPr>
          <w:p w14:paraId="02CB565D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六合区</w:t>
            </w:r>
            <w:proofErr w:type="gramEnd"/>
          </w:p>
        </w:tc>
        <w:tc>
          <w:tcPr>
            <w:tcW w:w="3820" w:type="dxa"/>
            <w:vAlign w:val="center"/>
          </w:tcPr>
          <w:p w14:paraId="1251EC2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320</w:t>
            </w:r>
          </w:p>
        </w:tc>
      </w:tr>
      <w:tr w:rsidR="005875BE" w14:paraId="0D2A5669" w14:textId="77777777">
        <w:trPr>
          <w:jc w:val="center"/>
        </w:trPr>
        <w:tc>
          <w:tcPr>
            <w:tcW w:w="0" w:type="auto"/>
            <w:vAlign w:val="center"/>
          </w:tcPr>
          <w:p w14:paraId="459AA83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溧水区</w:t>
            </w:r>
          </w:p>
        </w:tc>
        <w:tc>
          <w:tcPr>
            <w:tcW w:w="3820" w:type="dxa"/>
            <w:vAlign w:val="center"/>
          </w:tcPr>
          <w:p w14:paraId="3E1EBDC0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110</w:t>
            </w:r>
          </w:p>
        </w:tc>
      </w:tr>
      <w:tr w:rsidR="005875BE" w14:paraId="4D636EF5" w14:textId="77777777">
        <w:trPr>
          <w:jc w:val="center"/>
        </w:trPr>
        <w:tc>
          <w:tcPr>
            <w:tcW w:w="0" w:type="auto"/>
            <w:vAlign w:val="center"/>
          </w:tcPr>
          <w:p w14:paraId="64D0E6B1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高淳区</w:t>
            </w:r>
          </w:p>
        </w:tc>
        <w:tc>
          <w:tcPr>
            <w:tcW w:w="3820" w:type="dxa"/>
            <w:vAlign w:val="center"/>
          </w:tcPr>
          <w:p w14:paraId="0AF80D4D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48</w:t>
            </w:r>
          </w:p>
        </w:tc>
      </w:tr>
      <w:tr w:rsidR="005875BE" w14:paraId="0FBCF924" w14:textId="77777777">
        <w:trPr>
          <w:jc w:val="center"/>
        </w:trPr>
        <w:tc>
          <w:tcPr>
            <w:tcW w:w="5123" w:type="dxa"/>
            <w:vAlign w:val="center"/>
          </w:tcPr>
          <w:p w14:paraId="52185158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3820" w:type="dxa"/>
            <w:vAlign w:val="center"/>
          </w:tcPr>
          <w:p w14:paraId="6ED08AC9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624</w:t>
            </w:r>
          </w:p>
        </w:tc>
      </w:tr>
    </w:tbl>
    <w:p w14:paraId="06831A35" w14:textId="77777777" w:rsidR="005875BE" w:rsidRDefault="005875BE">
      <w:pPr>
        <w:spacing w:line="300" w:lineRule="auto"/>
        <w:rPr>
          <w:rFonts w:ascii="仿宋" w:eastAsia="仿宋" w:hAnsi="仿宋" w:cs="仿宋"/>
          <w:sz w:val="32"/>
          <w:szCs w:val="32"/>
          <w:lang w:val="zh-CN"/>
        </w:rPr>
      </w:pPr>
    </w:p>
    <w:p w14:paraId="27574424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lastRenderedPageBreak/>
        <w:t>2.项目资金使用情况</w:t>
      </w:r>
    </w:p>
    <w:p w14:paraId="429A523A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2" w:name="_Toc23968"/>
      <w:r>
        <w:rPr>
          <w:rFonts w:ascii="仿宋" w:eastAsia="仿宋" w:hAnsi="仿宋" w:cs="仿宋" w:hint="eastAsia"/>
          <w:sz w:val="32"/>
          <w:szCs w:val="32"/>
        </w:rPr>
        <w:t>经统计各区资金使用情况，截至2026年5月，2025年南京市农作物重大病虫害防控专项资金624.00万元，实际支出621.5万元，预算执行率99.6%，其中，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六合区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结余项目资金2.5万元，其余各区无项目结余资金。各区项目预算及支出金额详见下表：</w:t>
      </w:r>
      <w:bookmarkEnd w:id="2"/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29694C4A" w14:textId="77777777" w:rsidR="005875BE" w:rsidRDefault="001B5627">
      <w:pPr>
        <w:pStyle w:val="10"/>
        <w:spacing w:line="360" w:lineRule="auto"/>
        <w:ind w:rightChars="-50" w:right="-105" w:firstLineChars="0" w:firstLine="0"/>
        <w:jc w:val="center"/>
        <w:rPr>
          <w:rFonts w:ascii="仿宋" w:eastAsia="仿宋" w:hAnsi="仿宋" w:cs="仿宋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南京市2025年度农作物重大病虫害防控专项</w:t>
      </w:r>
      <w:r>
        <w:rPr>
          <w:rFonts w:ascii="仿宋" w:eastAsia="仿宋" w:hAnsi="仿宋" w:cs="仿宋" w:hint="eastAsia"/>
          <w:b/>
          <w:bCs/>
          <w:sz w:val="32"/>
          <w:szCs w:val="32"/>
          <w:lang w:eastAsia="zh-Hans"/>
        </w:rPr>
        <w:t>项目明细表</w:t>
      </w:r>
    </w:p>
    <w:p w14:paraId="450B9E64" w14:textId="77777777" w:rsidR="005875BE" w:rsidRDefault="001B5627">
      <w:pPr>
        <w:pStyle w:val="10"/>
        <w:spacing w:line="360" w:lineRule="auto"/>
        <w:ind w:rightChars="-50" w:right="-105" w:firstLineChars="400" w:firstLine="128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单位：万元</w:t>
      </w:r>
    </w:p>
    <w:tbl>
      <w:tblPr>
        <w:tblStyle w:val="ab"/>
        <w:tblW w:w="8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2237"/>
        <w:gridCol w:w="2237"/>
        <w:gridCol w:w="2695"/>
      </w:tblGrid>
      <w:tr w:rsidR="005875BE" w14:paraId="362A173E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2BB9E6C5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区属</w:t>
            </w:r>
          </w:p>
        </w:tc>
        <w:tc>
          <w:tcPr>
            <w:tcW w:w="0" w:type="auto"/>
            <w:vAlign w:val="center"/>
          </w:tcPr>
          <w:p w14:paraId="13E43E69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预算批复</w:t>
            </w:r>
          </w:p>
        </w:tc>
        <w:tc>
          <w:tcPr>
            <w:tcW w:w="0" w:type="auto"/>
            <w:vAlign w:val="center"/>
          </w:tcPr>
          <w:p w14:paraId="749C90E7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实际使用</w:t>
            </w:r>
          </w:p>
        </w:tc>
        <w:tc>
          <w:tcPr>
            <w:tcW w:w="2695" w:type="dxa"/>
            <w:vAlign w:val="center"/>
          </w:tcPr>
          <w:p w14:paraId="1C0FAB7B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预算执行率</w:t>
            </w:r>
          </w:p>
        </w:tc>
      </w:tr>
      <w:tr w:rsidR="005875BE" w14:paraId="6F974686" w14:textId="77777777">
        <w:trPr>
          <w:jc w:val="center"/>
        </w:trPr>
        <w:tc>
          <w:tcPr>
            <w:tcW w:w="0" w:type="auto"/>
            <w:vAlign w:val="center"/>
          </w:tcPr>
          <w:p w14:paraId="05D2CF7E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江宁区</w:t>
            </w:r>
          </w:p>
        </w:tc>
        <w:tc>
          <w:tcPr>
            <w:tcW w:w="0" w:type="auto"/>
            <w:vAlign w:val="center"/>
          </w:tcPr>
          <w:p w14:paraId="253345B1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116</w:t>
            </w:r>
          </w:p>
        </w:tc>
        <w:tc>
          <w:tcPr>
            <w:tcW w:w="0" w:type="auto"/>
            <w:vAlign w:val="center"/>
          </w:tcPr>
          <w:p w14:paraId="30B26FD6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116</w:t>
            </w:r>
          </w:p>
        </w:tc>
        <w:tc>
          <w:tcPr>
            <w:tcW w:w="2695" w:type="dxa"/>
            <w:vAlign w:val="center"/>
          </w:tcPr>
          <w:p w14:paraId="3FE38DDF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100%</w:t>
            </w:r>
          </w:p>
        </w:tc>
      </w:tr>
      <w:tr w:rsidR="005875BE" w14:paraId="17F45425" w14:textId="77777777">
        <w:trPr>
          <w:jc w:val="center"/>
        </w:trPr>
        <w:tc>
          <w:tcPr>
            <w:tcW w:w="0" w:type="auto"/>
            <w:vAlign w:val="center"/>
          </w:tcPr>
          <w:p w14:paraId="00CC3052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浦口区</w:t>
            </w:r>
          </w:p>
        </w:tc>
        <w:tc>
          <w:tcPr>
            <w:tcW w:w="0" w:type="auto"/>
            <w:vAlign w:val="center"/>
          </w:tcPr>
          <w:p w14:paraId="591404EE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30</w:t>
            </w:r>
          </w:p>
        </w:tc>
        <w:tc>
          <w:tcPr>
            <w:tcW w:w="0" w:type="auto"/>
            <w:vAlign w:val="center"/>
          </w:tcPr>
          <w:p w14:paraId="3575E897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30</w:t>
            </w:r>
          </w:p>
        </w:tc>
        <w:tc>
          <w:tcPr>
            <w:tcW w:w="2695" w:type="dxa"/>
            <w:vAlign w:val="center"/>
          </w:tcPr>
          <w:p w14:paraId="697987BC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100%</w:t>
            </w:r>
          </w:p>
        </w:tc>
      </w:tr>
      <w:tr w:rsidR="005875BE" w14:paraId="667DEC62" w14:textId="77777777">
        <w:trPr>
          <w:jc w:val="center"/>
        </w:trPr>
        <w:tc>
          <w:tcPr>
            <w:tcW w:w="0" w:type="auto"/>
            <w:vAlign w:val="center"/>
          </w:tcPr>
          <w:p w14:paraId="25E9C4F7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六合区</w:t>
            </w:r>
            <w:proofErr w:type="gramEnd"/>
          </w:p>
        </w:tc>
        <w:tc>
          <w:tcPr>
            <w:tcW w:w="0" w:type="auto"/>
            <w:vAlign w:val="center"/>
          </w:tcPr>
          <w:p w14:paraId="3C263A94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320</w:t>
            </w:r>
          </w:p>
        </w:tc>
        <w:tc>
          <w:tcPr>
            <w:tcW w:w="0" w:type="auto"/>
            <w:vAlign w:val="center"/>
          </w:tcPr>
          <w:p w14:paraId="3287CCE9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317.5</w:t>
            </w:r>
          </w:p>
        </w:tc>
        <w:tc>
          <w:tcPr>
            <w:tcW w:w="2695" w:type="dxa"/>
            <w:vAlign w:val="center"/>
          </w:tcPr>
          <w:p w14:paraId="14C9EE8A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99.2%</w:t>
            </w:r>
          </w:p>
        </w:tc>
      </w:tr>
      <w:tr w:rsidR="005875BE" w14:paraId="2E7A30EF" w14:textId="77777777">
        <w:trPr>
          <w:jc w:val="center"/>
        </w:trPr>
        <w:tc>
          <w:tcPr>
            <w:tcW w:w="0" w:type="auto"/>
            <w:vAlign w:val="center"/>
          </w:tcPr>
          <w:p w14:paraId="24DC8326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溧水区</w:t>
            </w:r>
          </w:p>
        </w:tc>
        <w:tc>
          <w:tcPr>
            <w:tcW w:w="0" w:type="auto"/>
            <w:vAlign w:val="center"/>
          </w:tcPr>
          <w:p w14:paraId="6745D595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110</w:t>
            </w:r>
          </w:p>
        </w:tc>
        <w:tc>
          <w:tcPr>
            <w:tcW w:w="0" w:type="auto"/>
            <w:vAlign w:val="center"/>
          </w:tcPr>
          <w:p w14:paraId="1B4BCE97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110</w:t>
            </w:r>
          </w:p>
        </w:tc>
        <w:tc>
          <w:tcPr>
            <w:tcW w:w="2695" w:type="dxa"/>
            <w:vAlign w:val="center"/>
          </w:tcPr>
          <w:p w14:paraId="7ECE886A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100%</w:t>
            </w:r>
          </w:p>
        </w:tc>
      </w:tr>
      <w:tr w:rsidR="005875BE" w14:paraId="6B001275" w14:textId="77777777">
        <w:trPr>
          <w:jc w:val="center"/>
        </w:trPr>
        <w:tc>
          <w:tcPr>
            <w:tcW w:w="0" w:type="auto"/>
            <w:vAlign w:val="center"/>
          </w:tcPr>
          <w:p w14:paraId="5076136B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高淳区</w:t>
            </w:r>
          </w:p>
        </w:tc>
        <w:tc>
          <w:tcPr>
            <w:tcW w:w="0" w:type="auto"/>
            <w:vAlign w:val="center"/>
          </w:tcPr>
          <w:p w14:paraId="5F894D02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48</w:t>
            </w:r>
          </w:p>
        </w:tc>
        <w:tc>
          <w:tcPr>
            <w:tcW w:w="0" w:type="auto"/>
            <w:vAlign w:val="center"/>
          </w:tcPr>
          <w:p w14:paraId="1E5CE381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48</w:t>
            </w:r>
          </w:p>
        </w:tc>
        <w:tc>
          <w:tcPr>
            <w:tcW w:w="2695" w:type="dxa"/>
            <w:vAlign w:val="center"/>
          </w:tcPr>
          <w:p w14:paraId="2C9FF44B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lang w:eastAsia="zh-Hans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100%</w:t>
            </w:r>
          </w:p>
        </w:tc>
      </w:tr>
      <w:tr w:rsidR="005875BE" w14:paraId="6EB74AE0" w14:textId="77777777">
        <w:trPr>
          <w:jc w:val="center"/>
        </w:trPr>
        <w:tc>
          <w:tcPr>
            <w:tcW w:w="1774" w:type="dxa"/>
            <w:vAlign w:val="center"/>
          </w:tcPr>
          <w:p w14:paraId="4D87D961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 w:val="32"/>
                <w:szCs w:val="32"/>
              </w:rPr>
              <w:t>合计</w:t>
            </w:r>
          </w:p>
        </w:tc>
        <w:tc>
          <w:tcPr>
            <w:tcW w:w="2237" w:type="dxa"/>
            <w:vAlign w:val="center"/>
          </w:tcPr>
          <w:p w14:paraId="42C16B5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 w:val="32"/>
                <w:szCs w:val="32"/>
              </w:rPr>
              <w:t>624</w:t>
            </w:r>
          </w:p>
        </w:tc>
        <w:tc>
          <w:tcPr>
            <w:tcW w:w="2237" w:type="dxa"/>
            <w:vAlign w:val="center"/>
          </w:tcPr>
          <w:p w14:paraId="1FA2D95B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b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 w:val="32"/>
                <w:szCs w:val="32"/>
              </w:rPr>
              <w:t>621.5</w:t>
            </w:r>
          </w:p>
        </w:tc>
        <w:tc>
          <w:tcPr>
            <w:tcW w:w="2695" w:type="dxa"/>
            <w:vAlign w:val="center"/>
          </w:tcPr>
          <w:p w14:paraId="348213BB" w14:textId="77777777" w:rsidR="005875BE" w:rsidRDefault="001B5627">
            <w:pPr>
              <w:pStyle w:val="10"/>
              <w:snapToGrid w:val="0"/>
              <w:ind w:firstLineChars="0" w:firstLine="0"/>
              <w:jc w:val="center"/>
              <w:rPr>
                <w:rFonts w:ascii="仿宋" w:eastAsia="仿宋" w:hAnsi="仿宋" w:cs="仿宋"/>
                <w:b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 w:val="32"/>
                <w:szCs w:val="32"/>
              </w:rPr>
              <w:t>99.6%</w:t>
            </w:r>
          </w:p>
        </w:tc>
      </w:tr>
    </w:tbl>
    <w:p w14:paraId="00145B4F" w14:textId="77777777" w:rsidR="005875BE" w:rsidRDefault="005875BE">
      <w:pPr>
        <w:widowControl/>
        <w:spacing w:line="560" w:lineRule="exact"/>
        <w:jc w:val="left"/>
        <w:rPr>
          <w:rFonts w:ascii="仿宋" w:eastAsia="仿宋" w:hAnsi="仿宋" w:cs="仿宋"/>
          <w:color w:val="000000"/>
          <w:kern w:val="0"/>
          <w:sz w:val="32"/>
          <w:szCs w:val="32"/>
        </w:rPr>
      </w:pPr>
    </w:p>
    <w:p w14:paraId="0144DBF0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（三）绩效目标</w:t>
      </w:r>
    </w:p>
    <w:p w14:paraId="6AC8FEF3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3" w:name="_Toc13959"/>
      <w:r>
        <w:rPr>
          <w:rFonts w:ascii="仿宋" w:eastAsia="仿宋" w:hAnsi="仿宋" w:cs="仿宋" w:hint="eastAsia"/>
          <w:sz w:val="32"/>
          <w:szCs w:val="32"/>
        </w:rPr>
        <w:t>1.绩效总目标</w:t>
      </w:r>
    </w:p>
    <w:bookmarkEnd w:id="3"/>
    <w:p w14:paraId="4895F6F6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重点支持小麦赤霉病防控药剂补助，有效控制粮食作物病虫危害损失，做好突发性爆发性病虫害防控，确保不出现大面积成灾危害现象，保障南京市农业生产安全与农产品质量安全。</w:t>
      </w:r>
    </w:p>
    <w:p w14:paraId="216D0E70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2.年度绩效目标</w:t>
      </w:r>
    </w:p>
    <w:p w14:paraId="63B00038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小麦赤霉病危害损失率≤5%；社会公众或服务对象满意度≥85%。</w:t>
      </w:r>
    </w:p>
    <w:p w14:paraId="5EBF6822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二、评价结论</w:t>
      </w:r>
      <w:bookmarkStart w:id="4" w:name="_Toc5476"/>
      <w:bookmarkStart w:id="5" w:name="_Toc18804"/>
      <w:bookmarkStart w:id="6" w:name="_Toc26418"/>
      <w:bookmarkStart w:id="7" w:name="_Toc20287"/>
      <w:bookmarkStart w:id="8" w:name="_Toc21804"/>
      <w:bookmarkStart w:id="9" w:name="_Toc2006"/>
      <w:bookmarkStart w:id="10" w:name="_Toc249"/>
      <w:bookmarkStart w:id="11" w:name="_Toc25522"/>
      <w:bookmarkStart w:id="12" w:name="_Toc25689"/>
      <w:bookmarkStart w:id="13" w:name="_Toc414"/>
      <w:bookmarkStart w:id="14" w:name="_Toc2826"/>
      <w:bookmarkStart w:id="15" w:name="_Toc28815"/>
      <w:bookmarkStart w:id="16" w:name="_Toc8141"/>
      <w:bookmarkStart w:id="17" w:name="_Toc26247"/>
      <w:bookmarkStart w:id="18" w:name="_Toc28772"/>
      <w:bookmarkStart w:id="19" w:name="_Toc8261"/>
      <w:bookmarkStart w:id="20" w:name="_Toc11183"/>
      <w:bookmarkStart w:id="21" w:name="_Toc31283"/>
      <w:bookmarkStart w:id="22" w:name="_Toc18790"/>
      <w:bookmarkStart w:id="23" w:name="_Toc11016"/>
      <w:bookmarkStart w:id="24" w:name="_Toc23630"/>
      <w:bookmarkStart w:id="25" w:name="_Toc7343"/>
      <w:bookmarkStart w:id="26" w:name="_Toc2085"/>
      <w:bookmarkStart w:id="27" w:name="_Toc15180"/>
      <w:bookmarkStart w:id="28" w:name="_Toc26479"/>
      <w:bookmarkStart w:id="29" w:name="_Toc32102"/>
    </w:p>
    <w:p w14:paraId="75AE615E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（一）评价对象及范围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297FF7D6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30" w:name="_Toc10536"/>
      <w:bookmarkStart w:id="31" w:name="_Toc26912"/>
      <w:bookmarkStart w:id="32" w:name="_Toc3079"/>
      <w:bookmarkStart w:id="33" w:name="_Toc17624"/>
      <w:bookmarkStart w:id="34" w:name="_Toc12065"/>
      <w:bookmarkStart w:id="35" w:name="_Toc5826"/>
      <w:bookmarkStart w:id="36" w:name="_Toc3398"/>
      <w:bookmarkStart w:id="37" w:name="_Toc19729"/>
      <w:bookmarkStart w:id="38" w:name="_Toc17209"/>
      <w:bookmarkStart w:id="39" w:name="_Toc18399"/>
      <w:bookmarkStart w:id="40" w:name="_Toc29885"/>
      <w:bookmarkStart w:id="41" w:name="_Toc17982"/>
      <w:bookmarkStart w:id="42" w:name="_Toc12935"/>
      <w:bookmarkStart w:id="43" w:name="_Toc15681"/>
      <w:bookmarkStart w:id="44" w:name="_Toc8940"/>
      <w:bookmarkStart w:id="45" w:name="_Toc31061"/>
      <w:bookmarkStart w:id="46" w:name="_Toc21048"/>
      <w:bookmarkStart w:id="47" w:name="_Toc10812"/>
      <w:bookmarkStart w:id="48" w:name="_Toc22002"/>
      <w:bookmarkStart w:id="49" w:name="_Toc26077"/>
      <w:bookmarkStart w:id="50" w:name="_Toc3355"/>
      <w:bookmarkStart w:id="51" w:name="_Toc20878"/>
      <w:r>
        <w:rPr>
          <w:rFonts w:ascii="仿宋" w:eastAsia="仿宋" w:hAnsi="仿宋" w:cs="仿宋" w:hint="eastAsia"/>
          <w:sz w:val="32"/>
          <w:szCs w:val="32"/>
        </w:rPr>
        <w:t>本次评价对象主要为2025年南京市农作物重大病虫害防控专项资金624万元，评价范围主要涉及全市5个行政区（江宁区、浦口区、六合区、溧水区、高淳区），实施主体分别为江宁区植保植检站、浦口区现代农业发展服务中心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六合区植保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植检站、溧水区植保植检站、高淳区植保植检站。项目主要实施内容为实施小麦赤霉病防控。</w:t>
      </w:r>
    </w:p>
    <w:p w14:paraId="7A86DB25" w14:textId="77777777" w:rsidR="005875BE" w:rsidRDefault="001B5627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</w:pPr>
      <w:bookmarkStart w:id="52" w:name="_Toc25635"/>
      <w:bookmarkStart w:id="53" w:name="_Toc16039"/>
      <w:bookmarkStart w:id="54" w:name="_Toc31343"/>
      <w:bookmarkStart w:id="55" w:name="_Toc23566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（二）评价</w:t>
      </w:r>
      <w:bookmarkEnd w:id="30"/>
      <w:bookmarkEnd w:id="31"/>
      <w:bookmarkEnd w:id="32"/>
      <w:bookmarkEnd w:id="33"/>
      <w:bookmarkEnd w:id="34"/>
      <w:bookmarkEnd w:id="35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结论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580CA23E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bookmarkStart w:id="56" w:name="_Toc3332"/>
      <w:r>
        <w:rPr>
          <w:rFonts w:ascii="仿宋" w:eastAsia="仿宋" w:hAnsi="仿宋" w:cs="仿宋" w:hint="eastAsia"/>
          <w:sz w:val="32"/>
          <w:szCs w:val="32"/>
          <w:lang w:val="zh-CN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年南京市农作物重大病虫害防控专项资金在项目</w:t>
      </w:r>
      <w:r>
        <w:rPr>
          <w:rFonts w:ascii="仿宋" w:eastAsia="仿宋" w:hAnsi="仿宋" w:cs="仿宋" w:hint="eastAsia"/>
          <w:sz w:val="32"/>
          <w:szCs w:val="32"/>
        </w:rPr>
        <w:t>运行过程中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资金分配科学、下达及时、拨付合</w:t>
      </w:r>
      <w:proofErr w:type="gramStart"/>
      <w:r>
        <w:rPr>
          <w:rFonts w:ascii="仿宋" w:eastAsia="仿宋" w:hAnsi="仿宋" w:cs="仿宋" w:hint="eastAsia"/>
          <w:sz w:val="32"/>
          <w:szCs w:val="32"/>
          <w:lang w:val="zh-CN"/>
        </w:rPr>
        <w:t>规</w:t>
      </w:r>
      <w:proofErr w:type="gramEnd"/>
      <w:r>
        <w:rPr>
          <w:rFonts w:ascii="仿宋" w:eastAsia="仿宋" w:hAnsi="仿宋" w:cs="仿宋" w:hint="eastAsia"/>
          <w:sz w:val="32"/>
          <w:szCs w:val="32"/>
          <w:lang w:val="zh-CN"/>
        </w:rPr>
        <w:t>、使用规范、执行准确、预算绩效管理及时有效、支出责任履行到位，项目针对性采购小麦赤霉病</w:t>
      </w:r>
      <w:r>
        <w:rPr>
          <w:rFonts w:ascii="仿宋" w:eastAsia="仿宋" w:hAnsi="仿宋" w:cs="仿宋" w:hint="eastAsia"/>
          <w:sz w:val="32"/>
          <w:szCs w:val="32"/>
        </w:rPr>
        <w:t>高效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防控药剂并足额及时发放，同步组织开展</w:t>
      </w:r>
      <w:r>
        <w:rPr>
          <w:rFonts w:ascii="仿宋" w:eastAsia="仿宋" w:hAnsi="仿宋" w:cs="仿宋" w:hint="eastAsia"/>
          <w:sz w:val="32"/>
          <w:szCs w:val="32"/>
        </w:rPr>
        <w:t>针对性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田间防控技术指导，切实遏制全市小麦赤霉病暴发流行态势，圆满完成既定绩效目标。</w:t>
      </w:r>
      <w:bookmarkStart w:id="57" w:name="_Toc2418_WPSOffice_Level2"/>
      <w:bookmarkStart w:id="58" w:name="_Toc8506"/>
      <w:bookmarkStart w:id="59" w:name="_Toc4760"/>
      <w:bookmarkStart w:id="60" w:name="_Toc16237"/>
      <w:bookmarkStart w:id="61" w:name="_Toc13446"/>
      <w:bookmarkStart w:id="62" w:name="_Toc22521"/>
      <w:bookmarkStart w:id="63" w:name="_Toc2720"/>
      <w:bookmarkStart w:id="64" w:name="_Toc14829"/>
      <w:bookmarkStart w:id="65" w:name="_Toc6837"/>
      <w:bookmarkStart w:id="66" w:name="_Toc13405"/>
      <w:bookmarkStart w:id="67" w:name="_Toc3494"/>
      <w:bookmarkStart w:id="68" w:name="_Toc15845"/>
      <w:bookmarkStart w:id="69" w:name="_Toc1617"/>
      <w:bookmarkStart w:id="70" w:name="_Toc18673"/>
      <w:bookmarkStart w:id="71" w:name="_Toc15172"/>
      <w:bookmarkStart w:id="72" w:name="_Toc6046"/>
      <w:bookmarkEnd w:id="56"/>
    </w:p>
    <w:p w14:paraId="4B85050E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bookmarkStart w:id="73" w:name="_Toc25222"/>
      <w:bookmarkStart w:id="74" w:name="_Toc29610"/>
      <w:bookmarkStart w:id="75" w:name="_Toc14280"/>
      <w:bookmarkStart w:id="76" w:name="_Toc1519"/>
      <w:bookmarkStart w:id="77" w:name="_Toc13222"/>
      <w:bookmarkStart w:id="78" w:name="_Toc6767"/>
      <w:bookmarkStart w:id="79" w:name="_Toc19749"/>
      <w:bookmarkStart w:id="80" w:name="_Toc29968"/>
      <w:bookmarkStart w:id="81" w:name="_Toc15737"/>
      <w:bookmarkStart w:id="82" w:name="_Toc9680"/>
      <w:bookmarkStart w:id="83" w:name="_Toc28408"/>
      <w:bookmarkStart w:id="84" w:name="_Toc9823"/>
      <w:bookmarkStart w:id="85" w:name="_Toc13035"/>
      <w:bookmarkStart w:id="86" w:name="_Toc3806"/>
      <w:bookmarkStart w:id="87" w:name="_Toc25899"/>
      <w:bookmarkStart w:id="88" w:name="_Toc19004"/>
      <w:bookmarkStart w:id="89" w:name="_Toc21635"/>
      <w:bookmarkStart w:id="90" w:name="_Toc15685"/>
      <w:bookmarkStart w:id="91" w:name="_Toc15547"/>
      <w:bookmarkStart w:id="92" w:name="_Toc11450"/>
      <w:r>
        <w:rPr>
          <w:rFonts w:ascii="仿宋" w:eastAsia="仿宋" w:hAnsi="仿宋" w:cs="仿宋" w:hint="eastAsia"/>
          <w:sz w:val="32"/>
          <w:szCs w:val="32"/>
          <w:lang w:val="zh-CN"/>
        </w:rPr>
        <w:t>（三）评分结果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3299AC9F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bookmarkStart w:id="93" w:name="_Toc9510"/>
      <w:bookmarkStart w:id="94" w:name="_Toc16123"/>
      <w:bookmarkStart w:id="95" w:name="_Toc9023"/>
      <w:bookmarkStart w:id="96" w:name="_Toc25603"/>
      <w:bookmarkStart w:id="97" w:name="_Toc11022"/>
      <w:bookmarkStart w:id="98" w:name="_Toc4786"/>
      <w:bookmarkStart w:id="99" w:name="_Toc9284"/>
      <w:bookmarkStart w:id="100" w:name="_Toc15118"/>
      <w:bookmarkStart w:id="101" w:name="_Toc24069"/>
      <w:bookmarkStart w:id="102" w:name="_Toc31009"/>
      <w:bookmarkStart w:id="103" w:name="_Toc29095"/>
      <w:bookmarkStart w:id="104" w:name="_Toc5095"/>
      <w:r>
        <w:rPr>
          <w:rFonts w:ascii="仿宋" w:eastAsia="仿宋" w:hAnsi="仿宋" w:cs="仿宋" w:hint="eastAsia"/>
          <w:sz w:val="32"/>
          <w:szCs w:val="32"/>
          <w:lang w:val="zh-CN"/>
        </w:rPr>
        <w:lastRenderedPageBreak/>
        <w:t>严格对照绩效评价指标体系，</w:t>
      </w:r>
      <w:proofErr w:type="gramStart"/>
      <w:r>
        <w:rPr>
          <w:rFonts w:ascii="仿宋" w:eastAsia="仿宋" w:hAnsi="仿宋" w:cs="仿宋" w:hint="eastAsia"/>
          <w:sz w:val="32"/>
          <w:szCs w:val="32"/>
          <w:lang w:val="zh-CN"/>
        </w:rPr>
        <w:t>采取台账资料</w:t>
      </w:r>
      <w:proofErr w:type="gramEnd"/>
      <w:r>
        <w:rPr>
          <w:rFonts w:ascii="仿宋" w:eastAsia="仿宋" w:hAnsi="仿宋" w:cs="仿宋" w:hint="eastAsia"/>
          <w:sz w:val="32"/>
          <w:szCs w:val="32"/>
          <w:lang w:val="zh-CN"/>
        </w:rPr>
        <w:t>查阅归集、项目实施单位自评、</w:t>
      </w:r>
      <w:r>
        <w:rPr>
          <w:rFonts w:ascii="仿宋" w:eastAsia="仿宋" w:hAnsi="仿宋" w:cs="仿宋" w:hint="eastAsia"/>
          <w:sz w:val="32"/>
          <w:szCs w:val="32"/>
        </w:rPr>
        <w:t>开展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问卷调查等多种方式对202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年南京市农作物重大病虫害防控专项资金项目</w:t>
      </w:r>
      <w:r>
        <w:rPr>
          <w:rFonts w:ascii="仿宋" w:eastAsia="仿宋" w:hAnsi="仿宋" w:cs="仿宋" w:hint="eastAsia"/>
          <w:sz w:val="32"/>
          <w:szCs w:val="32"/>
        </w:rPr>
        <w:t>进行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综合</w:t>
      </w:r>
      <w:r>
        <w:rPr>
          <w:rFonts w:ascii="仿宋" w:eastAsia="仿宋" w:hAnsi="仿宋" w:cs="仿宋" w:hint="eastAsia"/>
          <w:sz w:val="32"/>
          <w:szCs w:val="32"/>
        </w:rPr>
        <w:t>评价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，经测算，本项目综合绩效得分 96.5 分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>
        <w:rPr>
          <w:rFonts w:ascii="仿宋" w:eastAsia="仿宋" w:hAnsi="仿宋" w:cs="仿宋" w:hint="eastAsia"/>
          <w:sz w:val="32"/>
          <w:szCs w:val="32"/>
          <w:lang w:val="zh-CN"/>
        </w:rPr>
        <w:t>，绩效评级“优秀”。</w:t>
      </w:r>
    </w:p>
    <w:p w14:paraId="1047C66F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三、项目成效</w:t>
      </w:r>
    </w:p>
    <w:p w14:paraId="7D34E087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bookmarkStart w:id="105" w:name="_Toc28299"/>
      <w:bookmarkStart w:id="106" w:name="_Toc24128"/>
      <w:bookmarkStart w:id="107" w:name="_Toc12725"/>
      <w:bookmarkStart w:id="108" w:name="_Toc2253"/>
      <w:bookmarkStart w:id="109" w:name="_Toc25398"/>
      <w:bookmarkStart w:id="110" w:name="_Toc1567"/>
      <w:bookmarkStart w:id="111" w:name="_Toc2000"/>
      <w:bookmarkStart w:id="112" w:name="_Toc23628"/>
      <w:bookmarkStart w:id="113" w:name="_Toc2306"/>
      <w:bookmarkStart w:id="114" w:name="_Toc4493"/>
      <w:bookmarkStart w:id="115" w:name="_Toc7700"/>
      <w:bookmarkStart w:id="116" w:name="_Toc14376"/>
      <w:bookmarkStart w:id="117" w:name="_Toc7012"/>
      <w:bookmarkStart w:id="118" w:name="_Toc23547"/>
      <w:bookmarkStart w:id="119" w:name="_Toc22101"/>
      <w:r>
        <w:rPr>
          <w:rFonts w:ascii="仿宋" w:eastAsia="仿宋" w:hAnsi="仿宋" w:cs="仿宋" w:hint="eastAsia"/>
          <w:sz w:val="32"/>
          <w:szCs w:val="32"/>
          <w:lang w:val="zh-CN"/>
        </w:rPr>
        <w:t>（一）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>
        <w:rPr>
          <w:rFonts w:ascii="仿宋" w:eastAsia="仿宋" w:hAnsi="仿宋" w:cs="仿宋" w:hint="eastAsia"/>
          <w:sz w:val="32"/>
          <w:szCs w:val="32"/>
          <w:lang w:val="zh-CN"/>
        </w:rPr>
        <w:t>高</w:t>
      </w:r>
      <w:r>
        <w:rPr>
          <w:rFonts w:ascii="仿宋" w:eastAsia="仿宋" w:hAnsi="仿宋" w:cs="仿宋" w:hint="eastAsia"/>
          <w:sz w:val="32"/>
          <w:szCs w:val="32"/>
        </w:rPr>
        <w:t>质量开展小麦赤霉病防控</w:t>
      </w:r>
      <w:bookmarkEnd w:id="116"/>
      <w:bookmarkEnd w:id="117"/>
      <w:bookmarkEnd w:id="118"/>
      <w:bookmarkEnd w:id="119"/>
    </w:p>
    <w:p w14:paraId="6557CC3A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120" w:name="_Toc28125"/>
      <w:bookmarkStart w:id="121" w:name="_Toc21248"/>
      <w:bookmarkStart w:id="122" w:name="_Toc22939"/>
      <w:bookmarkStart w:id="123" w:name="_Toc2443"/>
      <w:bookmarkStart w:id="124" w:name="_Toc21838"/>
      <w:bookmarkStart w:id="125" w:name="_Toc6330"/>
      <w:bookmarkStart w:id="126" w:name="_Toc24863"/>
      <w:bookmarkStart w:id="127" w:name="_Toc6132"/>
      <w:bookmarkStart w:id="128" w:name="_Toc28723"/>
      <w:bookmarkStart w:id="129" w:name="_Toc22287"/>
      <w:bookmarkStart w:id="130" w:name="_Toc4311"/>
      <w:bookmarkStart w:id="131" w:name="_Toc21310"/>
      <w:bookmarkStart w:id="132" w:name="_Toc13131"/>
      <w:bookmarkStart w:id="133" w:name="_Toc1815"/>
      <w:bookmarkStart w:id="134" w:name="_Toc30793"/>
      <w:r>
        <w:rPr>
          <w:rFonts w:ascii="仿宋" w:eastAsia="仿宋" w:hAnsi="仿宋" w:cs="仿宋" w:hint="eastAsia"/>
          <w:sz w:val="32"/>
          <w:szCs w:val="32"/>
        </w:rPr>
        <w:t>2025 年度南京市农作物病虫害防控工作成效突出。各区统筹整合中央、省、市各级财政专项资金，优化物资采购程序，保障药剂及时到位，高效推进小麦赤霉病防控药剂采购配发工作。据统计局数据，全市小麦种植面积连续5年稳步提升，2025年小麦种植面积达72.8万亩，各区坚决落实赤霉病防控举措，保障药剂适时规范施用。全年全市累计采购发放小麦赤霉病防控药剂122.8 万亩次，实现小麦田块一次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用药全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覆盖，重点区域强化防治，做到应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防尽防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58D04F81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二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高效防病减损，护航夏粮稳产</w:t>
      </w:r>
    </w:p>
    <w:p w14:paraId="419F5665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受极端干旱天气影响，2025年夏粮生产整体形势弱于上年。我市依托小麦赤霉病防治药剂补助、专业化统防统治等举措，有效遏制病虫害造成产量损失。经调查测算，2025年全市小麦赤霉病危害损失率仅0.003%，各区病虫危害损失率均控制在</w:t>
      </w:r>
      <w:r>
        <w:rPr>
          <w:rFonts w:ascii="仿宋" w:eastAsia="仿宋" w:hAnsi="仿宋" w:cs="仿宋"/>
          <w:sz w:val="32"/>
          <w:szCs w:val="32"/>
        </w:rPr>
        <w:lastRenderedPageBreak/>
        <w:t>0.01%以内，显著优于</w:t>
      </w:r>
      <w:r>
        <w:rPr>
          <w:rFonts w:ascii="仿宋" w:eastAsia="仿宋" w:hAnsi="仿宋" w:cs="仿宋" w:hint="eastAsia"/>
          <w:sz w:val="32"/>
          <w:szCs w:val="32"/>
        </w:rPr>
        <w:t>≤</w:t>
      </w:r>
      <w:r>
        <w:rPr>
          <w:rFonts w:ascii="仿宋" w:eastAsia="仿宋" w:hAnsi="仿宋" w:cs="仿宋"/>
          <w:sz w:val="32"/>
          <w:szCs w:val="32"/>
        </w:rPr>
        <w:t>5%的既定绩效指标，高标准完成既定绩效任务，最大限度减轻</w:t>
      </w:r>
      <w:r>
        <w:rPr>
          <w:rFonts w:ascii="仿宋" w:eastAsia="仿宋" w:hAnsi="仿宋" w:cs="仿宋" w:hint="eastAsia"/>
          <w:sz w:val="32"/>
          <w:szCs w:val="32"/>
        </w:rPr>
        <w:t>赤霉病害的</w:t>
      </w:r>
      <w:r>
        <w:rPr>
          <w:rFonts w:ascii="仿宋" w:eastAsia="仿宋" w:hAnsi="仿宋" w:cs="仿宋"/>
          <w:sz w:val="32"/>
          <w:szCs w:val="32"/>
        </w:rPr>
        <w:t>冲击，为全市夏粮亩产总体平稳夯实基础。</w:t>
      </w:r>
    </w:p>
    <w:p w14:paraId="67780644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）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r>
        <w:rPr>
          <w:rFonts w:ascii="仿宋" w:eastAsia="仿宋" w:hAnsi="仿宋" w:cs="仿宋" w:hint="eastAsia"/>
          <w:sz w:val="32"/>
          <w:szCs w:val="32"/>
        </w:rPr>
        <w:t>坚持科学防控，提升防控实效</w:t>
      </w:r>
    </w:p>
    <w:p w14:paraId="344730AC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在市级指导下，各区立足病虫发生态势科学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判、精准施策，依规开展防控药剂公开招标采购，择优选用适配性强、防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效突出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的药剂，扎实推进小麦赤霉病专项防控工作，切实做到财政资金规范使用、提质增效。经统计，全市小麦赤霉病多种形式统防统治覆盖率突破90%。与此同时，专业技术人员下沉田间一线，推动防控技术入户、防控措施落地到田；同步通过多元渠道开展政策与防控技术宣传，多方凝聚群防群治工作合力，项目服务对象综合满意度达到97%。</w:t>
      </w:r>
    </w:p>
    <w:p w14:paraId="23D0027C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四、存在问题及原因分析</w:t>
      </w:r>
    </w:p>
    <w:p w14:paraId="0DCC3396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135" w:name="_Toc29917"/>
      <w:bookmarkStart w:id="136" w:name="_Toc21899"/>
      <w:bookmarkStart w:id="137" w:name="_Toc18562"/>
      <w:bookmarkStart w:id="138" w:name="_Toc6373"/>
      <w:bookmarkStart w:id="139" w:name="_Toc2706"/>
      <w:bookmarkStart w:id="140" w:name="_Toc2671"/>
      <w:bookmarkStart w:id="141" w:name="_Toc16682"/>
      <w:bookmarkStart w:id="142" w:name="_Toc15317"/>
      <w:bookmarkStart w:id="143" w:name="_Toc18364"/>
      <w:bookmarkStart w:id="144" w:name="_Toc12813"/>
      <w:bookmarkStart w:id="145" w:name="_Toc7579"/>
      <w:bookmarkStart w:id="146" w:name="_Toc9724"/>
      <w:bookmarkStart w:id="147" w:name="_Toc23412"/>
      <w:bookmarkStart w:id="148" w:name="_Toc9383"/>
      <w:bookmarkStart w:id="149" w:name="_Toc5253"/>
      <w:r>
        <w:rPr>
          <w:rFonts w:ascii="仿宋" w:eastAsia="仿宋" w:hAnsi="仿宋" w:cs="仿宋" w:hint="eastAsia"/>
          <w:sz w:val="32"/>
          <w:szCs w:val="32"/>
          <w:lang w:val="zh-CN"/>
        </w:rPr>
        <w:t>（一）</w:t>
      </w:r>
      <w:bookmarkStart w:id="150" w:name="_Toc23013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r>
        <w:rPr>
          <w:rFonts w:ascii="仿宋" w:eastAsia="仿宋" w:hAnsi="仿宋" w:cs="仿宋" w:hint="eastAsia"/>
          <w:sz w:val="32"/>
          <w:szCs w:val="32"/>
        </w:rPr>
        <w:t>项目管理需进一步加强</w:t>
      </w:r>
    </w:p>
    <w:p w14:paraId="08F11D0C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151" w:name="_Toc8662"/>
      <w:bookmarkStart w:id="152" w:name="_Toc21295"/>
      <w:bookmarkStart w:id="153" w:name="_Toc32017"/>
      <w:bookmarkStart w:id="154" w:name="_Toc6058"/>
      <w:bookmarkEnd w:id="150"/>
      <w:r>
        <w:rPr>
          <w:rFonts w:ascii="仿宋" w:eastAsia="仿宋" w:hAnsi="仿宋" w:cs="仿宋" w:hint="eastAsia"/>
          <w:sz w:val="32"/>
          <w:szCs w:val="32"/>
        </w:rPr>
        <w:t>项目管理方面，全市各区均已完成相关项目实施工作，但受区级项目验收整体统筹进度安排及项目管理要求影响，个别区主管部门暂未组织开展项目验收工作。资金使用情况方面，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六合区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项目资金结余2.5万元，结余成因系该项目政府采购采用竞争性谈判模式，以最低价中标形成资金结余，且后期未实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施补充采购。</w:t>
      </w:r>
    </w:p>
    <w:p w14:paraId="19DE8D84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二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）专业化统防统治</w:t>
      </w:r>
      <w:bookmarkEnd w:id="151"/>
      <w:bookmarkEnd w:id="152"/>
      <w:bookmarkEnd w:id="153"/>
      <w:bookmarkEnd w:id="154"/>
      <w:r>
        <w:rPr>
          <w:rFonts w:ascii="仿宋" w:eastAsia="仿宋" w:hAnsi="仿宋" w:cs="仿宋" w:hint="eastAsia"/>
          <w:sz w:val="32"/>
          <w:szCs w:val="32"/>
        </w:rPr>
        <w:t>需进一步加强</w:t>
      </w:r>
    </w:p>
    <w:p w14:paraId="3F32E693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当前，我市小麦赤霉病防控主要采取"药剂补助+植保部门统一施策"的统防统治模式，取得了较好成效。但近年来面临三方面压力：一是专业化服务组织因业务利润空间持续压缩，部分已转向其他经营领域；二是过去用于扶持统防统治的财政补助项目逐步缩减；三是现存服务组织在病虫集中防控的关键窗口期，面临机械装备、人员调配等配套保障不足的问题，导致可覆盖的统防统治面积受限，难以满足大面积应急防控需求。</w:t>
      </w:r>
    </w:p>
    <w:p w14:paraId="0F81B08A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五、有关建议</w:t>
      </w:r>
    </w:p>
    <w:p w14:paraId="70A43B0A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bookmarkStart w:id="155" w:name="_Toc21677"/>
      <w:bookmarkStart w:id="156" w:name="_Toc25746"/>
      <w:bookmarkStart w:id="157" w:name="_Toc30232"/>
      <w:bookmarkStart w:id="158" w:name="_Toc10623"/>
      <w:bookmarkStart w:id="159" w:name="_Toc801"/>
      <w:bookmarkStart w:id="160" w:name="_Toc11674"/>
      <w:bookmarkStart w:id="161" w:name="_Toc25621"/>
      <w:bookmarkStart w:id="162" w:name="_Toc17769"/>
      <w:bookmarkStart w:id="163" w:name="_Toc26909"/>
      <w:bookmarkStart w:id="164" w:name="_Toc24060"/>
      <w:bookmarkStart w:id="165" w:name="_Toc11634"/>
      <w:bookmarkStart w:id="166" w:name="_Toc31750"/>
      <w:bookmarkStart w:id="167" w:name="_Toc26314"/>
      <w:bookmarkStart w:id="168" w:name="_Toc3368"/>
      <w:bookmarkStart w:id="169" w:name="_Toc4417"/>
      <w:r>
        <w:rPr>
          <w:rFonts w:ascii="仿宋" w:eastAsia="仿宋" w:hAnsi="仿宋" w:cs="仿宋" w:hint="eastAsia"/>
          <w:sz w:val="32"/>
          <w:szCs w:val="32"/>
          <w:lang w:val="zh-CN"/>
        </w:rPr>
        <w:t>（一）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>
        <w:rPr>
          <w:rFonts w:ascii="仿宋" w:eastAsia="仿宋" w:hAnsi="仿宋" w:cs="仿宋" w:hint="eastAsia"/>
          <w:sz w:val="32"/>
          <w:szCs w:val="32"/>
        </w:rPr>
        <w:t>进一步细化项目管理要求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​</w:t>
      </w:r>
      <w:bookmarkEnd w:id="166"/>
      <w:bookmarkEnd w:id="167"/>
      <w:bookmarkEnd w:id="168"/>
      <w:bookmarkEnd w:id="169"/>
    </w:p>
    <w:p w14:paraId="66CE9AE2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各区主管部门要切实履行项目管理主体责任，认真参照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《关于进一步规范南京市财政涉农资金项目全过程管理的通知》（宁农计</w:t>
      </w:r>
      <w:r>
        <w:rPr>
          <w:rFonts w:ascii="仿宋" w:eastAsia="仿宋" w:hAnsi="仿宋" w:cs="仿宋" w:hint="eastAsia"/>
          <w:sz w:val="32"/>
          <w:szCs w:val="32"/>
        </w:rPr>
        <w:t>[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]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6号）</w:t>
      </w:r>
      <w:r>
        <w:rPr>
          <w:rFonts w:ascii="仿宋" w:eastAsia="仿宋" w:hAnsi="仿宋" w:cs="仿宋" w:hint="eastAsia"/>
          <w:sz w:val="32"/>
          <w:szCs w:val="32"/>
        </w:rPr>
        <w:t>中最新要求，严格按照市级统一部署的时间节点和验收标准，加快推进项目验收工作。尚未开展验收的区，确保验收工作按期完成。各区要建立项目"事前预算评审、事中跟踪督导、事后及时验收"的全链条管理机制，杜绝"重实施、轻验收"现象。</w:t>
      </w:r>
    </w:p>
    <w:p w14:paraId="7D0E0D19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（二）科学编制预算，规范资金管理</w:t>
      </w:r>
    </w:p>
    <w:p w14:paraId="51C1A96E" w14:textId="30B0D348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对于结余资金应严格执行财政资金管理规定，按原渠道上缴财政或由相关部门统筹调剂用于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同类农业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项目支出。同时，应提升项目采购环节中科学编制预算，核实</w:t>
      </w:r>
      <w:r w:rsidR="007F46A5">
        <w:rPr>
          <w:rFonts w:ascii="仿宋" w:eastAsia="仿宋" w:hAnsi="仿宋" w:cs="仿宋" w:hint="eastAsia"/>
          <w:sz w:val="32"/>
          <w:szCs w:val="32"/>
        </w:rPr>
        <w:t>产品市场价格，避免因预算编制不科学等原因形成大额结余；结余资金可</w:t>
      </w:r>
      <w:r>
        <w:rPr>
          <w:rFonts w:ascii="仿宋" w:eastAsia="仿宋" w:hAnsi="仿宋" w:cs="仿宋" w:hint="eastAsia"/>
          <w:sz w:val="32"/>
          <w:szCs w:val="32"/>
        </w:rPr>
        <w:t>开展补充采购，确需结余的，应提前明确处置方案，</w:t>
      </w:r>
      <w:bookmarkStart w:id="170" w:name="_GoBack"/>
      <w:bookmarkEnd w:id="170"/>
      <w:r>
        <w:rPr>
          <w:rFonts w:ascii="仿宋" w:eastAsia="仿宋" w:hAnsi="仿宋" w:cs="仿宋" w:hint="eastAsia"/>
          <w:sz w:val="32"/>
          <w:szCs w:val="32"/>
        </w:rPr>
        <w:t>防止资金闲置。</w:t>
      </w:r>
    </w:p>
    <w:p w14:paraId="60456F50" w14:textId="0E04B8DF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171" w:name="_Toc19733"/>
      <w:bookmarkStart w:id="172" w:name="_Toc13750"/>
      <w:bookmarkStart w:id="173" w:name="_Toc21211"/>
      <w:bookmarkStart w:id="174" w:name="_Toc7458"/>
      <w:bookmarkStart w:id="175" w:name="_Toc23886"/>
      <w:bookmarkStart w:id="176" w:name="_Toc26018"/>
      <w:bookmarkStart w:id="177" w:name="_Toc14114"/>
      <w:bookmarkStart w:id="178" w:name="_Toc29838"/>
      <w:bookmarkStart w:id="179" w:name="_Toc7910"/>
      <w:bookmarkStart w:id="180" w:name="_Toc21604"/>
      <w:bookmarkStart w:id="181" w:name="_Toc22071"/>
      <w:bookmarkStart w:id="182" w:name="_Toc26283"/>
      <w:bookmarkStart w:id="183" w:name="_Toc18131"/>
      <w:bookmarkStart w:id="184" w:name="_Toc10310"/>
      <w:bookmarkStart w:id="185" w:name="_Toc13418"/>
      <w:r>
        <w:rPr>
          <w:rFonts w:ascii="仿宋" w:eastAsia="仿宋" w:hAnsi="仿宋" w:cs="仿宋" w:hint="eastAsia"/>
          <w:sz w:val="32"/>
          <w:szCs w:val="32"/>
          <w:lang w:val="zh-CN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）</w:t>
      </w:r>
      <w:bookmarkStart w:id="186" w:name="_Toc3999"/>
      <w:bookmarkStart w:id="187" w:name="_Toc9529"/>
      <w:bookmarkStart w:id="188" w:name="_Toc21534"/>
      <w:bookmarkStart w:id="189" w:name="_Toc7645"/>
      <w:bookmarkStart w:id="190" w:name="_Toc17940"/>
      <w:bookmarkStart w:id="191" w:name="_Toc9165"/>
      <w:bookmarkStart w:id="192" w:name="_Toc24999"/>
      <w:bookmarkStart w:id="193" w:name="_Toc21502"/>
      <w:bookmarkStart w:id="194" w:name="_Toc2694"/>
      <w:bookmarkStart w:id="195" w:name="_Toc4688"/>
      <w:bookmarkStart w:id="196" w:name="_Toc32608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r>
        <w:rPr>
          <w:rFonts w:ascii="仿宋" w:eastAsia="仿宋" w:hAnsi="仿宋" w:cs="仿宋" w:hint="eastAsia"/>
          <w:sz w:val="32"/>
          <w:szCs w:val="32"/>
        </w:rPr>
        <w:t>强</w:t>
      </w:r>
      <w:r w:rsidR="004C72D6">
        <w:rPr>
          <w:rFonts w:ascii="仿宋" w:eastAsia="仿宋" w:hAnsi="仿宋" w:cs="仿宋" w:hint="eastAsia"/>
          <w:sz w:val="32"/>
          <w:szCs w:val="32"/>
        </w:rPr>
        <w:t>化</w:t>
      </w:r>
      <w:r>
        <w:rPr>
          <w:rFonts w:ascii="仿宋" w:eastAsia="仿宋" w:hAnsi="仿宋" w:cs="仿宋" w:hint="eastAsia"/>
          <w:sz w:val="32"/>
          <w:szCs w:val="32"/>
        </w:rPr>
        <w:t>资金保障，提升应急防控能力</w:t>
      </w:r>
    </w:p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p w14:paraId="1FBF5F2F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是进一步优化各级财政资金支持方式，拓展补助覆盖范围，在现有药剂补助基础上，积极争取中央及省级病虫害防控专项项目资金，统筹整合粮食稳产保供、农业生产救灾等涉农资金，形成多元化、可持续的投入格局。二是在病虫集中防控关键窗口期，建立农机装备、人员力量的区域统筹调度机制，实现跨区调配、资源共享、优化配置，切实提升关键时期作业效率和应急保障能力，确保满足大面积统防统治和突发应急防控需求。</w:t>
      </w:r>
    </w:p>
    <w:p w14:paraId="7EA2B0ED" w14:textId="77777777" w:rsidR="005875BE" w:rsidRDefault="001B5627">
      <w:pPr>
        <w:spacing w:line="300" w:lineRule="auto"/>
        <w:ind w:firstLineChars="200" w:firstLine="640"/>
        <w:rPr>
          <w:rFonts w:ascii="黑体" w:eastAsia="黑体" w:hAnsi="黑体" w:cs="黑体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六、评价工作开展情况及其他需说明的情况</w:t>
      </w:r>
    </w:p>
    <w:p w14:paraId="7C88F5B5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本次绩效评价通过对接各区农业主管部门及项目实施主体，围绕项目实施运行现状、全过程内控管理、政策制度执行、绩效目标与预算编制、财政资金使用管控、日常运维监管、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档案台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账归集等关键维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度开展系统研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判。</w:t>
      </w:r>
    </w:p>
    <w:p w14:paraId="74D08451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依托本次绩效评价，查摆农作物重大病虫害防控履职推进中的薄弱环节与突出问题，坚持问题导向、目标导向、结果导向，持续优化组织统筹体系，推动项目管理与实施的规范化、专业化、科学化，进一步提升南京市农作物重大病虫害防控项目成效。</w:t>
      </w:r>
    </w:p>
    <w:p w14:paraId="18FCA6C5" w14:textId="77777777" w:rsidR="005875BE" w:rsidRDefault="005875BE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</w:p>
    <w:p w14:paraId="262AB32A" w14:textId="77777777" w:rsidR="005875BE" w:rsidRDefault="001B5627">
      <w:pPr>
        <w:spacing w:line="300" w:lineRule="auto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附件：1.指标体系得分情况</w:t>
      </w:r>
    </w:p>
    <w:p w14:paraId="726DA3E0" w14:textId="77777777" w:rsidR="005875BE" w:rsidRDefault="005875BE">
      <w:pPr>
        <w:pStyle w:val="2"/>
        <w:rPr>
          <w:color w:val="000000"/>
          <w:kern w:val="0"/>
          <w:sz w:val="32"/>
          <w:szCs w:val="32"/>
        </w:rPr>
      </w:pPr>
    </w:p>
    <w:p w14:paraId="378588C2" w14:textId="77777777" w:rsidR="005875BE" w:rsidRDefault="005875BE">
      <w:pPr>
        <w:rPr>
          <w:rFonts w:eastAsia="仿宋"/>
          <w:color w:val="000000"/>
          <w:kern w:val="0"/>
          <w:sz w:val="32"/>
          <w:szCs w:val="32"/>
        </w:rPr>
      </w:pPr>
    </w:p>
    <w:p w14:paraId="795945D8" w14:textId="77777777" w:rsidR="005875BE" w:rsidRDefault="005875BE">
      <w:pPr>
        <w:pStyle w:val="2"/>
        <w:rPr>
          <w:color w:val="000000"/>
          <w:kern w:val="0"/>
          <w:sz w:val="32"/>
          <w:szCs w:val="32"/>
        </w:rPr>
      </w:pPr>
    </w:p>
    <w:p w14:paraId="4A3A1B43" w14:textId="77777777" w:rsidR="005875BE" w:rsidRDefault="005875BE">
      <w:pPr>
        <w:rPr>
          <w:rFonts w:eastAsia="仿宋"/>
          <w:color w:val="000000"/>
          <w:kern w:val="0"/>
          <w:sz w:val="32"/>
          <w:szCs w:val="32"/>
        </w:rPr>
      </w:pPr>
    </w:p>
    <w:p w14:paraId="5639CC22" w14:textId="77777777" w:rsidR="005875BE" w:rsidRDefault="001B5627">
      <w:r>
        <w:br w:type="page"/>
      </w:r>
    </w:p>
    <w:p w14:paraId="0DA1604A" w14:textId="77777777" w:rsidR="005875BE" w:rsidRDefault="005875BE">
      <w:pPr>
        <w:sectPr w:rsidR="005875BE">
          <w:headerReference w:type="even" r:id="rId7"/>
          <w:headerReference w:type="default" r:id="rId8"/>
          <w:headerReference w:type="first" r:id="rId9"/>
          <w:type w:val="continuous"/>
          <w:pgSz w:w="11907" w:h="16839"/>
          <w:pgMar w:top="1588" w:right="1588" w:bottom="1588" w:left="1588" w:header="851" w:footer="1400" w:gutter="0"/>
          <w:pgNumType w:fmt="numberInDash"/>
          <w:cols w:space="720"/>
          <w:titlePg/>
          <w:docGrid w:type="linesAndChars" w:linePitch="579"/>
        </w:sectPr>
      </w:pPr>
    </w:p>
    <w:p w14:paraId="53955C7F" w14:textId="77777777" w:rsidR="005875BE" w:rsidRDefault="005875BE">
      <w:pPr>
        <w:pStyle w:val="aa"/>
        <w:ind w:firstLineChars="0" w:firstLine="0"/>
      </w:pPr>
    </w:p>
    <w:p w14:paraId="09C96987" w14:textId="77777777" w:rsidR="005875BE" w:rsidRDefault="001B5627">
      <w:pPr>
        <w:spacing w:line="560" w:lineRule="exact"/>
        <w:outlineLvl w:val="0"/>
        <w:rPr>
          <w:rFonts w:ascii="仿宋" w:eastAsia="仿宋" w:hAnsi="仿宋" w:cs="仿宋"/>
          <w:sz w:val="28"/>
          <w:szCs w:val="28"/>
        </w:rPr>
      </w:pPr>
      <w:bookmarkStart w:id="197" w:name="_Toc22670"/>
      <w:bookmarkStart w:id="198" w:name="_Toc17741"/>
      <w:bookmarkStart w:id="199" w:name="_Toc353306737"/>
      <w:bookmarkStart w:id="200" w:name="_Toc156826990"/>
      <w:r>
        <w:rPr>
          <w:rFonts w:ascii="仿宋" w:eastAsia="仿宋" w:hAnsi="仿宋" w:cs="仿宋" w:hint="eastAsia"/>
          <w:sz w:val="28"/>
          <w:szCs w:val="28"/>
        </w:rPr>
        <w:t>附表：2025年度</w:t>
      </w:r>
      <w:r>
        <w:rPr>
          <w:rFonts w:ascii="仿宋" w:eastAsia="仿宋" w:hAnsi="仿宋" w:cs="仿宋" w:hint="eastAsia"/>
          <w:sz w:val="28"/>
          <w:szCs w:val="28"/>
          <w:lang w:eastAsia="zh-Hans"/>
        </w:rPr>
        <w:t>南京市</w:t>
      </w:r>
      <w:r>
        <w:rPr>
          <w:rFonts w:ascii="仿宋" w:eastAsia="仿宋" w:hAnsi="仿宋" w:cs="仿宋" w:hint="eastAsia"/>
          <w:sz w:val="28"/>
          <w:szCs w:val="28"/>
        </w:rPr>
        <w:t>农作物重大病虫害防控专项资金绩效评价指标体系</w:t>
      </w:r>
      <w:bookmarkEnd w:id="197"/>
      <w:bookmarkEnd w:id="198"/>
      <w:bookmarkEnd w:id="199"/>
      <w:bookmarkEnd w:id="200"/>
    </w:p>
    <w:tbl>
      <w:tblPr>
        <w:tblW w:w="133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327"/>
        <w:gridCol w:w="763"/>
        <w:gridCol w:w="475"/>
        <w:gridCol w:w="616"/>
        <w:gridCol w:w="2869"/>
        <w:gridCol w:w="3627"/>
        <w:gridCol w:w="3627"/>
        <w:gridCol w:w="621"/>
      </w:tblGrid>
      <w:tr w:rsidR="005875BE" w14:paraId="444FEF2B" w14:textId="77777777">
        <w:trPr>
          <w:trHeight w:val="348"/>
          <w:tblHeader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83814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指标体系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676C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权重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78A87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标准值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C0F41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指标解释</w:t>
            </w:r>
          </w:p>
        </w:tc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307C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评分标准</w:t>
            </w:r>
          </w:p>
        </w:tc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F8C1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完成值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FAF1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得分</w:t>
            </w:r>
          </w:p>
        </w:tc>
      </w:tr>
      <w:tr w:rsidR="005875BE" w14:paraId="1FFD7D36" w14:textId="77777777">
        <w:trPr>
          <w:trHeight w:val="1316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B3C46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一级指标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C2F9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二级指标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BFF3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三级指标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1FB0A6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CF99ED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C0B5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46279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858FD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144657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5875BE" w14:paraId="176A4DAB" w14:textId="77777777">
        <w:trPr>
          <w:trHeight w:val="292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89BF2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决策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90BF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项目立项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E0C12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立项依据充分性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93AF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0296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充分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9E0D0D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考察项目立项依据是否充分完整，是否符合规定，编制是否科学、实事求是。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28B2C1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①项目立项符合国家、省市对农作物重大病虫害防控需求得1分；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②结合实际情况进行政策可行性研究分析或进行项目调研；编制项目可行性研究报告或项目实施方案得2分，无项目可行性研究报告或项目实施方案不得分。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F2E2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充分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FF532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71D6CB7F" w14:textId="77777777">
        <w:trPr>
          <w:trHeight w:val="131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20288E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3BD3A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08E84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立项程序规范性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03A3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4ACD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63702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项目的申请、设立过程是否符合相关要求。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1CA27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①项目按照规定的程序申请设立得1分；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②项目审批文件、材料符合相关要求得2分。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0294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规范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9BA9E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30CE4D48" w14:textId="77777777">
        <w:trPr>
          <w:trHeight w:val="22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41D31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179C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绩效目标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8D74A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绩效目标合理性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E95A4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A569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5A501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考察项目所设定的目标是否依据充分，是否符合客观实际，是否通过清晰、可衡量的指标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值予以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体现。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09C22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①项目绩效目标符合国家相关法律法规、国民经济发展规划和省市政府决策得1分；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②项目预期产出效益和效果符合正常的业绩水平得1分；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③项目绩效目标细化分解为可衡量的目标值予得1分。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D3C5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合理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55DCF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4DE6ED52" w14:textId="77777777">
        <w:trPr>
          <w:trHeight w:val="6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47F0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9EFA28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DBC16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绩效指标明确性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50A6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D017D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明确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F9EC0E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依据绩效目标设定的绩效指标是否清晰、细化、可衡量等，用以反映和考核项目绩效目标的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明细化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452C8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①项目绩效目标细化分解为具体的绩效指标得2分；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②项目绩效目标能通过清晰、可衡量的指标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值予以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体现得1分。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ED09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明确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4C81F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3D810B2E" w14:textId="77777777">
        <w:trPr>
          <w:trHeight w:val="22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EDA2B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D276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资金投入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FB4AD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预算编制科学性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E6A2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61856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72948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项目预算编制是否经过科学论证、有明确标准，资金额度与年度目标是否相适应，用以反映和考核项目预算编制的科学性、合理性情况。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C122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①预算编制经过科学论证、预算额度测算依据充分得2分；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②预算编制与项目内容相匹配、项目投资额与年度目标任务相匹配得1分。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BF93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科学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938CB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3E4E3B37" w14:textId="77777777">
        <w:trPr>
          <w:trHeight w:val="196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EED02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CAFCF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5C089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资金分配合理性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90C4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9E489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40A530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项目预算资金分配是否有测算依据，与补助单位或地方实际是否相适应，用以反映和考核项目预算编制的科学性、合理性情况。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D4AA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①项目预算资金分配依据充分得2分；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②项目预算资金分配额度合理，与项目实施单位实际需求相适应得1分。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1C5C7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合理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E0191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35435260" w14:textId="77777777">
        <w:trPr>
          <w:trHeight w:val="163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9A52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过程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2798B1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资金管理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3F96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资金到位率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0FC0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C955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D00CC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实际到位资金与预算资金的比率，用以反映和考核资金落实情况对项目实施的总体保障程度。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9BB2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专项资金到位率达到100%及以上得3分，95%≦比值&lt;100%得2.5分，90%≦比值&lt;95%得2分，&lt;90%不得分。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1FB69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100%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E3AFF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0900CDFF" w14:textId="77777777">
        <w:trPr>
          <w:trHeight w:val="131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03B32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B96A8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EBA14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预算执行率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A6E2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68C3A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52DA33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项目资金使用是否按照计划执行，用以反映或考核项目资金使用情况。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516F6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项目资金预算执行率达到100%得3分，95%≦比值&lt;100%得2.5分，90%≦比值&lt;95%得2分，&lt;90%得1.5分。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1915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99.6%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3C54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2.5</w:t>
            </w:r>
          </w:p>
        </w:tc>
      </w:tr>
      <w:tr w:rsidR="005875BE" w14:paraId="15EAA678" w14:textId="77777777">
        <w:trPr>
          <w:trHeight w:val="454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22E7F5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E40D70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6A51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资金使用合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4FD5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F31E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BFC514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项目资金使用是否符合专项资金使用管理办法规定，用以反映和考核项目资金的规范运行情况。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A69E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①专项资金使用符合相关财务管理规定制度规定得1分，每发现一处扣减权重的10%，扣完为止；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②资金拨付有完整的审批程序得1分，每发现一处扣减权重的10%，扣完为止；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③不存在截留、挤占、挪用和虚列支出等情况得1分，每发现一处扣减权重的10%，扣完为止；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④资金使用票据等附件合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得1分，每发现一处扣减权重的10%，扣完为止。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6456A1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</w:t>
            </w:r>
            <w:proofErr w:type="gramEnd"/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0DBEB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1F201533" w14:textId="77777777">
        <w:trPr>
          <w:trHeight w:val="32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3DA6C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E71A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组织实施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6D1A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管理制度健全性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8822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6DC02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健全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55CA0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考察主管单位管理制度是否健全，用以反映和考核管理制度对项目顺利实施的保障情况。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6E88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①制定或具有相应的管理制度（包括业务管理制度、财务管理制度）得1分，每缺少一类制度扣减0.5分；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②制定的管理制度合法、合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规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、完整得1分，否则酌情得分；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③项目实施方案专业、规范、完备、清晰得1分，否则不得分。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B51A0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健全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0BEC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1C9B3E0A" w14:textId="77777777">
        <w:trPr>
          <w:trHeight w:val="34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321DC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7C0DE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7FF5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制度执行有效性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2ECD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0105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有效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E921A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考察项目实施是否符合相关管理规定，用以反映和考核相关管理制度的有效执行情况。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FA768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①是否遵守相关法律法规和业务管理规定；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②项目调整及支出调整手续是否完备；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③项目合同书、验收报告、技术鉴定等资料是否齐全并及时归档；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④项目实施的人员条件、设备、信息支撑等是否落实到位。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br/>
              <w:t>一项不符合扣1分，严重的此项完全不得分。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674E7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有效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5C773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</w:tr>
      <w:tr w:rsidR="005875BE" w14:paraId="6E77FA93" w14:textId="77777777">
        <w:trPr>
          <w:trHeight w:val="163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1301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lastRenderedPageBreak/>
              <w:t>产出指标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E536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数量指标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4210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小麦赤霉病防控面积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AC2C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208B5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72.8万亩次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0850F8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考察2025年小麦赤霉病防控面积。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17287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按实际完成数量≥统计局2025年小麦种植面积得满分。小于即不得分。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677E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122.8万亩次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B913F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</w:tr>
      <w:tr w:rsidR="005875BE" w14:paraId="1A18E633" w14:textId="77777777">
        <w:trPr>
          <w:trHeight w:val="1639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7C83F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18348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时效指标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79102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实施小麦赤霉病防控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C7B6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4DF9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及时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44B12C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在赤霉病防控关键时期实施小麦赤霉病防控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403B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发现未在适期开展小麦赤霉病防控，每发现一次扣1分，扣完为止。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C681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及时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171C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</w:tr>
      <w:tr w:rsidR="005875BE" w14:paraId="256D4005" w14:textId="77777777">
        <w:trPr>
          <w:trHeight w:val="1316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E131E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6BE84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713F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项目验收及时率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65F1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3D30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在规定时间完成项目验收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DEC3C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各实施单位在规定时间完成验收的项目/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总实施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项目数×100%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47AD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项目验收率100%得10分，80%≤项目验收率＜100%得7分，60%≤项目验收率＜80%得4分，40%≤项目验收率＜60%得3分，项目验收率＜40%不得分。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B7AD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80%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D59A0E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7</w:t>
            </w:r>
          </w:p>
        </w:tc>
      </w:tr>
      <w:tr w:rsidR="005875BE" w14:paraId="42B2A55B" w14:textId="77777777">
        <w:trPr>
          <w:trHeight w:val="1639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B3399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效益指标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6A4D6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社会效益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D2F9A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小麦赤霉病危害损失率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5ABE5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099E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≤5%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FCF91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小麦赤霉病危害损失率=小麦赤霉病实际损失量/（小麦总产量+小麦赤霉病实际损失量）×100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8F966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≤5%得满分，每上升1%，扣1分，扣完为止。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E557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0.003%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410A5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</w:tr>
      <w:tr w:rsidR="005875BE" w14:paraId="73554C45" w14:textId="77777777">
        <w:trPr>
          <w:trHeight w:val="1639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E75FD1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57F9B0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7725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小麦赤霉病防控覆盖率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7B53D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F549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731AAE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小麦赤霉病防控覆盖率=实际开展小麦赤霉病防控的街道/开展小麦种植的涉农街道×100%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B418E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覆盖率100%得满分，每下降1%，扣1分，扣完为止。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B2CE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100%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31969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</w:tr>
      <w:tr w:rsidR="005875BE" w14:paraId="4F14F152" w14:textId="77777777">
        <w:trPr>
          <w:trHeight w:val="3252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DDE589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926F36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E7549B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防灾措施保障粮食安全和农业生产安全效果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C456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B7146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有效控制赤霉病发生危害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F7C4F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考察赤霉病防控工作成效。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67AE0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如因防控工作落实不力，严重影响赤霉病防控落实的，发现一起扣5分，扣完为止。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4ACD0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有效控制赤霉病发生危害，无因防控工作落实不力影响赤霉病防控工作情况。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1BAEA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</w:t>
            </w:r>
          </w:p>
        </w:tc>
      </w:tr>
      <w:tr w:rsidR="005875BE" w14:paraId="1F9C3D40" w14:textId="77777777">
        <w:trPr>
          <w:trHeight w:val="993"/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2FCF0C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满意度指标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94F64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满意度指标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39C5E7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社会公众或服务对象满意度（%）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9035A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6F919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≥85%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FA0CE0" w14:textId="77777777" w:rsidR="005875BE" w:rsidRDefault="001B5627">
            <w:pPr>
              <w:widowControl/>
              <w:snapToGrid w:val="0"/>
              <w:jc w:val="left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考察社会公众或服务对象对项目实施效果的满意程度。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342E8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满意度≥85%的得7分；80%≤满意度＜85%得5分；75%≤满意度＜80%得3分，70%≤满意度＜75%得1分，＜70%不得分。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EB671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97%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6CDDF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7</w:t>
            </w:r>
          </w:p>
        </w:tc>
      </w:tr>
      <w:tr w:rsidR="005875BE" w14:paraId="0EE3218C" w14:textId="77777777">
        <w:trPr>
          <w:trHeight w:val="681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C75AC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合计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BE364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E975C5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8E803" w14:textId="77777777" w:rsidR="005875BE" w:rsidRDefault="001B5627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69D51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3CEC4" w14:textId="77777777" w:rsidR="005875BE" w:rsidRDefault="005875BE">
            <w:pPr>
              <w:snapToGrid w:val="0"/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7C582" w14:textId="77777777" w:rsidR="005875BE" w:rsidRDefault="005875BE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839FC" w14:textId="77777777" w:rsidR="005875BE" w:rsidRDefault="005875B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A97E7" w14:textId="77777777" w:rsidR="005875BE" w:rsidRDefault="001B5627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96.5</w:t>
            </w:r>
          </w:p>
        </w:tc>
      </w:tr>
    </w:tbl>
    <w:p w14:paraId="451039CA" w14:textId="77777777" w:rsidR="005875BE" w:rsidRDefault="005875BE">
      <w:pPr>
        <w:pStyle w:val="aa"/>
        <w:ind w:firstLineChars="0" w:firstLine="0"/>
        <w:sectPr w:rsidR="005875BE">
          <w:headerReference w:type="default" r:id="rId10"/>
          <w:pgSz w:w="16820" w:h="11900"/>
          <w:pgMar w:top="1011" w:right="1468" w:bottom="1128" w:left="855" w:header="510" w:footer="989" w:gutter="0"/>
          <w:cols w:space="720"/>
        </w:sectPr>
      </w:pPr>
    </w:p>
    <w:p w14:paraId="3591BDB4" w14:textId="77777777" w:rsidR="005875BE" w:rsidRDefault="005875BE"/>
    <w:sectPr w:rsidR="005875BE">
      <w:pgSz w:w="16839" w:h="11907" w:orient="landscape"/>
      <w:pgMar w:top="1588" w:right="1588" w:bottom="1588" w:left="1588" w:header="851" w:footer="1400" w:gutter="0"/>
      <w:pgNumType w:fmt="numberInDash"/>
      <w:cols w:space="720"/>
      <w:titlePg/>
      <w:docGrid w:type="linesAndChars" w:linePitch="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D5C89" w14:textId="77777777" w:rsidR="00D825F9" w:rsidRDefault="00D825F9">
      <w:r>
        <w:separator/>
      </w:r>
    </w:p>
  </w:endnote>
  <w:endnote w:type="continuationSeparator" w:id="0">
    <w:p w14:paraId="6E89AB66" w14:textId="77777777" w:rsidR="00D825F9" w:rsidRDefault="00D8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2F3788" w14:textId="77777777" w:rsidR="00D825F9" w:rsidRDefault="00D825F9">
      <w:r>
        <w:separator/>
      </w:r>
    </w:p>
  </w:footnote>
  <w:footnote w:type="continuationSeparator" w:id="0">
    <w:p w14:paraId="4D78168C" w14:textId="77777777" w:rsidR="00D825F9" w:rsidRDefault="00D82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AE0E4" w14:textId="77777777" w:rsidR="005875BE" w:rsidRDefault="005875BE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D2B31" w14:textId="77777777" w:rsidR="005875BE" w:rsidRDefault="005875BE">
    <w:pPr>
      <w:pStyle w:val="a8"/>
      <w:pBdr>
        <w:bottom w:val="none" w:sz="0" w:space="0" w:color="auto"/>
      </w:pBdr>
      <w:jc w:val="right"/>
      <w:rPr>
        <w:rFonts w:ascii="仿宋_GB2312" w:eastAsia="仿宋_GB2312"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54BBE" w14:textId="77777777" w:rsidR="005875BE" w:rsidRDefault="005875BE">
    <w:pPr>
      <w:jc w:val="right"/>
      <w:rPr>
        <w:rFonts w:ascii="仿宋_GB2312" w:eastAsia="仿宋_GB2312"/>
        <w:color w:val="000000"/>
        <w:sz w:val="32"/>
        <w:szCs w:val="3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06483" w14:textId="77777777" w:rsidR="005875BE" w:rsidRDefault="005875BE">
    <w:pPr>
      <w:pStyle w:val="a8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579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9CCA976A"/>
    <w:rsid w:val="9DF7030E"/>
    <w:rsid w:val="B7769E59"/>
    <w:rsid w:val="B99F5E9A"/>
    <w:rsid w:val="BAE6B9AB"/>
    <w:rsid w:val="BDEE3EB1"/>
    <w:rsid w:val="BFFE0E2D"/>
    <w:rsid w:val="CFFDF128"/>
    <w:rsid w:val="D7F59A7C"/>
    <w:rsid w:val="DF7F77CF"/>
    <w:rsid w:val="E73FBD60"/>
    <w:rsid w:val="F8F4AF90"/>
    <w:rsid w:val="F8F68E60"/>
    <w:rsid w:val="F9FB577F"/>
    <w:rsid w:val="F9FDC999"/>
    <w:rsid w:val="FDEA0969"/>
    <w:rsid w:val="FEB75834"/>
    <w:rsid w:val="FEFFDB28"/>
    <w:rsid w:val="FFDF93F4"/>
    <w:rsid w:val="FFFAFF62"/>
    <w:rsid w:val="FFFDD0D2"/>
    <w:rsid w:val="00001367"/>
    <w:rsid w:val="00015C0F"/>
    <w:rsid w:val="000450B0"/>
    <w:rsid w:val="00045662"/>
    <w:rsid w:val="000700CD"/>
    <w:rsid w:val="000832AE"/>
    <w:rsid w:val="000A6FA7"/>
    <w:rsid w:val="000C0FED"/>
    <w:rsid w:val="001021C2"/>
    <w:rsid w:val="00110E05"/>
    <w:rsid w:val="0013721A"/>
    <w:rsid w:val="00141728"/>
    <w:rsid w:val="001638EB"/>
    <w:rsid w:val="00172A27"/>
    <w:rsid w:val="00176010"/>
    <w:rsid w:val="00182517"/>
    <w:rsid w:val="001A6B3B"/>
    <w:rsid w:val="001B5627"/>
    <w:rsid w:val="001C5397"/>
    <w:rsid w:val="001C66E0"/>
    <w:rsid w:val="001E0458"/>
    <w:rsid w:val="001E5CCD"/>
    <w:rsid w:val="002054F0"/>
    <w:rsid w:val="002164A7"/>
    <w:rsid w:val="00222633"/>
    <w:rsid w:val="00270E27"/>
    <w:rsid w:val="0027249C"/>
    <w:rsid w:val="0028445A"/>
    <w:rsid w:val="0029683C"/>
    <w:rsid w:val="002A11E4"/>
    <w:rsid w:val="002B7E29"/>
    <w:rsid w:val="002E0DE0"/>
    <w:rsid w:val="003357E9"/>
    <w:rsid w:val="003373B6"/>
    <w:rsid w:val="00346702"/>
    <w:rsid w:val="00377F41"/>
    <w:rsid w:val="003B78CA"/>
    <w:rsid w:val="003D437D"/>
    <w:rsid w:val="003F2E41"/>
    <w:rsid w:val="00401897"/>
    <w:rsid w:val="00406E87"/>
    <w:rsid w:val="00443831"/>
    <w:rsid w:val="004952E8"/>
    <w:rsid w:val="004C72D6"/>
    <w:rsid w:val="004D6CEB"/>
    <w:rsid w:val="004F3C57"/>
    <w:rsid w:val="004F69D8"/>
    <w:rsid w:val="005022BB"/>
    <w:rsid w:val="00531255"/>
    <w:rsid w:val="005313AF"/>
    <w:rsid w:val="005875BE"/>
    <w:rsid w:val="005B728B"/>
    <w:rsid w:val="005C773D"/>
    <w:rsid w:val="005F38DA"/>
    <w:rsid w:val="006236D3"/>
    <w:rsid w:val="006319C1"/>
    <w:rsid w:val="006360D6"/>
    <w:rsid w:val="00653AA2"/>
    <w:rsid w:val="006712C1"/>
    <w:rsid w:val="006939D4"/>
    <w:rsid w:val="006C04C1"/>
    <w:rsid w:val="006E32E9"/>
    <w:rsid w:val="0070171F"/>
    <w:rsid w:val="00771D08"/>
    <w:rsid w:val="00782AA2"/>
    <w:rsid w:val="007A0272"/>
    <w:rsid w:val="007D132C"/>
    <w:rsid w:val="007E5378"/>
    <w:rsid w:val="007F46A5"/>
    <w:rsid w:val="007F714A"/>
    <w:rsid w:val="00804A37"/>
    <w:rsid w:val="0082761D"/>
    <w:rsid w:val="008852A0"/>
    <w:rsid w:val="008966DC"/>
    <w:rsid w:val="008B5614"/>
    <w:rsid w:val="008D583E"/>
    <w:rsid w:val="008D5EE4"/>
    <w:rsid w:val="008F6692"/>
    <w:rsid w:val="00904385"/>
    <w:rsid w:val="009108FF"/>
    <w:rsid w:val="00970247"/>
    <w:rsid w:val="00994A50"/>
    <w:rsid w:val="009A4B4D"/>
    <w:rsid w:val="009B3CBD"/>
    <w:rsid w:val="00A26522"/>
    <w:rsid w:val="00A30DBC"/>
    <w:rsid w:val="00A33129"/>
    <w:rsid w:val="00A86E4B"/>
    <w:rsid w:val="00A90256"/>
    <w:rsid w:val="00AC2F41"/>
    <w:rsid w:val="00B20484"/>
    <w:rsid w:val="00B2541F"/>
    <w:rsid w:val="00B41A6B"/>
    <w:rsid w:val="00B56820"/>
    <w:rsid w:val="00BA4A75"/>
    <w:rsid w:val="00BD1160"/>
    <w:rsid w:val="00BF0F8E"/>
    <w:rsid w:val="00C15460"/>
    <w:rsid w:val="00C22EA7"/>
    <w:rsid w:val="00C27567"/>
    <w:rsid w:val="00C41473"/>
    <w:rsid w:val="00C53801"/>
    <w:rsid w:val="00C544D6"/>
    <w:rsid w:val="00C8191D"/>
    <w:rsid w:val="00CA43F8"/>
    <w:rsid w:val="00CA4DEC"/>
    <w:rsid w:val="00CB0171"/>
    <w:rsid w:val="00CB159B"/>
    <w:rsid w:val="00D066DA"/>
    <w:rsid w:val="00D06934"/>
    <w:rsid w:val="00D07134"/>
    <w:rsid w:val="00D177D2"/>
    <w:rsid w:val="00D42997"/>
    <w:rsid w:val="00D825F9"/>
    <w:rsid w:val="00DA0FC0"/>
    <w:rsid w:val="00DB34E4"/>
    <w:rsid w:val="00DC1392"/>
    <w:rsid w:val="00DC3EFA"/>
    <w:rsid w:val="00DC7997"/>
    <w:rsid w:val="00DD6972"/>
    <w:rsid w:val="00DE46F4"/>
    <w:rsid w:val="00DF6FCB"/>
    <w:rsid w:val="00E01027"/>
    <w:rsid w:val="00E0318B"/>
    <w:rsid w:val="00E0659D"/>
    <w:rsid w:val="00E342F2"/>
    <w:rsid w:val="00E43DEB"/>
    <w:rsid w:val="00E4509E"/>
    <w:rsid w:val="00E5151E"/>
    <w:rsid w:val="00E62C89"/>
    <w:rsid w:val="00E953DB"/>
    <w:rsid w:val="00EA66AD"/>
    <w:rsid w:val="00EC10AB"/>
    <w:rsid w:val="00EC5DF9"/>
    <w:rsid w:val="00F03101"/>
    <w:rsid w:val="00F1548F"/>
    <w:rsid w:val="00F23A6B"/>
    <w:rsid w:val="00F40B00"/>
    <w:rsid w:val="00F61215"/>
    <w:rsid w:val="00F87932"/>
    <w:rsid w:val="00F9167D"/>
    <w:rsid w:val="00FD7F11"/>
    <w:rsid w:val="014063FE"/>
    <w:rsid w:val="016A6A00"/>
    <w:rsid w:val="02005B8D"/>
    <w:rsid w:val="02D957AA"/>
    <w:rsid w:val="02F05C02"/>
    <w:rsid w:val="033B50CF"/>
    <w:rsid w:val="037B371D"/>
    <w:rsid w:val="04363AE8"/>
    <w:rsid w:val="04A46CA4"/>
    <w:rsid w:val="050E236F"/>
    <w:rsid w:val="055B3806"/>
    <w:rsid w:val="05CC0260"/>
    <w:rsid w:val="075524D7"/>
    <w:rsid w:val="079F319E"/>
    <w:rsid w:val="07B2792A"/>
    <w:rsid w:val="07DB478B"/>
    <w:rsid w:val="08055CAB"/>
    <w:rsid w:val="092403B3"/>
    <w:rsid w:val="093D3223"/>
    <w:rsid w:val="095C7B4D"/>
    <w:rsid w:val="09C53944"/>
    <w:rsid w:val="0B0C55A3"/>
    <w:rsid w:val="0C0A1AE2"/>
    <w:rsid w:val="0C4C382C"/>
    <w:rsid w:val="0C4C4C3A"/>
    <w:rsid w:val="0C8D626F"/>
    <w:rsid w:val="0DA87805"/>
    <w:rsid w:val="0E52151F"/>
    <w:rsid w:val="0E6F3E7F"/>
    <w:rsid w:val="0E835B7C"/>
    <w:rsid w:val="0EF51A56"/>
    <w:rsid w:val="0F490B74"/>
    <w:rsid w:val="108C6F6A"/>
    <w:rsid w:val="11EC57E6"/>
    <w:rsid w:val="121C256F"/>
    <w:rsid w:val="13456506"/>
    <w:rsid w:val="134D7D3D"/>
    <w:rsid w:val="139F5206"/>
    <w:rsid w:val="13A02D2C"/>
    <w:rsid w:val="14027543"/>
    <w:rsid w:val="14AB7BDB"/>
    <w:rsid w:val="15007F26"/>
    <w:rsid w:val="154222ED"/>
    <w:rsid w:val="156C736A"/>
    <w:rsid w:val="15C70A44"/>
    <w:rsid w:val="162437A1"/>
    <w:rsid w:val="16984C86"/>
    <w:rsid w:val="16BB4986"/>
    <w:rsid w:val="16C46E07"/>
    <w:rsid w:val="17BB0135"/>
    <w:rsid w:val="182C1032"/>
    <w:rsid w:val="18A92683"/>
    <w:rsid w:val="18DA3908"/>
    <w:rsid w:val="18FFDDC9"/>
    <w:rsid w:val="19BB08C0"/>
    <w:rsid w:val="19ED16E8"/>
    <w:rsid w:val="1BED0F04"/>
    <w:rsid w:val="1C3F1D11"/>
    <w:rsid w:val="1C4F709D"/>
    <w:rsid w:val="1C660569"/>
    <w:rsid w:val="1C71170A"/>
    <w:rsid w:val="1CBD04AB"/>
    <w:rsid w:val="1D2D73DF"/>
    <w:rsid w:val="1E176774"/>
    <w:rsid w:val="1F3E628C"/>
    <w:rsid w:val="2107263D"/>
    <w:rsid w:val="21B346E5"/>
    <w:rsid w:val="22665141"/>
    <w:rsid w:val="22A85759"/>
    <w:rsid w:val="238E2BA1"/>
    <w:rsid w:val="23D26F32"/>
    <w:rsid w:val="24385502"/>
    <w:rsid w:val="248D0FD3"/>
    <w:rsid w:val="24C83E91"/>
    <w:rsid w:val="258A2BF2"/>
    <w:rsid w:val="269B7AAF"/>
    <w:rsid w:val="26CA2142"/>
    <w:rsid w:val="271E5FEA"/>
    <w:rsid w:val="2753038A"/>
    <w:rsid w:val="28072F22"/>
    <w:rsid w:val="28C3509B"/>
    <w:rsid w:val="2A353D77"/>
    <w:rsid w:val="2A9F4F71"/>
    <w:rsid w:val="2BC01D66"/>
    <w:rsid w:val="2D300825"/>
    <w:rsid w:val="2D450775"/>
    <w:rsid w:val="2D4C1B03"/>
    <w:rsid w:val="2D7C3A6A"/>
    <w:rsid w:val="2E187C37"/>
    <w:rsid w:val="2E220AB6"/>
    <w:rsid w:val="2E2C36E3"/>
    <w:rsid w:val="2E551452"/>
    <w:rsid w:val="2E797A74"/>
    <w:rsid w:val="2E975000"/>
    <w:rsid w:val="2EF064BE"/>
    <w:rsid w:val="2FAD43AF"/>
    <w:rsid w:val="2FBB4D1E"/>
    <w:rsid w:val="305D4027"/>
    <w:rsid w:val="30601421"/>
    <w:rsid w:val="30C419B0"/>
    <w:rsid w:val="31572824"/>
    <w:rsid w:val="315C7DFC"/>
    <w:rsid w:val="31FEFF4D"/>
    <w:rsid w:val="32262D80"/>
    <w:rsid w:val="32644499"/>
    <w:rsid w:val="33771DD2"/>
    <w:rsid w:val="33A361F5"/>
    <w:rsid w:val="33CD3272"/>
    <w:rsid w:val="34496D9C"/>
    <w:rsid w:val="34A22009"/>
    <w:rsid w:val="34D816F9"/>
    <w:rsid w:val="362F1FC2"/>
    <w:rsid w:val="368C2F70"/>
    <w:rsid w:val="379540A7"/>
    <w:rsid w:val="37A9320F"/>
    <w:rsid w:val="37B07132"/>
    <w:rsid w:val="37DC7F27"/>
    <w:rsid w:val="38B844F1"/>
    <w:rsid w:val="38E928FC"/>
    <w:rsid w:val="38EF5400"/>
    <w:rsid w:val="3971644D"/>
    <w:rsid w:val="39E3734B"/>
    <w:rsid w:val="39EB6200"/>
    <w:rsid w:val="3AE710BD"/>
    <w:rsid w:val="3B091033"/>
    <w:rsid w:val="3B4EC95E"/>
    <w:rsid w:val="3C3C2D43"/>
    <w:rsid w:val="3C6E9A23"/>
    <w:rsid w:val="3CF655E7"/>
    <w:rsid w:val="3D78389C"/>
    <w:rsid w:val="3D9F6737"/>
    <w:rsid w:val="3E642A25"/>
    <w:rsid w:val="3E6D20C7"/>
    <w:rsid w:val="3F7F1CBD"/>
    <w:rsid w:val="3FF35492"/>
    <w:rsid w:val="40E854AB"/>
    <w:rsid w:val="418A09F4"/>
    <w:rsid w:val="41C55588"/>
    <w:rsid w:val="422D2033"/>
    <w:rsid w:val="43081BD1"/>
    <w:rsid w:val="43882D11"/>
    <w:rsid w:val="443F7874"/>
    <w:rsid w:val="447C1E00"/>
    <w:rsid w:val="45124F88"/>
    <w:rsid w:val="45886D5E"/>
    <w:rsid w:val="45C36283"/>
    <w:rsid w:val="46E42955"/>
    <w:rsid w:val="475233E9"/>
    <w:rsid w:val="477F2D10"/>
    <w:rsid w:val="48825F81"/>
    <w:rsid w:val="489F3177"/>
    <w:rsid w:val="48A57EC2"/>
    <w:rsid w:val="48CE566A"/>
    <w:rsid w:val="493F6EB7"/>
    <w:rsid w:val="4A080708"/>
    <w:rsid w:val="4AE20F59"/>
    <w:rsid w:val="4B3C4B0D"/>
    <w:rsid w:val="4BD72A88"/>
    <w:rsid w:val="4CB22BAD"/>
    <w:rsid w:val="4D93478D"/>
    <w:rsid w:val="4E7B3B9E"/>
    <w:rsid w:val="4EB1136E"/>
    <w:rsid w:val="4F4641AC"/>
    <w:rsid w:val="4F7D3946"/>
    <w:rsid w:val="50A54F03"/>
    <w:rsid w:val="516259A5"/>
    <w:rsid w:val="51AA07F4"/>
    <w:rsid w:val="51ED6B61"/>
    <w:rsid w:val="528943B0"/>
    <w:rsid w:val="52E93FA6"/>
    <w:rsid w:val="53BA6F17"/>
    <w:rsid w:val="53F35F85"/>
    <w:rsid w:val="54C94F38"/>
    <w:rsid w:val="55E22755"/>
    <w:rsid w:val="56F829A8"/>
    <w:rsid w:val="57062473"/>
    <w:rsid w:val="571E6B4E"/>
    <w:rsid w:val="57945E36"/>
    <w:rsid w:val="57FD5624"/>
    <w:rsid w:val="57FEC5E7"/>
    <w:rsid w:val="59D118DC"/>
    <w:rsid w:val="5A831CF0"/>
    <w:rsid w:val="5B13515F"/>
    <w:rsid w:val="5BC56459"/>
    <w:rsid w:val="5BE74621"/>
    <w:rsid w:val="5C642116"/>
    <w:rsid w:val="5C983B6D"/>
    <w:rsid w:val="5DED0620"/>
    <w:rsid w:val="5E0B5C56"/>
    <w:rsid w:val="5E316028"/>
    <w:rsid w:val="5F6B5569"/>
    <w:rsid w:val="5FEF5032"/>
    <w:rsid w:val="600138C4"/>
    <w:rsid w:val="607246D5"/>
    <w:rsid w:val="60803296"/>
    <w:rsid w:val="60B116A2"/>
    <w:rsid w:val="60CA4511"/>
    <w:rsid w:val="60FB0B6F"/>
    <w:rsid w:val="6142679E"/>
    <w:rsid w:val="61572249"/>
    <w:rsid w:val="6220263B"/>
    <w:rsid w:val="623B7475"/>
    <w:rsid w:val="63C17E4E"/>
    <w:rsid w:val="64191A38"/>
    <w:rsid w:val="644F7208"/>
    <w:rsid w:val="64C86FBA"/>
    <w:rsid w:val="64F32289"/>
    <w:rsid w:val="65053D6A"/>
    <w:rsid w:val="65416341"/>
    <w:rsid w:val="654A5C21"/>
    <w:rsid w:val="65A96DEB"/>
    <w:rsid w:val="66410DD2"/>
    <w:rsid w:val="66611474"/>
    <w:rsid w:val="666B22F3"/>
    <w:rsid w:val="67204E8B"/>
    <w:rsid w:val="6759214B"/>
    <w:rsid w:val="67881D7C"/>
    <w:rsid w:val="69117181"/>
    <w:rsid w:val="69F349FA"/>
    <w:rsid w:val="6AB57FE0"/>
    <w:rsid w:val="6B5E2426"/>
    <w:rsid w:val="6CEA21C3"/>
    <w:rsid w:val="6D03720A"/>
    <w:rsid w:val="6D4F0278"/>
    <w:rsid w:val="6DE210EC"/>
    <w:rsid w:val="6DEA1D4F"/>
    <w:rsid w:val="6DFD00FB"/>
    <w:rsid w:val="6E3D27C7"/>
    <w:rsid w:val="6E6715F2"/>
    <w:rsid w:val="6E95615F"/>
    <w:rsid w:val="6F36229B"/>
    <w:rsid w:val="6F80296B"/>
    <w:rsid w:val="6F887A72"/>
    <w:rsid w:val="700A66D9"/>
    <w:rsid w:val="7148395C"/>
    <w:rsid w:val="717A163C"/>
    <w:rsid w:val="72473C14"/>
    <w:rsid w:val="72516841"/>
    <w:rsid w:val="72FE33E2"/>
    <w:rsid w:val="735A7977"/>
    <w:rsid w:val="735E1499"/>
    <w:rsid w:val="73F152F7"/>
    <w:rsid w:val="73F456D6"/>
    <w:rsid w:val="747B5DF7"/>
    <w:rsid w:val="7510653F"/>
    <w:rsid w:val="75521015"/>
    <w:rsid w:val="756B19C7"/>
    <w:rsid w:val="762878B8"/>
    <w:rsid w:val="76FB321F"/>
    <w:rsid w:val="774730E9"/>
    <w:rsid w:val="77866F8C"/>
    <w:rsid w:val="77ABA14B"/>
    <w:rsid w:val="77D01FB6"/>
    <w:rsid w:val="77E837A3"/>
    <w:rsid w:val="7803238B"/>
    <w:rsid w:val="78A0407E"/>
    <w:rsid w:val="79312312"/>
    <w:rsid w:val="7A61783D"/>
    <w:rsid w:val="7ADC6EC3"/>
    <w:rsid w:val="7B75534E"/>
    <w:rsid w:val="7C2BAD23"/>
    <w:rsid w:val="7CA57EB5"/>
    <w:rsid w:val="7CAA54CB"/>
    <w:rsid w:val="7CCF6CE0"/>
    <w:rsid w:val="7D142945"/>
    <w:rsid w:val="7D3C3975"/>
    <w:rsid w:val="7D497EC4"/>
    <w:rsid w:val="7E779512"/>
    <w:rsid w:val="7E7F7DCD"/>
    <w:rsid w:val="7EFE00B4"/>
    <w:rsid w:val="7F3F45DD"/>
    <w:rsid w:val="7F9F31BB"/>
    <w:rsid w:val="7FC9B5D3"/>
    <w:rsid w:val="7FD5AA5F"/>
    <w:rsid w:val="7FDD803A"/>
    <w:rsid w:val="7FFF2910"/>
    <w:rsid w:val="96FFD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qFormat="1"/>
    <w:lsdException w:name="Body Text First Indent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adjustRightInd w:val="0"/>
      <w:spacing w:after="60" w:line="360" w:lineRule="atLeast"/>
      <w:ind w:firstLine="454"/>
      <w:textAlignment w:val="baseline"/>
      <w:outlineLvl w:val="1"/>
    </w:pPr>
    <w:rPr>
      <w:rFonts w:ascii="宋体" w:eastAsia="仿宋" w:hAnsi="宋体" w:cs="宋体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0"/>
    <w:link w:val="Char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a4">
    <w:name w:val="Document Map"/>
    <w:basedOn w:val="a"/>
    <w:link w:val="Char0"/>
    <w:uiPriority w:val="99"/>
    <w:unhideWhenUsed/>
    <w:qFormat/>
    <w:rPr>
      <w:rFonts w:ascii="宋体"/>
      <w:sz w:val="18"/>
      <w:szCs w:val="18"/>
    </w:rPr>
  </w:style>
  <w:style w:type="paragraph" w:styleId="a5">
    <w:name w:val="Date"/>
    <w:basedOn w:val="a"/>
    <w:next w:val="a"/>
    <w:link w:val="Char1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Body Text First Indent"/>
    <w:basedOn w:val="a0"/>
    <w:uiPriority w:val="99"/>
    <w:unhideWhenUsed/>
    <w:qFormat/>
    <w:pPr>
      <w:tabs>
        <w:tab w:val="left" w:pos="560"/>
        <w:tab w:val="left" w:pos="3920"/>
        <w:tab w:val="left" w:pos="5600"/>
      </w:tabs>
      <w:ind w:firstLineChars="200" w:firstLine="480"/>
      <w:textAlignment w:val="baseline"/>
    </w:pPr>
  </w:style>
  <w:style w:type="table" w:styleId="ab">
    <w:name w:val="Table Grid"/>
    <w:basedOn w:val="a2"/>
    <w:uiPriority w:val="59"/>
    <w:qFormat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Pr>
      <w:b/>
    </w:rPr>
  </w:style>
  <w:style w:type="character" w:styleId="ad">
    <w:name w:val="page number"/>
    <w:uiPriority w:val="99"/>
    <w:qFormat/>
  </w:style>
  <w:style w:type="character" w:customStyle="1" w:styleId="Char0">
    <w:name w:val="文档结构图 Char"/>
    <w:link w:val="a4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">
    <w:name w:val="日期 Char"/>
    <w:link w:val="a5"/>
    <w:uiPriority w:val="99"/>
    <w:semiHidden/>
    <w:qFormat/>
    <w:rPr>
      <w:kern w:val="2"/>
      <w:sz w:val="21"/>
      <w:szCs w:val="24"/>
    </w:rPr>
  </w:style>
  <w:style w:type="character" w:customStyle="1" w:styleId="Char2">
    <w:name w:val="批注框文本 Char"/>
    <w:link w:val="a6"/>
    <w:uiPriority w:val="99"/>
    <w:semiHidden/>
    <w:qFormat/>
    <w:rPr>
      <w:kern w:val="2"/>
      <w:sz w:val="18"/>
      <w:szCs w:val="18"/>
    </w:rPr>
  </w:style>
  <w:style w:type="character" w:customStyle="1" w:styleId="Char3">
    <w:name w:val="页脚 Char"/>
    <w:link w:val="a7"/>
    <w:uiPriority w:val="99"/>
    <w:qFormat/>
    <w:rPr>
      <w:kern w:val="2"/>
      <w:sz w:val="18"/>
      <w:szCs w:val="18"/>
    </w:rPr>
  </w:style>
  <w:style w:type="character" w:customStyle="1" w:styleId="Char4">
    <w:name w:val="页眉 Char"/>
    <w:link w:val="a8"/>
    <w:uiPriority w:val="99"/>
    <w:qFormat/>
    <w:rPr>
      <w:kern w:val="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正文文本 Char"/>
    <w:link w:val="a0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11">
    <w:name w:val="标题 11"/>
    <w:basedOn w:val="a"/>
    <w:uiPriority w:val="1"/>
    <w:qFormat/>
    <w:pPr>
      <w:autoSpaceDE w:val="0"/>
      <w:autoSpaceDN w:val="0"/>
      <w:ind w:left="150" w:right="96"/>
      <w:jc w:val="center"/>
      <w:outlineLvl w:val="1"/>
    </w:pPr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szCs w:val="22"/>
      <w:lang w:val="zh-CN" w:bidi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qFormat="1"/>
    <w:lsdException w:name="Body Text First Indent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adjustRightInd w:val="0"/>
      <w:spacing w:after="60" w:line="360" w:lineRule="atLeast"/>
      <w:ind w:firstLine="454"/>
      <w:textAlignment w:val="baseline"/>
      <w:outlineLvl w:val="1"/>
    </w:pPr>
    <w:rPr>
      <w:rFonts w:ascii="宋体" w:eastAsia="仿宋" w:hAnsi="宋体" w:cs="宋体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0"/>
    <w:link w:val="Char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a4">
    <w:name w:val="Document Map"/>
    <w:basedOn w:val="a"/>
    <w:link w:val="Char0"/>
    <w:uiPriority w:val="99"/>
    <w:unhideWhenUsed/>
    <w:qFormat/>
    <w:rPr>
      <w:rFonts w:ascii="宋体"/>
      <w:sz w:val="18"/>
      <w:szCs w:val="18"/>
    </w:rPr>
  </w:style>
  <w:style w:type="paragraph" w:styleId="a5">
    <w:name w:val="Date"/>
    <w:basedOn w:val="a"/>
    <w:next w:val="a"/>
    <w:link w:val="Char1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Body Text First Indent"/>
    <w:basedOn w:val="a0"/>
    <w:uiPriority w:val="99"/>
    <w:unhideWhenUsed/>
    <w:qFormat/>
    <w:pPr>
      <w:tabs>
        <w:tab w:val="left" w:pos="560"/>
        <w:tab w:val="left" w:pos="3920"/>
        <w:tab w:val="left" w:pos="5600"/>
      </w:tabs>
      <w:ind w:firstLineChars="200" w:firstLine="480"/>
      <w:textAlignment w:val="baseline"/>
    </w:pPr>
  </w:style>
  <w:style w:type="table" w:styleId="ab">
    <w:name w:val="Table Grid"/>
    <w:basedOn w:val="a2"/>
    <w:uiPriority w:val="59"/>
    <w:qFormat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Pr>
      <w:b/>
    </w:rPr>
  </w:style>
  <w:style w:type="character" w:styleId="ad">
    <w:name w:val="page number"/>
    <w:uiPriority w:val="99"/>
    <w:qFormat/>
  </w:style>
  <w:style w:type="character" w:customStyle="1" w:styleId="Char0">
    <w:name w:val="文档结构图 Char"/>
    <w:link w:val="a4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">
    <w:name w:val="日期 Char"/>
    <w:link w:val="a5"/>
    <w:uiPriority w:val="99"/>
    <w:semiHidden/>
    <w:qFormat/>
    <w:rPr>
      <w:kern w:val="2"/>
      <w:sz w:val="21"/>
      <w:szCs w:val="24"/>
    </w:rPr>
  </w:style>
  <w:style w:type="character" w:customStyle="1" w:styleId="Char2">
    <w:name w:val="批注框文本 Char"/>
    <w:link w:val="a6"/>
    <w:uiPriority w:val="99"/>
    <w:semiHidden/>
    <w:qFormat/>
    <w:rPr>
      <w:kern w:val="2"/>
      <w:sz w:val="18"/>
      <w:szCs w:val="18"/>
    </w:rPr>
  </w:style>
  <w:style w:type="character" w:customStyle="1" w:styleId="Char3">
    <w:name w:val="页脚 Char"/>
    <w:link w:val="a7"/>
    <w:uiPriority w:val="99"/>
    <w:qFormat/>
    <w:rPr>
      <w:kern w:val="2"/>
      <w:sz w:val="18"/>
      <w:szCs w:val="18"/>
    </w:rPr>
  </w:style>
  <w:style w:type="character" w:customStyle="1" w:styleId="Char4">
    <w:name w:val="页眉 Char"/>
    <w:link w:val="a8"/>
    <w:uiPriority w:val="99"/>
    <w:qFormat/>
    <w:rPr>
      <w:kern w:val="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正文文本 Char"/>
    <w:link w:val="a0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11">
    <w:name w:val="标题 11"/>
    <w:basedOn w:val="a"/>
    <w:uiPriority w:val="1"/>
    <w:qFormat/>
    <w:pPr>
      <w:autoSpaceDE w:val="0"/>
      <w:autoSpaceDN w:val="0"/>
      <w:ind w:left="150" w:right="96"/>
      <w:jc w:val="center"/>
      <w:outlineLvl w:val="1"/>
    </w:pPr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szCs w:val="22"/>
      <w:lang w:val="zh-CN" w:bidi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2754</Words>
  <Characters>3250</Characters>
  <Application>Microsoft Office Word</Application>
  <DocSecurity>0</DocSecurity>
  <Lines>361</Lines>
  <Paragraphs>353</Paragraphs>
  <ScaleCrop>false</ScaleCrop>
  <Company/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关于印发《南京市财政局办公自动化系统</dc:title>
  <dc:creator>Administrator</dc:creator>
  <cp:lastModifiedBy>lenovo1</cp:lastModifiedBy>
  <cp:revision>8</cp:revision>
  <cp:lastPrinted>2026-06-29T07:02:00Z</cp:lastPrinted>
  <dcterms:created xsi:type="dcterms:W3CDTF">2026-02-27T02:30:00Z</dcterms:created>
  <dcterms:modified xsi:type="dcterms:W3CDTF">2026-06-30T04:06:00Z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eyJoZGlkIjoiODMzYWM3MzNiMmI3ZjMyMDJmMTk2OWEyNmI3Mzk0MTMiLCJ1c2VySWQiOiIxMzk3OTYzOTI0In0=</vt:lpwstr>
  </property>
  <property fmtid="{D5CDD505-2E9C-101B-9397-08002B2CF9AE}" pid="4" name="ICV">
    <vt:lpwstr>DC4DAFD5908444D482D01B3330D93C99_12</vt:lpwstr>
  </property>
</Properties>
</file>