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0354" w:rsidRDefault="00B70354">
      <w:pPr>
        <w:pStyle w:val="a7"/>
        <w:rPr>
          <w:rFonts w:ascii="Times New Roman" w:hAnsi="Times New Roman" w:cs="Times New Roman"/>
        </w:rPr>
      </w:pPr>
    </w:p>
    <w:p w:rsidR="00B70354" w:rsidRDefault="00B70354">
      <w:pPr>
        <w:pStyle w:val="a7"/>
        <w:rPr>
          <w:rFonts w:ascii="Times New Roman" w:hAnsi="Times New Roman" w:cs="Times New Roman"/>
        </w:rPr>
      </w:pPr>
    </w:p>
    <w:p w:rsidR="00B70354" w:rsidRDefault="00B70354">
      <w:pPr>
        <w:pStyle w:val="a7"/>
        <w:rPr>
          <w:rFonts w:ascii="Times New Roman" w:hAnsi="Times New Roman" w:cs="Times New Roman"/>
        </w:rPr>
      </w:pPr>
    </w:p>
    <w:p w:rsidR="00B70354" w:rsidRDefault="00B70354">
      <w:pPr>
        <w:pStyle w:val="a7"/>
        <w:rPr>
          <w:rFonts w:ascii="Times New Roman" w:hAnsi="Times New Roman" w:cs="Times New Roman"/>
        </w:rPr>
      </w:pPr>
    </w:p>
    <w:p w:rsidR="00580CC9" w:rsidRDefault="0006100D">
      <w:pPr>
        <w:pStyle w:val="a7"/>
        <w:rPr>
          <w:rFonts w:ascii="Times New Roman" w:hAnsi="Times New Roman" w:cs="Times New Roman"/>
        </w:rPr>
      </w:pPr>
      <w:r>
        <w:rPr>
          <w:rFonts w:ascii="Times New Roman" w:hAnsi="Times New Roman" w:cs="Times New Roman"/>
        </w:rPr>
        <w:t>2025</w:t>
      </w:r>
      <w:r>
        <w:rPr>
          <w:rFonts w:ascii="Times New Roman" w:hAnsi="Times New Roman" w:cs="Times New Roman"/>
        </w:rPr>
        <w:t>年度南京市</w:t>
      </w:r>
      <w:r w:rsidR="00580CC9">
        <w:rPr>
          <w:rFonts w:ascii="Times New Roman" w:hAnsi="Times New Roman" w:cs="Times New Roman"/>
        </w:rPr>
        <w:t>农业农村局</w:t>
      </w:r>
      <w:r>
        <w:rPr>
          <w:rFonts w:ascii="Times New Roman" w:hAnsi="Times New Roman" w:cs="Times New Roman"/>
        </w:rPr>
        <w:t>水稻生态补偿</w:t>
      </w:r>
    </w:p>
    <w:p w:rsidR="00B70354" w:rsidRDefault="0006100D">
      <w:pPr>
        <w:pStyle w:val="a7"/>
        <w:rPr>
          <w:rFonts w:ascii="Times New Roman" w:hAnsi="Times New Roman" w:cs="Times New Roman"/>
        </w:rPr>
      </w:pPr>
      <w:r>
        <w:rPr>
          <w:rFonts w:ascii="Times New Roman" w:hAnsi="Times New Roman" w:cs="Times New Roman"/>
        </w:rPr>
        <w:t>绩效评价报告</w:t>
      </w:r>
    </w:p>
    <w:p w:rsidR="00B70354" w:rsidRDefault="00B70354">
      <w:pPr>
        <w:ind w:firstLine="664"/>
      </w:pPr>
    </w:p>
    <w:p w:rsidR="00B70354" w:rsidRDefault="0006100D">
      <w:pPr>
        <w:autoSpaceDE/>
        <w:autoSpaceDN/>
        <w:adjustRightInd/>
        <w:snapToGrid/>
        <w:spacing w:line="240" w:lineRule="auto"/>
        <w:ind w:firstLineChars="0" w:firstLine="0"/>
        <w:textAlignment w:val="auto"/>
      </w:pPr>
      <w:r>
        <w:br w:type="page"/>
      </w:r>
    </w:p>
    <w:sdt>
      <w:sdtPr>
        <w:rPr>
          <w:rFonts w:ascii="Times New Roman" w:eastAsia="方正仿宋_GBK" w:hAnsi="Times New Roman" w:cs="Times New Roman"/>
          <w:snapToGrid w:val="0"/>
          <w:color w:val="000000"/>
          <w:spacing w:val="12"/>
          <w:lang w:val="zh-CN"/>
        </w:rPr>
        <w:id w:val="863251715"/>
        <w:docPartObj>
          <w:docPartGallery w:val="Table of Contents"/>
          <w:docPartUnique/>
        </w:docPartObj>
      </w:sdtPr>
      <w:sdtEndPr>
        <w:rPr>
          <w:b/>
          <w:bCs/>
        </w:rPr>
      </w:sdtEndPr>
      <w:sdtContent>
        <w:p w:rsidR="00B70354" w:rsidRDefault="0006100D">
          <w:pPr>
            <w:pStyle w:val="TOC1"/>
            <w:spacing w:afterLines="100" w:after="312"/>
            <w:jc w:val="center"/>
            <w:rPr>
              <w:rFonts w:ascii="黑体" w:eastAsia="黑体" w:hAnsi="黑体"/>
              <w:color w:val="auto"/>
              <w:sz w:val="44"/>
              <w:szCs w:val="44"/>
            </w:rPr>
          </w:pPr>
          <w:r>
            <w:rPr>
              <w:rFonts w:ascii="黑体" w:eastAsia="黑体" w:hAnsi="黑体"/>
              <w:color w:val="auto"/>
              <w:sz w:val="44"/>
              <w:szCs w:val="44"/>
              <w:lang w:val="zh-CN"/>
            </w:rPr>
            <w:t>目录</w:t>
          </w:r>
        </w:p>
        <w:p w:rsidR="00B70354" w:rsidRDefault="0006100D">
          <w:pPr>
            <w:pStyle w:val="10"/>
            <w:tabs>
              <w:tab w:val="right" w:leader="dot" w:pos="8721"/>
            </w:tabs>
            <w:ind w:firstLineChars="0" w:firstLine="0"/>
            <w:rPr>
              <w:rFonts w:asciiTheme="minorHAnsi" w:eastAsiaTheme="minorEastAsia" w:hAnsiTheme="minorHAnsi" w:cstheme="minorBidi"/>
              <w:snapToGrid/>
              <w:color w:val="auto"/>
              <w:spacing w:val="0"/>
              <w:kern w:val="2"/>
              <w:sz w:val="21"/>
              <w:szCs w:val="22"/>
              <w14:ligatures w14:val="standardContextual"/>
            </w:rPr>
          </w:pPr>
          <w:r>
            <w:fldChar w:fldCharType="begin"/>
          </w:r>
          <w:r>
            <w:instrText xml:space="preserve"> TOC \o "1-3" \h \z \u </w:instrText>
          </w:r>
          <w:r>
            <w:fldChar w:fldCharType="separate"/>
          </w:r>
          <w:hyperlink w:anchor="_Toc233728790" w:history="1">
            <w:r>
              <w:rPr>
                <w:rStyle w:val="aa"/>
                <w:spacing w:val="10"/>
                <w:sz w:val="28"/>
                <w:szCs w:val="28"/>
              </w:rPr>
              <w:t>一</w:t>
            </w:r>
            <w:r>
              <w:rPr>
                <w:rStyle w:val="aa"/>
                <w:sz w:val="28"/>
                <w:szCs w:val="28"/>
              </w:rPr>
              <w:t>、专项资金概况</w:t>
            </w:r>
            <w:r>
              <w:rPr>
                <w:sz w:val="28"/>
                <w:szCs w:val="28"/>
              </w:rPr>
              <w:tab/>
            </w:r>
            <w:r>
              <w:rPr>
                <w:sz w:val="28"/>
                <w:szCs w:val="28"/>
              </w:rPr>
              <w:fldChar w:fldCharType="begin"/>
            </w:r>
            <w:r>
              <w:rPr>
                <w:sz w:val="28"/>
                <w:szCs w:val="28"/>
              </w:rPr>
              <w:instrText xml:space="preserve"> PAGEREF _Toc233728790 \h </w:instrText>
            </w:r>
            <w:r>
              <w:rPr>
                <w:sz w:val="28"/>
                <w:szCs w:val="28"/>
              </w:rPr>
            </w:r>
            <w:r>
              <w:rPr>
                <w:sz w:val="28"/>
                <w:szCs w:val="28"/>
              </w:rPr>
              <w:fldChar w:fldCharType="separate"/>
            </w:r>
            <w:r>
              <w:rPr>
                <w:sz w:val="28"/>
                <w:szCs w:val="28"/>
              </w:rPr>
              <w:t>1</w:t>
            </w:r>
            <w:r>
              <w:rPr>
                <w:sz w:val="28"/>
                <w:szCs w:val="28"/>
              </w:rPr>
              <w:fldChar w:fldCharType="end"/>
            </w:r>
          </w:hyperlink>
        </w:p>
        <w:p w:rsidR="00B70354" w:rsidRDefault="00690515">
          <w:pPr>
            <w:pStyle w:val="20"/>
            <w:tabs>
              <w:tab w:val="right" w:leader="dot" w:pos="8721"/>
            </w:tabs>
            <w:ind w:left="664" w:firstLineChars="0" w:firstLine="0"/>
            <w:rPr>
              <w:rFonts w:asciiTheme="minorHAnsi" w:eastAsiaTheme="minorEastAsia" w:hAnsiTheme="minorHAnsi" w:cstheme="minorBidi"/>
              <w:snapToGrid/>
              <w:color w:val="auto"/>
              <w:spacing w:val="0"/>
              <w:kern w:val="2"/>
              <w:sz w:val="21"/>
              <w:szCs w:val="22"/>
              <w14:ligatures w14:val="standardContextual"/>
            </w:rPr>
          </w:pPr>
          <w:hyperlink w:anchor="_Toc233728791" w:history="1">
            <w:r w:rsidR="0006100D">
              <w:rPr>
                <w:rStyle w:val="aa"/>
                <w:sz w:val="28"/>
                <w:szCs w:val="28"/>
              </w:rPr>
              <w:t>（一）基本情况</w:t>
            </w:r>
            <w:r w:rsidR="0006100D">
              <w:rPr>
                <w:sz w:val="28"/>
                <w:szCs w:val="28"/>
              </w:rPr>
              <w:tab/>
            </w:r>
            <w:r w:rsidR="0006100D">
              <w:rPr>
                <w:sz w:val="28"/>
                <w:szCs w:val="28"/>
              </w:rPr>
              <w:fldChar w:fldCharType="begin"/>
            </w:r>
            <w:r w:rsidR="0006100D">
              <w:rPr>
                <w:sz w:val="28"/>
                <w:szCs w:val="28"/>
              </w:rPr>
              <w:instrText xml:space="preserve"> PAGEREF _Toc233728791 \h </w:instrText>
            </w:r>
            <w:r w:rsidR="0006100D">
              <w:rPr>
                <w:sz w:val="28"/>
                <w:szCs w:val="28"/>
              </w:rPr>
            </w:r>
            <w:r w:rsidR="0006100D">
              <w:rPr>
                <w:sz w:val="28"/>
                <w:szCs w:val="28"/>
              </w:rPr>
              <w:fldChar w:fldCharType="separate"/>
            </w:r>
            <w:r w:rsidR="0006100D">
              <w:rPr>
                <w:sz w:val="28"/>
                <w:szCs w:val="28"/>
              </w:rPr>
              <w:t>1</w:t>
            </w:r>
            <w:r w:rsidR="0006100D">
              <w:rPr>
                <w:sz w:val="28"/>
                <w:szCs w:val="28"/>
              </w:rPr>
              <w:fldChar w:fldCharType="end"/>
            </w:r>
          </w:hyperlink>
        </w:p>
        <w:p w:rsidR="00B70354" w:rsidRDefault="00690515">
          <w:pPr>
            <w:pStyle w:val="20"/>
            <w:tabs>
              <w:tab w:val="right" w:leader="dot" w:pos="8721"/>
            </w:tabs>
            <w:ind w:left="664" w:firstLineChars="0" w:firstLine="0"/>
            <w:rPr>
              <w:rFonts w:asciiTheme="minorHAnsi" w:eastAsiaTheme="minorEastAsia" w:hAnsiTheme="minorHAnsi" w:cstheme="minorBidi"/>
              <w:snapToGrid/>
              <w:color w:val="auto"/>
              <w:spacing w:val="0"/>
              <w:kern w:val="2"/>
              <w:sz w:val="21"/>
              <w:szCs w:val="22"/>
              <w14:ligatures w14:val="standardContextual"/>
            </w:rPr>
          </w:pPr>
          <w:hyperlink w:anchor="_Toc233728792" w:history="1">
            <w:r w:rsidR="0006100D">
              <w:rPr>
                <w:rStyle w:val="aa"/>
                <w:sz w:val="28"/>
                <w:szCs w:val="28"/>
              </w:rPr>
              <w:t>（二）资金情况</w:t>
            </w:r>
            <w:r w:rsidR="0006100D">
              <w:rPr>
                <w:sz w:val="28"/>
                <w:szCs w:val="28"/>
              </w:rPr>
              <w:tab/>
            </w:r>
            <w:r w:rsidR="0006100D">
              <w:rPr>
                <w:sz w:val="28"/>
                <w:szCs w:val="28"/>
              </w:rPr>
              <w:fldChar w:fldCharType="begin"/>
            </w:r>
            <w:r w:rsidR="0006100D">
              <w:rPr>
                <w:sz w:val="28"/>
                <w:szCs w:val="28"/>
              </w:rPr>
              <w:instrText xml:space="preserve"> PAGEREF _Toc233728792 \h </w:instrText>
            </w:r>
            <w:r w:rsidR="0006100D">
              <w:rPr>
                <w:sz w:val="28"/>
                <w:szCs w:val="28"/>
              </w:rPr>
            </w:r>
            <w:r w:rsidR="0006100D">
              <w:rPr>
                <w:sz w:val="28"/>
                <w:szCs w:val="28"/>
              </w:rPr>
              <w:fldChar w:fldCharType="separate"/>
            </w:r>
            <w:r w:rsidR="0006100D">
              <w:rPr>
                <w:sz w:val="28"/>
                <w:szCs w:val="28"/>
              </w:rPr>
              <w:t>2</w:t>
            </w:r>
            <w:r w:rsidR="0006100D">
              <w:rPr>
                <w:sz w:val="28"/>
                <w:szCs w:val="28"/>
              </w:rPr>
              <w:fldChar w:fldCharType="end"/>
            </w:r>
          </w:hyperlink>
        </w:p>
        <w:p w:rsidR="00B70354" w:rsidRDefault="00690515">
          <w:pPr>
            <w:pStyle w:val="20"/>
            <w:tabs>
              <w:tab w:val="right" w:leader="dot" w:pos="8721"/>
            </w:tabs>
            <w:ind w:left="664" w:firstLineChars="0" w:firstLine="0"/>
            <w:rPr>
              <w:rFonts w:asciiTheme="minorHAnsi" w:eastAsiaTheme="minorEastAsia" w:hAnsiTheme="minorHAnsi" w:cstheme="minorBidi"/>
              <w:snapToGrid/>
              <w:color w:val="auto"/>
              <w:spacing w:val="0"/>
              <w:kern w:val="2"/>
              <w:sz w:val="21"/>
              <w:szCs w:val="22"/>
              <w14:ligatures w14:val="standardContextual"/>
            </w:rPr>
          </w:pPr>
          <w:hyperlink w:anchor="_Toc233728793" w:history="1">
            <w:r w:rsidR="0006100D">
              <w:rPr>
                <w:rStyle w:val="aa"/>
                <w:sz w:val="28"/>
                <w:szCs w:val="28"/>
              </w:rPr>
              <w:t>（三）绩效目标</w:t>
            </w:r>
            <w:r w:rsidR="0006100D">
              <w:rPr>
                <w:sz w:val="28"/>
                <w:szCs w:val="28"/>
              </w:rPr>
              <w:tab/>
            </w:r>
            <w:r w:rsidR="0006100D">
              <w:rPr>
                <w:sz w:val="28"/>
                <w:szCs w:val="28"/>
              </w:rPr>
              <w:fldChar w:fldCharType="begin"/>
            </w:r>
            <w:r w:rsidR="0006100D">
              <w:rPr>
                <w:sz w:val="28"/>
                <w:szCs w:val="28"/>
              </w:rPr>
              <w:instrText xml:space="preserve"> PAGEREF _Toc233728793 \h </w:instrText>
            </w:r>
            <w:r w:rsidR="0006100D">
              <w:rPr>
                <w:sz w:val="28"/>
                <w:szCs w:val="28"/>
              </w:rPr>
            </w:r>
            <w:r w:rsidR="0006100D">
              <w:rPr>
                <w:sz w:val="28"/>
                <w:szCs w:val="28"/>
              </w:rPr>
              <w:fldChar w:fldCharType="separate"/>
            </w:r>
            <w:r w:rsidR="0006100D">
              <w:rPr>
                <w:sz w:val="28"/>
                <w:szCs w:val="28"/>
              </w:rPr>
              <w:t>4</w:t>
            </w:r>
            <w:r w:rsidR="0006100D">
              <w:rPr>
                <w:sz w:val="28"/>
                <w:szCs w:val="28"/>
              </w:rPr>
              <w:fldChar w:fldCharType="end"/>
            </w:r>
          </w:hyperlink>
        </w:p>
        <w:p w:rsidR="00B70354" w:rsidRDefault="00690515">
          <w:pPr>
            <w:pStyle w:val="10"/>
            <w:tabs>
              <w:tab w:val="right" w:leader="dot" w:pos="8721"/>
            </w:tabs>
            <w:ind w:firstLineChars="0" w:firstLine="0"/>
            <w:rPr>
              <w:rFonts w:asciiTheme="minorHAnsi" w:eastAsiaTheme="minorEastAsia" w:hAnsiTheme="minorHAnsi" w:cstheme="minorBidi"/>
              <w:snapToGrid/>
              <w:color w:val="auto"/>
              <w:spacing w:val="0"/>
              <w:kern w:val="2"/>
              <w:sz w:val="21"/>
              <w:szCs w:val="22"/>
              <w14:ligatures w14:val="standardContextual"/>
            </w:rPr>
          </w:pPr>
          <w:hyperlink w:anchor="_Toc233728794" w:history="1">
            <w:r w:rsidR="0006100D">
              <w:rPr>
                <w:rStyle w:val="aa"/>
                <w:sz w:val="28"/>
                <w:szCs w:val="28"/>
              </w:rPr>
              <w:t>二、评价结论</w:t>
            </w:r>
            <w:r w:rsidR="0006100D">
              <w:rPr>
                <w:sz w:val="28"/>
                <w:szCs w:val="28"/>
              </w:rPr>
              <w:tab/>
            </w:r>
            <w:r w:rsidR="0006100D">
              <w:rPr>
                <w:sz w:val="28"/>
                <w:szCs w:val="28"/>
              </w:rPr>
              <w:fldChar w:fldCharType="begin"/>
            </w:r>
            <w:r w:rsidR="0006100D">
              <w:rPr>
                <w:sz w:val="28"/>
                <w:szCs w:val="28"/>
              </w:rPr>
              <w:instrText xml:space="preserve"> PAGEREF _Toc233728794 \h </w:instrText>
            </w:r>
            <w:r w:rsidR="0006100D">
              <w:rPr>
                <w:sz w:val="28"/>
                <w:szCs w:val="28"/>
              </w:rPr>
            </w:r>
            <w:r w:rsidR="0006100D">
              <w:rPr>
                <w:sz w:val="28"/>
                <w:szCs w:val="28"/>
              </w:rPr>
              <w:fldChar w:fldCharType="separate"/>
            </w:r>
            <w:r w:rsidR="0006100D">
              <w:rPr>
                <w:sz w:val="28"/>
                <w:szCs w:val="28"/>
              </w:rPr>
              <w:t>5</w:t>
            </w:r>
            <w:r w:rsidR="0006100D">
              <w:rPr>
                <w:sz w:val="28"/>
                <w:szCs w:val="28"/>
              </w:rPr>
              <w:fldChar w:fldCharType="end"/>
            </w:r>
          </w:hyperlink>
        </w:p>
        <w:p w:rsidR="00B70354" w:rsidRDefault="00690515">
          <w:pPr>
            <w:pStyle w:val="10"/>
            <w:tabs>
              <w:tab w:val="right" w:leader="dot" w:pos="8721"/>
            </w:tabs>
            <w:ind w:firstLineChars="0" w:firstLine="0"/>
            <w:rPr>
              <w:rFonts w:asciiTheme="minorHAnsi" w:eastAsiaTheme="minorEastAsia" w:hAnsiTheme="minorHAnsi" w:cstheme="minorBidi"/>
              <w:snapToGrid/>
              <w:color w:val="auto"/>
              <w:spacing w:val="0"/>
              <w:kern w:val="2"/>
              <w:sz w:val="21"/>
              <w:szCs w:val="22"/>
              <w14:ligatures w14:val="standardContextual"/>
            </w:rPr>
          </w:pPr>
          <w:hyperlink w:anchor="_Toc233728795" w:history="1">
            <w:r w:rsidR="0006100D">
              <w:rPr>
                <w:rStyle w:val="aa"/>
                <w:sz w:val="28"/>
                <w:szCs w:val="28"/>
              </w:rPr>
              <w:t>三、项目成效</w:t>
            </w:r>
            <w:r w:rsidR="0006100D">
              <w:rPr>
                <w:sz w:val="28"/>
                <w:szCs w:val="28"/>
              </w:rPr>
              <w:tab/>
            </w:r>
            <w:r w:rsidR="0006100D">
              <w:rPr>
                <w:sz w:val="28"/>
                <w:szCs w:val="28"/>
              </w:rPr>
              <w:fldChar w:fldCharType="begin"/>
            </w:r>
            <w:r w:rsidR="0006100D">
              <w:rPr>
                <w:sz w:val="28"/>
                <w:szCs w:val="28"/>
              </w:rPr>
              <w:instrText xml:space="preserve"> PAGEREF _Toc233728795 \h </w:instrText>
            </w:r>
            <w:r w:rsidR="0006100D">
              <w:rPr>
                <w:sz w:val="28"/>
                <w:szCs w:val="28"/>
              </w:rPr>
            </w:r>
            <w:r w:rsidR="0006100D">
              <w:rPr>
                <w:sz w:val="28"/>
                <w:szCs w:val="28"/>
              </w:rPr>
              <w:fldChar w:fldCharType="separate"/>
            </w:r>
            <w:r w:rsidR="0006100D">
              <w:rPr>
                <w:sz w:val="28"/>
                <w:szCs w:val="28"/>
              </w:rPr>
              <w:t>7</w:t>
            </w:r>
            <w:r w:rsidR="0006100D">
              <w:rPr>
                <w:sz w:val="28"/>
                <w:szCs w:val="28"/>
              </w:rPr>
              <w:fldChar w:fldCharType="end"/>
            </w:r>
          </w:hyperlink>
        </w:p>
        <w:p w:rsidR="00B70354" w:rsidRDefault="00690515">
          <w:pPr>
            <w:pStyle w:val="20"/>
            <w:tabs>
              <w:tab w:val="right" w:leader="dot" w:pos="8721"/>
            </w:tabs>
            <w:ind w:left="664" w:firstLineChars="0" w:firstLine="0"/>
            <w:rPr>
              <w:rFonts w:asciiTheme="minorHAnsi" w:eastAsiaTheme="minorEastAsia" w:hAnsiTheme="minorHAnsi" w:cstheme="minorBidi"/>
              <w:snapToGrid/>
              <w:color w:val="auto"/>
              <w:spacing w:val="0"/>
              <w:kern w:val="2"/>
              <w:sz w:val="21"/>
              <w:szCs w:val="22"/>
              <w14:ligatures w14:val="standardContextual"/>
            </w:rPr>
          </w:pPr>
          <w:hyperlink w:anchor="_Toc233728796" w:history="1">
            <w:r w:rsidR="0006100D">
              <w:rPr>
                <w:rStyle w:val="aa"/>
                <w:sz w:val="28"/>
                <w:szCs w:val="28"/>
              </w:rPr>
              <w:t>（一）项目实施情况</w:t>
            </w:r>
            <w:r w:rsidR="0006100D">
              <w:rPr>
                <w:sz w:val="28"/>
                <w:szCs w:val="28"/>
              </w:rPr>
              <w:tab/>
            </w:r>
            <w:r w:rsidR="0006100D">
              <w:rPr>
                <w:sz w:val="28"/>
                <w:szCs w:val="28"/>
              </w:rPr>
              <w:fldChar w:fldCharType="begin"/>
            </w:r>
            <w:r w:rsidR="0006100D">
              <w:rPr>
                <w:sz w:val="28"/>
                <w:szCs w:val="28"/>
              </w:rPr>
              <w:instrText xml:space="preserve"> PAGEREF _Toc233728796 \h </w:instrText>
            </w:r>
            <w:r w:rsidR="0006100D">
              <w:rPr>
                <w:sz w:val="28"/>
                <w:szCs w:val="28"/>
              </w:rPr>
            </w:r>
            <w:r w:rsidR="0006100D">
              <w:rPr>
                <w:sz w:val="28"/>
                <w:szCs w:val="28"/>
              </w:rPr>
              <w:fldChar w:fldCharType="separate"/>
            </w:r>
            <w:r w:rsidR="0006100D">
              <w:rPr>
                <w:sz w:val="28"/>
                <w:szCs w:val="28"/>
              </w:rPr>
              <w:t>7</w:t>
            </w:r>
            <w:r w:rsidR="0006100D">
              <w:rPr>
                <w:sz w:val="28"/>
                <w:szCs w:val="28"/>
              </w:rPr>
              <w:fldChar w:fldCharType="end"/>
            </w:r>
          </w:hyperlink>
        </w:p>
        <w:p w:rsidR="00B70354" w:rsidRDefault="00690515">
          <w:pPr>
            <w:pStyle w:val="20"/>
            <w:tabs>
              <w:tab w:val="right" w:leader="dot" w:pos="8721"/>
            </w:tabs>
            <w:ind w:left="664" w:firstLineChars="0" w:firstLine="0"/>
            <w:rPr>
              <w:rFonts w:asciiTheme="minorHAnsi" w:eastAsiaTheme="minorEastAsia" w:hAnsiTheme="minorHAnsi" w:cstheme="minorBidi"/>
              <w:snapToGrid/>
              <w:color w:val="auto"/>
              <w:spacing w:val="0"/>
              <w:kern w:val="2"/>
              <w:sz w:val="21"/>
              <w:szCs w:val="22"/>
              <w14:ligatures w14:val="standardContextual"/>
            </w:rPr>
          </w:pPr>
          <w:hyperlink w:anchor="_Toc233728797" w:history="1">
            <w:r w:rsidR="0006100D">
              <w:rPr>
                <w:rStyle w:val="aa"/>
                <w:sz w:val="28"/>
                <w:szCs w:val="28"/>
              </w:rPr>
              <w:t>（二）主要成效</w:t>
            </w:r>
            <w:r w:rsidR="0006100D">
              <w:rPr>
                <w:sz w:val="28"/>
                <w:szCs w:val="28"/>
              </w:rPr>
              <w:tab/>
            </w:r>
            <w:r w:rsidR="0006100D">
              <w:rPr>
                <w:sz w:val="28"/>
                <w:szCs w:val="28"/>
              </w:rPr>
              <w:fldChar w:fldCharType="begin"/>
            </w:r>
            <w:r w:rsidR="0006100D">
              <w:rPr>
                <w:sz w:val="28"/>
                <w:szCs w:val="28"/>
              </w:rPr>
              <w:instrText xml:space="preserve"> PAGEREF _Toc233728797 \h </w:instrText>
            </w:r>
            <w:r w:rsidR="0006100D">
              <w:rPr>
                <w:sz w:val="28"/>
                <w:szCs w:val="28"/>
              </w:rPr>
            </w:r>
            <w:r w:rsidR="0006100D">
              <w:rPr>
                <w:sz w:val="28"/>
                <w:szCs w:val="28"/>
              </w:rPr>
              <w:fldChar w:fldCharType="separate"/>
            </w:r>
            <w:r w:rsidR="0006100D">
              <w:rPr>
                <w:sz w:val="28"/>
                <w:szCs w:val="28"/>
              </w:rPr>
              <w:t>9</w:t>
            </w:r>
            <w:r w:rsidR="0006100D">
              <w:rPr>
                <w:sz w:val="28"/>
                <w:szCs w:val="28"/>
              </w:rPr>
              <w:fldChar w:fldCharType="end"/>
            </w:r>
          </w:hyperlink>
        </w:p>
        <w:p w:rsidR="00B70354" w:rsidRDefault="00690515">
          <w:pPr>
            <w:pStyle w:val="10"/>
            <w:tabs>
              <w:tab w:val="right" w:leader="dot" w:pos="8721"/>
            </w:tabs>
            <w:ind w:firstLineChars="0" w:firstLine="0"/>
            <w:rPr>
              <w:rFonts w:asciiTheme="minorHAnsi" w:eastAsiaTheme="minorEastAsia" w:hAnsiTheme="minorHAnsi" w:cstheme="minorBidi"/>
              <w:snapToGrid/>
              <w:color w:val="auto"/>
              <w:spacing w:val="0"/>
              <w:kern w:val="2"/>
              <w:sz w:val="21"/>
              <w:szCs w:val="22"/>
              <w14:ligatures w14:val="standardContextual"/>
            </w:rPr>
          </w:pPr>
          <w:hyperlink w:anchor="_Toc233728798" w:history="1">
            <w:r w:rsidR="0006100D">
              <w:rPr>
                <w:rStyle w:val="aa"/>
                <w:sz w:val="28"/>
                <w:szCs w:val="28"/>
              </w:rPr>
              <w:t>四、存在问题及原因分析</w:t>
            </w:r>
            <w:r w:rsidR="0006100D">
              <w:rPr>
                <w:sz w:val="28"/>
                <w:szCs w:val="28"/>
              </w:rPr>
              <w:tab/>
            </w:r>
            <w:r w:rsidR="0006100D">
              <w:rPr>
                <w:sz w:val="28"/>
                <w:szCs w:val="28"/>
              </w:rPr>
              <w:fldChar w:fldCharType="begin"/>
            </w:r>
            <w:r w:rsidR="0006100D">
              <w:rPr>
                <w:sz w:val="28"/>
                <w:szCs w:val="28"/>
              </w:rPr>
              <w:instrText xml:space="preserve"> PAGEREF _Toc233728798 \h </w:instrText>
            </w:r>
            <w:r w:rsidR="0006100D">
              <w:rPr>
                <w:sz w:val="28"/>
                <w:szCs w:val="28"/>
              </w:rPr>
            </w:r>
            <w:r w:rsidR="0006100D">
              <w:rPr>
                <w:sz w:val="28"/>
                <w:szCs w:val="28"/>
              </w:rPr>
              <w:fldChar w:fldCharType="separate"/>
            </w:r>
            <w:r w:rsidR="0006100D">
              <w:rPr>
                <w:sz w:val="28"/>
                <w:szCs w:val="28"/>
              </w:rPr>
              <w:t>11</w:t>
            </w:r>
            <w:r w:rsidR="0006100D">
              <w:rPr>
                <w:sz w:val="28"/>
                <w:szCs w:val="28"/>
              </w:rPr>
              <w:fldChar w:fldCharType="end"/>
            </w:r>
          </w:hyperlink>
        </w:p>
        <w:p w:rsidR="00B70354" w:rsidRDefault="00690515">
          <w:pPr>
            <w:pStyle w:val="10"/>
            <w:tabs>
              <w:tab w:val="right" w:leader="dot" w:pos="8721"/>
            </w:tabs>
            <w:ind w:firstLineChars="0" w:firstLine="0"/>
            <w:rPr>
              <w:rFonts w:asciiTheme="minorHAnsi" w:eastAsiaTheme="minorEastAsia" w:hAnsiTheme="minorHAnsi" w:cstheme="minorBidi"/>
              <w:snapToGrid/>
              <w:color w:val="auto"/>
              <w:spacing w:val="0"/>
              <w:kern w:val="2"/>
              <w:sz w:val="21"/>
              <w:szCs w:val="22"/>
              <w14:ligatures w14:val="standardContextual"/>
            </w:rPr>
          </w:pPr>
          <w:hyperlink w:anchor="_Toc233728799" w:history="1">
            <w:r w:rsidR="0006100D">
              <w:rPr>
                <w:rStyle w:val="aa"/>
                <w:sz w:val="28"/>
                <w:szCs w:val="28"/>
              </w:rPr>
              <w:t>五、有关建议</w:t>
            </w:r>
            <w:r w:rsidR="0006100D">
              <w:rPr>
                <w:sz w:val="28"/>
                <w:szCs w:val="28"/>
              </w:rPr>
              <w:tab/>
            </w:r>
            <w:r w:rsidR="0006100D">
              <w:rPr>
                <w:sz w:val="28"/>
                <w:szCs w:val="28"/>
              </w:rPr>
              <w:fldChar w:fldCharType="begin"/>
            </w:r>
            <w:r w:rsidR="0006100D">
              <w:rPr>
                <w:sz w:val="28"/>
                <w:szCs w:val="28"/>
              </w:rPr>
              <w:instrText xml:space="preserve"> PAGEREF _Toc233728799 \h </w:instrText>
            </w:r>
            <w:r w:rsidR="0006100D">
              <w:rPr>
                <w:sz w:val="28"/>
                <w:szCs w:val="28"/>
              </w:rPr>
            </w:r>
            <w:r w:rsidR="0006100D">
              <w:rPr>
                <w:sz w:val="28"/>
                <w:szCs w:val="28"/>
              </w:rPr>
              <w:fldChar w:fldCharType="separate"/>
            </w:r>
            <w:r w:rsidR="0006100D">
              <w:rPr>
                <w:sz w:val="28"/>
                <w:szCs w:val="28"/>
              </w:rPr>
              <w:t>11</w:t>
            </w:r>
            <w:r w:rsidR="0006100D">
              <w:rPr>
                <w:sz w:val="28"/>
                <w:szCs w:val="28"/>
              </w:rPr>
              <w:fldChar w:fldCharType="end"/>
            </w:r>
          </w:hyperlink>
        </w:p>
        <w:p w:rsidR="00B70354" w:rsidRDefault="00690515">
          <w:pPr>
            <w:pStyle w:val="10"/>
            <w:tabs>
              <w:tab w:val="right" w:leader="dot" w:pos="8721"/>
            </w:tabs>
            <w:ind w:firstLineChars="0" w:firstLine="0"/>
            <w:rPr>
              <w:rFonts w:asciiTheme="minorHAnsi" w:eastAsiaTheme="minorEastAsia" w:hAnsiTheme="minorHAnsi" w:cstheme="minorBidi"/>
              <w:snapToGrid/>
              <w:color w:val="auto"/>
              <w:spacing w:val="0"/>
              <w:kern w:val="2"/>
              <w:sz w:val="21"/>
              <w:szCs w:val="22"/>
              <w14:ligatures w14:val="standardContextual"/>
            </w:rPr>
          </w:pPr>
          <w:hyperlink w:anchor="_Toc233728800" w:history="1">
            <w:r w:rsidR="0006100D">
              <w:rPr>
                <w:rStyle w:val="aa"/>
                <w:sz w:val="28"/>
                <w:szCs w:val="28"/>
              </w:rPr>
              <w:t>六、评价工作开展情况及其他需说明的情况</w:t>
            </w:r>
            <w:r w:rsidR="0006100D">
              <w:rPr>
                <w:sz w:val="28"/>
                <w:szCs w:val="28"/>
              </w:rPr>
              <w:tab/>
            </w:r>
            <w:r w:rsidR="0006100D">
              <w:rPr>
                <w:sz w:val="28"/>
                <w:szCs w:val="28"/>
              </w:rPr>
              <w:fldChar w:fldCharType="begin"/>
            </w:r>
            <w:r w:rsidR="0006100D">
              <w:rPr>
                <w:sz w:val="28"/>
                <w:szCs w:val="28"/>
              </w:rPr>
              <w:instrText xml:space="preserve"> PAGEREF _Toc233728800 \h </w:instrText>
            </w:r>
            <w:r w:rsidR="0006100D">
              <w:rPr>
                <w:sz w:val="28"/>
                <w:szCs w:val="28"/>
              </w:rPr>
            </w:r>
            <w:r w:rsidR="0006100D">
              <w:rPr>
                <w:sz w:val="28"/>
                <w:szCs w:val="28"/>
              </w:rPr>
              <w:fldChar w:fldCharType="separate"/>
            </w:r>
            <w:r w:rsidR="0006100D">
              <w:rPr>
                <w:sz w:val="28"/>
                <w:szCs w:val="28"/>
              </w:rPr>
              <w:t>12</w:t>
            </w:r>
            <w:r w:rsidR="0006100D">
              <w:rPr>
                <w:sz w:val="28"/>
                <w:szCs w:val="28"/>
              </w:rPr>
              <w:fldChar w:fldCharType="end"/>
            </w:r>
          </w:hyperlink>
        </w:p>
        <w:p w:rsidR="00B70354" w:rsidRDefault="00690515">
          <w:pPr>
            <w:pStyle w:val="20"/>
            <w:tabs>
              <w:tab w:val="right" w:leader="dot" w:pos="8721"/>
            </w:tabs>
            <w:ind w:left="664" w:firstLineChars="0" w:firstLine="0"/>
            <w:rPr>
              <w:rFonts w:asciiTheme="minorHAnsi" w:eastAsiaTheme="minorEastAsia" w:hAnsiTheme="minorHAnsi" w:cstheme="minorBidi"/>
              <w:snapToGrid/>
              <w:color w:val="auto"/>
              <w:spacing w:val="0"/>
              <w:kern w:val="2"/>
              <w:sz w:val="21"/>
              <w:szCs w:val="22"/>
              <w14:ligatures w14:val="standardContextual"/>
            </w:rPr>
          </w:pPr>
          <w:hyperlink w:anchor="_Toc233728801" w:history="1">
            <w:r w:rsidR="0006100D">
              <w:rPr>
                <w:rStyle w:val="aa"/>
                <w:sz w:val="28"/>
                <w:szCs w:val="28"/>
              </w:rPr>
              <w:t>（一）评价原则</w:t>
            </w:r>
            <w:r w:rsidR="0006100D">
              <w:rPr>
                <w:sz w:val="28"/>
                <w:szCs w:val="28"/>
              </w:rPr>
              <w:tab/>
            </w:r>
            <w:r w:rsidR="0006100D">
              <w:rPr>
                <w:sz w:val="28"/>
                <w:szCs w:val="28"/>
              </w:rPr>
              <w:fldChar w:fldCharType="begin"/>
            </w:r>
            <w:r w:rsidR="0006100D">
              <w:rPr>
                <w:sz w:val="28"/>
                <w:szCs w:val="28"/>
              </w:rPr>
              <w:instrText xml:space="preserve"> PAGEREF _Toc233728801 \h </w:instrText>
            </w:r>
            <w:r w:rsidR="0006100D">
              <w:rPr>
                <w:sz w:val="28"/>
                <w:szCs w:val="28"/>
              </w:rPr>
            </w:r>
            <w:r w:rsidR="0006100D">
              <w:rPr>
                <w:sz w:val="28"/>
                <w:szCs w:val="28"/>
              </w:rPr>
              <w:fldChar w:fldCharType="separate"/>
            </w:r>
            <w:r w:rsidR="0006100D">
              <w:rPr>
                <w:sz w:val="28"/>
                <w:szCs w:val="28"/>
              </w:rPr>
              <w:t>12</w:t>
            </w:r>
            <w:r w:rsidR="0006100D">
              <w:rPr>
                <w:sz w:val="28"/>
                <w:szCs w:val="28"/>
              </w:rPr>
              <w:fldChar w:fldCharType="end"/>
            </w:r>
          </w:hyperlink>
        </w:p>
        <w:p w:rsidR="00B70354" w:rsidRDefault="00690515">
          <w:pPr>
            <w:pStyle w:val="20"/>
            <w:tabs>
              <w:tab w:val="right" w:leader="dot" w:pos="8721"/>
            </w:tabs>
            <w:ind w:left="664" w:firstLineChars="0" w:firstLine="0"/>
            <w:rPr>
              <w:rFonts w:asciiTheme="minorHAnsi" w:eastAsiaTheme="minorEastAsia" w:hAnsiTheme="minorHAnsi" w:cstheme="minorBidi"/>
              <w:snapToGrid/>
              <w:color w:val="auto"/>
              <w:spacing w:val="0"/>
              <w:kern w:val="2"/>
              <w:sz w:val="21"/>
              <w:szCs w:val="22"/>
              <w14:ligatures w14:val="standardContextual"/>
            </w:rPr>
          </w:pPr>
          <w:hyperlink w:anchor="_Toc233728802" w:history="1">
            <w:r w:rsidR="0006100D">
              <w:rPr>
                <w:rStyle w:val="aa"/>
                <w:sz w:val="28"/>
                <w:szCs w:val="28"/>
              </w:rPr>
              <w:t>（二）评价方法</w:t>
            </w:r>
            <w:r w:rsidR="0006100D">
              <w:rPr>
                <w:sz w:val="28"/>
                <w:szCs w:val="28"/>
              </w:rPr>
              <w:tab/>
            </w:r>
            <w:r w:rsidR="0006100D">
              <w:rPr>
                <w:sz w:val="28"/>
                <w:szCs w:val="28"/>
              </w:rPr>
              <w:fldChar w:fldCharType="begin"/>
            </w:r>
            <w:r w:rsidR="0006100D">
              <w:rPr>
                <w:sz w:val="28"/>
                <w:szCs w:val="28"/>
              </w:rPr>
              <w:instrText xml:space="preserve"> PAGEREF _Toc233728802 \h </w:instrText>
            </w:r>
            <w:r w:rsidR="0006100D">
              <w:rPr>
                <w:sz w:val="28"/>
                <w:szCs w:val="28"/>
              </w:rPr>
            </w:r>
            <w:r w:rsidR="0006100D">
              <w:rPr>
                <w:sz w:val="28"/>
                <w:szCs w:val="28"/>
              </w:rPr>
              <w:fldChar w:fldCharType="separate"/>
            </w:r>
            <w:r w:rsidR="0006100D">
              <w:rPr>
                <w:sz w:val="28"/>
                <w:szCs w:val="28"/>
              </w:rPr>
              <w:t>12</w:t>
            </w:r>
            <w:r w:rsidR="0006100D">
              <w:rPr>
                <w:sz w:val="28"/>
                <w:szCs w:val="28"/>
              </w:rPr>
              <w:fldChar w:fldCharType="end"/>
            </w:r>
          </w:hyperlink>
        </w:p>
        <w:p w:rsidR="00B70354" w:rsidRDefault="00690515">
          <w:pPr>
            <w:pStyle w:val="20"/>
            <w:tabs>
              <w:tab w:val="right" w:leader="dot" w:pos="8721"/>
            </w:tabs>
            <w:ind w:left="664" w:firstLineChars="0" w:firstLine="0"/>
            <w:rPr>
              <w:rFonts w:asciiTheme="minorHAnsi" w:eastAsiaTheme="minorEastAsia" w:hAnsiTheme="minorHAnsi" w:cstheme="minorBidi"/>
              <w:snapToGrid/>
              <w:color w:val="auto"/>
              <w:spacing w:val="0"/>
              <w:kern w:val="2"/>
              <w:sz w:val="22"/>
              <w:szCs w:val="24"/>
              <w14:ligatures w14:val="standardContextual"/>
            </w:rPr>
          </w:pPr>
          <w:hyperlink w:anchor="_Toc233728803" w:history="1">
            <w:r w:rsidR="0006100D">
              <w:rPr>
                <w:rStyle w:val="aa"/>
                <w:sz w:val="28"/>
                <w:szCs w:val="28"/>
              </w:rPr>
              <w:t>（三）评价组织实施</w:t>
            </w:r>
            <w:r w:rsidR="0006100D">
              <w:rPr>
                <w:sz w:val="28"/>
                <w:szCs w:val="28"/>
              </w:rPr>
              <w:tab/>
            </w:r>
            <w:r w:rsidR="0006100D">
              <w:rPr>
                <w:sz w:val="28"/>
                <w:szCs w:val="28"/>
              </w:rPr>
              <w:fldChar w:fldCharType="begin"/>
            </w:r>
            <w:r w:rsidR="0006100D">
              <w:rPr>
                <w:sz w:val="28"/>
                <w:szCs w:val="28"/>
              </w:rPr>
              <w:instrText xml:space="preserve"> PAGEREF _Toc233728803 \h </w:instrText>
            </w:r>
            <w:r w:rsidR="0006100D">
              <w:rPr>
                <w:sz w:val="28"/>
                <w:szCs w:val="28"/>
              </w:rPr>
            </w:r>
            <w:r w:rsidR="0006100D">
              <w:rPr>
                <w:sz w:val="28"/>
                <w:szCs w:val="28"/>
              </w:rPr>
              <w:fldChar w:fldCharType="separate"/>
            </w:r>
            <w:r w:rsidR="0006100D">
              <w:rPr>
                <w:sz w:val="28"/>
                <w:szCs w:val="28"/>
              </w:rPr>
              <w:t>12</w:t>
            </w:r>
            <w:r w:rsidR="0006100D">
              <w:rPr>
                <w:sz w:val="28"/>
                <w:szCs w:val="28"/>
              </w:rPr>
              <w:fldChar w:fldCharType="end"/>
            </w:r>
          </w:hyperlink>
        </w:p>
        <w:p w:rsidR="00B70354" w:rsidRDefault="0006100D">
          <w:pPr>
            <w:ind w:firstLine="643"/>
          </w:pPr>
          <w:r>
            <w:rPr>
              <w:b/>
              <w:bCs/>
              <w:lang w:val="zh-CN"/>
            </w:rPr>
            <w:fldChar w:fldCharType="end"/>
          </w:r>
        </w:p>
      </w:sdtContent>
    </w:sdt>
    <w:p w:rsidR="00B70354" w:rsidRDefault="00B70354">
      <w:pPr>
        <w:autoSpaceDE/>
        <w:autoSpaceDN/>
        <w:adjustRightInd/>
        <w:snapToGrid/>
        <w:spacing w:line="240" w:lineRule="auto"/>
        <w:ind w:firstLineChars="0" w:firstLine="0"/>
        <w:textAlignment w:val="auto"/>
      </w:pPr>
    </w:p>
    <w:p w:rsidR="00B70354" w:rsidRDefault="00B70354">
      <w:pPr>
        <w:autoSpaceDE/>
        <w:autoSpaceDN/>
        <w:adjustRightInd/>
        <w:snapToGrid/>
        <w:spacing w:line="240" w:lineRule="auto"/>
        <w:ind w:firstLineChars="0" w:firstLine="0"/>
        <w:textAlignment w:val="auto"/>
      </w:pPr>
    </w:p>
    <w:p w:rsidR="00B70354" w:rsidRDefault="00B70354">
      <w:pPr>
        <w:autoSpaceDE/>
        <w:autoSpaceDN/>
        <w:adjustRightInd/>
        <w:snapToGrid/>
        <w:spacing w:line="240" w:lineRule="auto"/>
        <w:ind w:firstLineChars="0" w:firstLine="0"/>
        <w:textAlignment w:val="auto"/>
        <w:sectPr w:rsidR="00B70354">
          <w:headerReference w:type="even" r:id="rId8"/>
          <w:headerReference w:type="default" r:id="rId9"/>
          <w:footerReference w:type="even" r:id="rId10"/>
          <w:footerReference w:type="default" r:id="rId11"/>
          <w:headerReference w:type="first" r:id="rId12"/>
          <w:footerReference w:type="first" r:id="rId13"/>
          <w:pgSz w:w="11907" w:h="16839"/>
          <w:pgMar w:top="1588" w:right="1588" w:bottom="1701" w:left="1588" w:header="885" w:footer="1213" w:gutter="0"/>
          <w:pgNumType w:start="1"/>
          <w:cols w:space="720"/>
          <w:docGrid w:type="lines" w:linePitch="312"/>
        </w:sectPr>
      </w:pPr>
    </w:p>
    <w:p w:rsidR="00B70354" w:rsidRDefault="0006100D">
      <w:pPr>
        <w:pStyle w:val="a7"/>
        <w:spacing w:before="240" w:afterLines="100" w:after="312"/>
        <w:ind w:left="0"/>
      </w:pPr>
      <w:r>
        <w:lastRenderedPageBreak/>
        <w:t>2025年度南京市水稻生态补偿绩效评价报告</w:t>
      </w:r>
    </w:p>
    <w:p w:rsidR="00B70354" w:rsidRDefault="0006100D">
      <w:pPr>
        <w:pStyle w:val="1"/>
        <w:ind w:firstLine="660"/>
      </w:pPr>
      <w:bookmarkStart w:id="0" w:name="_Toc233671901"/>
      <w:bookmarkStart w:id="1" w:name="_Toc233728790"/>
      <w:r>
        <w:rPr>
          <w:spacing w:val="10"/>
        </w:rPr>
        <w:t>一</w:t>
      </w:r>
      <w:r>
        <w:t>、</w:t>
      </w:r>
      <w:bookmarkEnd w:id="0"/>
      <w:r>
        <w:rPr>
          <w:rFonts w:hint="eastAsia"/>
        </w:rPr>
        <w:t>专项资金概况</w:t>
      </w:r>
      <w:bookmarkEnd w:id="1"/>
    </w:p>
    <w:p w:rsidR="00B70354" w:rsidRDefault="0006100D">
      <w:pPr>
        <w:pStyle w:val="2"/>
        <w:ind w:firstLine="664"/>
        <w:rPr>
          <w:rFonts w:ascii="Times New Roman" w:hAnsi="Times New Roman" w:cs="Times New Roman"/>
        </w:rPr>
      </w:pPr>
      <w:bookmarkStart w:id="2" w:name="_Toc233671902"/>
      <w:bookmarkStart w:id="3" w:name="_Toc233728791"/>
      <w:r>
        <w:rPr>
          <w:rFonts w:ascii="Times New Roman" w:hAnsi="Times New Roman" w:cs="Times New Roman"/>
        </w:rPr>
        <w:t>（一）</w:t>
      </w:r>
      <w:bookmarkEnd w:id="2"/>
      <w:r>
        <w:rPr>
          <w:rFonts w:ascii="Times New Roman" w:hAnsi="Times New Roman" w:cs="Times New Roman" w:hint="eastAsia"/>
        </w:rPr>
        <w:t>基本情况</w:t>
      </w:r>
      <w:bookmarkEnd w:id="3"/>
    </w:p>
    <w:p w:rsidR="00B70354" w:rsidRDefault="0006100D">
      <w:pPr>
        <w:ind w:firstLine="664"/>
      </w:pPr>
      <w:r>
        <w:rPr>
          <w:rFonts w:hint="eastAsia"/>
        </w:rPr>
        <w:t>1.</w:t>
      </w:r>
      <w:r>
        <w:rPr>
          <w:rFonts w:hint="eastAsia"/>
        </w:rPr>
        <w:t>项目背景及目的</w:t>
      </w:r>
    </w:p>
    <w:p w:rsidR="00B70354" w:rsidRDefault="0006100D">
      <w:pPr>
        <w:ind w:firstLine="664"/>
      </w:pPr>
      <w:r>
        <w:rPr>
          <w:rFonts w:hint="eastAsia"/>
        </w:rPr>
        <w:t>水稻生态补偿是南京市落实生态保护补偿制度的重要组成部分，也是支持粮食生产、改善农业生态环境的重要政策措施。近年来，随着农业生产成本持续上涨、农业绿色发展要求不断提高，水稻种植主体在生产投入、生态保护等方面面临一定压力。实施水稻生态补偿政策，能够充分发挥财政资金的引导作用，支持各区结合实际改善农田基础设施条件，加强农业生态环境保护，推进农业面源污染治理，提高农业绿色发展水平，同时在一定程度上减轻种粮主体生产成本负担，增强农民种粮积极性，为稳定全市粮食生产能力、保障粮食安全和促进农业可持续发展提供有力支撑。</w:t>
      </w:r>
    </w:p>
    <w:p w:rsidR="00B70354" w:rsidRDefault="0006100D">
      <w:pPr>
        <w:ind w:firstLine="664"/>
      </w:pPr>
      <w:r>
        <w:rPr>
          <w:rFonts w:hint="eastAsia"/>
        </w:rPr>
        <w:t>为深入贯彻落实国家、省、市关于保障粮食安全和加强农业生态环境保护的部署要求，进一步健全生态保护补偿机制，稳定水稻种植面积，调动种粮主体积极性，根据南京市农业农村局、南京市财政局《关于下达</w:t>
      </w:r>
      <w:r>
        <w:rPr>
          <w:rFonts w:hint="eastAsia"/>
        </w:rPr>
        <w:t>2025</w:t>
      </w:r>
      <w:r>
        <w:rPr>
          <w:rFonts w:hint="eastAsia"/>
        </w:rPr>
        <w:t>年中央有关资金的通知》（</w:t>
      </w:r>
      <w:proofErr w:type="gramStart"/>
      <w:r>
        <w:rPr>
          <w:rFonts w:hint="eastAsia"/>
        </w:rPr>
        <w:t>宁农计</w:t>
      </w:r>
      <w:proofErr w:type="gramEnd"/>
      <w:r>
        <w:rPr>
          <w:rFonts w:hint="eastAsia"/>
        </w:rPr>
        <w:t>〔</w:t>
      </w:r>
      <w:r>
        <w:rPr>
          <w:rFonts w:hint="eastAsia"/>
        </w:rPr>
        <w:t>2025</w:t>
      </w:r>
      <w:r>
        <w:rPr>
          <w:rFonts w:hint="eastAsia"/>
        </w:rPr>
        <w:t>〕</w:t>
      </w:r>
      <w:r>
        <w:rPr>
          <w:rFonts w:hint="eastAsia"/>
        </w:rPr>
        <w:t>17</w:t>
      </w:r>
      <w:r>
        <w:rPr>
          <w:rFonts w:hint="eastAsia"/>
        </w:rPr>
        <w:t>号）、《关于下达</w:t>
      </w:r>
      <w:r>
        <w:rPr>
          <w:rFonts w:hint="eastAsia"/>
        </w:rPr>
        <w:t>2025</w:t>
      </w:r>
      <w:r>
        <w:rPr>
          <w:rFonts w:hint="eastAsia"/>
        </w:rPr>
        <w:t>年第二批省级现代农业发展补助专项资金的通知》（</w:t>
      </w:r>
      <w:proofErr w:type="gramStart"/>
      <w:r>
        <w:rPr>
          <w:rFonts w:hint="eastAsia"/>
        </w:rPr>
        <w:t>宁农计</w:t>
      </w:r>
      <w:proofErr w:type="gramEnd"/>
      <w:r>
        <w:rPr>
          <w:rFonts w:hint="eastAsia"/>
        </w:rPr>
        <w:t>〔</w:t>
      </w:r>
      <w:r>
        <w:rPr>
          <w:rFonts w:hint="eastAsia"/>
        </w:rPr>
        <w:t>2025</w:t>
      </w:r>
      <w:r>
        <w:rPr>
          <w:rFonts w:hint="eastAsia"/>
        </w:rPr>
        <w:t>〕</w:t>
      </w:r>
      <w:r>
        <w:rPr>
          <w:rFonts w:hint="eastAsia"/>
        </w:rPr>
        <w:t>18</w:t>
      </w:r>
      <w:r>
        <w:rPr>
          <w:rFonts w:hint="eastAsia"/>
        </w:rPr>
        <w:t>号）、《关于下达</w:t>
      </w:r>
      <w:r>
        <w:rPr>
          <w:rFonts w:hint="eastAsia"/>
        </w:rPr>
        <w:t>2025</w:t>
      </w:r>
      <w:r>
        <w:rPr>
          <w:rFonts w:hint="eastAsia"/>
        </w:rPr>
        <w:t>年第二批市级农业专项资金计划的</w:t>
      </w:r>
      <w:r>
        <w:rPr>
          <w:rFonts w:hint="eastAsia"/>
        </w:rPr>
        <w:lastRenderedPageBreak/>
        <w:t>通知》（</w:t>
      </w:r>
      <w:proofErr w:type="gramStart"/>
      <w:r>
        <w:rPr>
          <w:rFonts w:hint="eastAsia"/>
        </w:rPr>
        <w:t>宁农计</w:t>
      </w:r>
      <w:proofErr w:type="gramEnd"/>
      <w:r>
        <w:rPr>
          <w:rFonts w:hint="eastAsia"/>
        </w:rPr>
        <w:t>〔</w:t>
      </w:r>
      <w:r>
        <w:rPr>
          <w:rFonts w:hint="eastAsia"/>
        </w:rPr>
        <w:t>2025</w:t>
      </w:r>
      <w:r>
        <w:rPr>
          <w:rFonts w:hint="eastAsia"/>
        </w:rPr>
        <w:t>〕</w:t>
      </w:r>
      <w:r>
        <w:rPr>
          <w:rFonts w:hint="eastAsia"/>
        </w:rPr>
        <w:t>27</w:t>
      </w:r>
      <w:r>
        <w:rPr>
          <w:rFonts w:hint="eastAsia"/>
        </w:rPr>
        <w:t>号）以及《南京市生态</w:t>
      </w:r>
      <w:r w:rsidR="00F61B38">
        <w:rPr>
          <w:rFonts w:hint="eastAsia"/>
        </w:rPr>
        <w:t>保护</w:t>
      </w:r>
      <w:r>
        <w:rPr>
          <w:rFonts w:hint="eastAsia"/>
        </w:rPr>
        <w:t>补偿办法》等文件要求，南京市组织实施了</w:t>
      </w:r>
      <w:r>
        <w:rPr>
          <w:rFonts w:hint="eastAsia"/>
        </w:rPr>
        <w:t>2025</w:t>
      </w:r>
      <w:r>
        <w:rPr>
          <w:rFonts w:hint="eastAsia"/>
        </w:rPr>
        <w:t>年度水稻生态补偿项目。</w:t>
      </w:r>
    </w:p>
    <w:p w:rsidR="00B70354" w:rsidRDefault="0006100D">
      <w:pPr>
        <w:ind w:firstLine="664"/>
      </w:pPr>
      <w:r>
        <w:rPr>
          <w:rFonts w:hint="eastAsia"/>
        </w:rPr>
        <w:t>2.</w:t>
      </w:r>
      <w:r>
        <w:rPr>
          <w:rFonts w:hint="eastAsia"/>
        </w:rPr>
        <w:t>主要内容</w:t>
      </w:r>
    </w:p>
    <w:p w:rsidR="00B70354" w:rsidRDefault="0006100D">
      <w:pPr>
        <w:ind w:firstLine="664"/>
      </w:pPr>
      <w:r>
        <w:rPr>
          <w:rFonts w:hint="eastAsia"/>
        </w:rPr>
        <w:t>2025</w:t>
      </w:r>
      <w:r>
        <w:rPr>
          <w:rFonts w:hint="eastAsia"/>
        </w:rPr>
        <w:t>年度，南京市农业农村局按照年度资金计划和相关政策要求，组织各区结合辖区实际编制实施方案，明确资金支持方向和建设内容，重点围绕农田基础设施建设、水稻生产环境保护与修复、农业面源污染治理、水稻农业保险补助、土地流转补贴等方面安排资金使用，推动水稻生态补偿政策落到实处，不断提升财政资金使用效益。</w:t>
      </w:r>
    </w:p>
    <w:p w:rsidR="00B70354" w:rsidRDefault="0006100D">
      <w:pPr>
        <w:pStyle w:val="2"/>
        <w:ind w:firstLine="664"/>
        <w:rPr>
          <w:rFonts w:ascii="Times New Roman" w:hAnsi="Times New Roman" w:cs="Times New Roman"/>
        </w:rPr>
      </w:pPr>
      <w:bookmarkStart w:id="4" w:name="_Toc233728792"/>
      <w:r>
        <w:rPr>
          <w:rFonts w:ascii="Times New Roman" w:hAnsi="Times New Roman" w:cs="Times New Roman"/>
        </w:rPr>
        <w:t>（二）</w:t>
      </w:r>
      <w:r>
        <w:rPr>
          <w:rFonts w:ascii="Times New Roman" w:hAnsi="Times New Roman" w:cs="Times New Roman" w:hint="eastAsia"/>
        </w:rPr>
        <w:t>资金情况</w:t>
      </w:r>
      <w:bookmarkEnd w:id="4"/>
    </w:p>
    <w:p w:rsidR="00B70354" w:rsidRDefault="0006100D">
      <w:pPr>
        <w:ind w:firstLine="664"/>
      </w:pPr>
      <w:r>
        <w:rPr>
          <w:rFonts w:hint="eastAsia"/>
        </w:rPr>
        <w:t>依据《关于下达</w:t>
      </w:r>
      <w:r>
        <w:rPr>
          <w:rFonts w:hint="eastAsia"/>
        </w:rPr>
        <w:t>2025</w:t>
      </w:r>
      <w:r>
        <w:rPr>
          <w:rFonts w:hint="eastAsia"/>
        </w:rPr>
        <w:t>年中央有关资金的通知》《关于下达</w:t>
      </w:r>
      <w:r>
        <w:rPr>
          <w:rFonts w:hint="eastAsia"/>
        </w:rPr>
        <w:t>2025</w:t>
      </w:r>
      <w:r>
        <w:rPr>
          <w:rFonts w:hint="eastAsia"/>
        </w:rPr>
        <w:t>年第二批省级现代农业发展补助专项资金的通知》《关于下达</w:t>
      </w:r>
      <w:r>
        <w:rPr>
          <w:rFonts w:hint="eastAsia"/>
        </w:rPr>
        <w:t>2025</w:t>
      </w:r>
      <w:r>
        <w:rPr>
          <w:rFonts w:hint="eastAsia"/>
        </w:rPr>
        <w:t>年第二批市级农业专项资金计划的通知》及《南京市生态</w:t>
      </w:r>
      <w:r w:rsidR="00A05046">
        <w:rPr>
          <w:rFonts w:hint="eastAsia"/>
        </w:rPr>
        <w:t>保护</w:t>
      </w:r>
      <w:r>
        <w:rPr>
          <w:rFonts w:hint="eastAsia"/>
        </w:rPr>
        <w:t>补偿办法》等文件规定，</w:t>
      </w:r>
      <w:r>
        <w:rPr>
          <w:rFonts w:hint="eastAsia"/>
        </w:rPr>
        <w:t>2025</w:t>
      </w:r>
      <w:r>
        <w:rPr>
          <w:rFonts w:hint="eastAsia"/>
        </w:rPr>
        <w:t>年度南京市水稻生态补偿项目主要面向全市实施水稻种植的街镇、村（社区）开展补偿。</w:t>
      </w:r>
    </w:p>
    <w:p w:rsidR="00B70354" w:rsidRDefault="0006100D">
      <w:pPr>
        <w:ind w:firstLine="664"/>
        <w:rPr>
          <w:highlight w:val="yellow"/>
        </w:rPr>
      </w:pPr>
      <w:r>
        <w:rPr>
          <w:rFonts w:hint="eastAsia"/>
        </w:rPr>
        <w:t>1.</w:t>
      </w:r>
      <w:r>
        <w:rPr>
          <w:rFonts w:hint="eastAsia"/>
        </w:rPr>
        <w:t>补偿对象</w:t>
      </w:r>
    </w:p>
    <w:p w:rsidR="00B70354" w:rsidRDefault="0006100D">
      <w:pPr>
        <w:ind w:firstLine="664"/>
      </w:pPr>
      <w:r>
        <w:t>补偿对象为南京市行政区域内实施水稻种植的街镇、村（社区），由各区结合辖区水稻种植实际和资金管理要求，统筹安排补偿资金使用，确保补偿政策覆盖符合条件的实施区域。</w:t>
      </w:r>
    </w:p>
    <w:p w:rsidR="00B70354" w:rsidRDefault="0006100D">
      <w:pPr>
        <w:ind w:firstLine="664"/>
      </w:pPr>
      <w:r>
        <w:rPr>
          <w:rFonts w:hint="eastAsia"/>
        </w:rPr>
        <w:t>2.</w:t>
      </w:r>
      <w:r>
        <w:rPr>
          <w:rFonts w:hint="eastAsia"/>
        </w:rPr>
        <w:t>补偿资金使用情况</w:t>
      </w:r>
    </w:p>
    <w:p w:rsidR="00B70354" w:rsidRDefault="0006100D">
      <w:pPr>
        <w:ind w:firstLine="664"/>
      </w:pPr>
      <w:r>
        <w:lastRenderedPageBreak/>
        <w:t>按照《南京市生态</w:t>
      </w:r>
      <w:r w:rsidR="0054591A">
        <w:t>保护</w:t>
      </w:r>
      <w:bookmarkStart w:id="5" w:name="_GoBack"/>
      <w:bookmarkEnd w:id="5"/>
      <w:r>
        <w:t>补偿办法》及相关管理规定，水稻生态补偿资金主要用于农田基础设施建设、水稻生产环境保护和修复、水稻绿色高质高效发展、农业面源污染治理、水稻农业保险补贴、土地流转补贴等方面。各区根据农业生产实际，合理确定资金投向，突出资金使用重点，兼顾农业生态保护和粮食稳产保供需要，不断改善农业生产条件，提高农业生态环境质量，增强农业综合生产能力。</w:t>
      </w:r>
    </w:p>
    <w:p w:rsidR="00B70354" w:rsidRDefault="0006100D">
      <w:pPr>
        <w:ind w:firstLine="664"/>
      </w:pPr>
      <w:r>
        <w:rPr>
          <w:rFonts w:hint="eastAsia"/>
        </w:rPr>
        <w:t>3.</w:t>
      </w:r>
      <w:r>
        <w:rPr>
          <w:rFonts w:hint="eastAsia"/>
        </w:rPr>
        <w:t>资金管理情况</w:t>
      </w:r>
    </w:p>
    <w:p w:rsidR="00B70354" w:rsidRDefault="0006100D">
      <w:pPr>
        <w:ind w:firstLine="664"/>
        <w:rPr>
          <w:highlight w:val="yellow"/>
        </w:rPr>
      </w:pPr>
      <w:r>
        <w:t>2025</w:t>
      </w:r>
      <w:r>
        <w:t>年，南京市农业农村局安排</w:t>
      </w:r>
      <w:r>
        <w:rPr>
          <w:rFonts w:hint="eastAsia"/>
        </w:rPr>
        <w:t>市级</w:t>
      </w:r>
      <w:r>
        <w:rPr>
          <w:rFonts w:hint="eastAsia"/>
          <w:spacing w:val="1"/>
        </w:rPr>
        <w:t>水稻生态补偿专项资金共计</w:t>
      </w:r>
      <w:r>
        <w:rPr>
          <w:rFonts w:hint="eastAsia"/>
          <w:spacing w:val="1"/>
        </w:rPr>
        <w:t>20161.49</w:t>
      </w:r>
      <w:r>
        <w:rPr>
          <w:spacing w:val="1"/>
        </w:rPr>
        <w:t>万元</w:t>
      </w:r>
      <w:r>
        <w:rPr>
          <w:spacing w:val="-6"/>
        </w:rPr>
        <w:t>，</w:t>
      </w:r>
      <w:r>
        <w:t>2025</w:t>
      </w:r>
      <w:r>
        <w:t>年度</w:t>
      </w:r>
      <w:r>
        <w:rPr>
          <w:rFonts w:hint="eastAsia"/>
        </w:rPr>
        <w:t>市级下达</w:t>
      </w:r>
      <w:r>
        <w:rPr>
          <w:rFonts w:hint="eastAsia"/>
          <w:spacing w:val="1"/>
        </w:rPr>
        <w:t>水稻生态补偿专项资金</w:t>
      </w:r>
      <w:r>
        <w:t>见下表：</w:t>
      </w:r>
    </w:p>
    <w:tbl>
      <w:tblPr>
        <w:tblW w:w="7995"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
        <w:gridCol w:w="3969"/>
        <w:gridCol w:w="2977"/>
      </w:tblGrid>
      <w:tr w:rsidR="00B70354">
        <w:trPr>
          <w:trHeight w:val="1304"/>
          <w:tblHeader/>
        </w:trPr>
        <w:tc>
          <w:tcPr>
            <w:tcW w:w="1049" w:type="dxa"/>
            <w:vAlign w:val="center"/>
          </w:tcPr>
          <w:p w:rsidR="00B70354" w:rsidRDefault="0006100D">
            <w:pPr>
              <w:ind w:firstLineChars="0" w:firstLine="0"/>
              <w:jc w:val="center"/>
              <w:rPr>
                <w:sz w:val="24"/>
                <w:szCs w:val="24"/>
              </w:rPr>
            </w:pPr>
            <w:r>
              <w:rPr>
                <w:sz w:val="24"/>
                <w:szCs w:val="24"/>
              </w:rPr>
              <w:t>序号</w:t>
            </w:r>
          </w:p>
        </w:tc>
        <w:tc>
          <w:tcPr>
            <w:tcW w:w="3969" w:type="dxa"/>
            <w:vAlign w:val="center"/>
          </w:tcPr>
          <w:p w:rsidR="00B70354" w:rsidRDefault="0006100D">
            <w:pPr>
              <w:ind w:firstLineChars="0" w:firstLine="0"/>
              <w:jc w:val="center"/>
              <w:rPr>
                <w:sz w:val="24"/>
                <w:szCs w:val="24"/>
              </w:rPr>
            </w:pPr>
            <w:r>
              <w:rPr>
                <w:rFonts w:hint="eastAsia"/>
                <w:sz w:val="24"/>
                <w:szCs w:val="24"/>
              </w:rPr>
              <w:t>区属</w:t>
            </w:r>
          </w:p>
        </w:tc>
        <w:tc>
          <w:tcPr>
            <w:tcW w:w="2977" w:type="dxa"/>
            <w:vAlign w:val="center"/>
          </w:tcPr>
          <w:p w:rsidR="00B70354" w:rsidRDefault="0006100D">
            <w:pPr>
              <w:ind w:firstLineChars="0" w:firstLine="0"/>
              <w:jc w:val="center"/>
              <w:rPr>
                <w:sz w:val="24"/>
                <w:szCs w:val="24"/>
              </w:rPr>
            </w:pPr>
            <w:r>
              <w:rPr>
                <w:rFonts w:hint="eastAsia"/>
                <w:sz w:val="24"/>
                <w:szCs w:val="24"/>
              </w:rPr>
              <w:t>补贴资金（万元）</w:t>
            </w:r>
          </w:p>
        </w:tc>
      </w:tr>
      <w:tr w:rsidR="00B70354">
        <w:trPr>
          <w:trHeight w:val="850"/>
        </w:trPr>
        <w:tc>
          <w:tcPr>
            <w:tcW w:w="1049" w:type="dxa"/>
            <w:vAlign w:val="center"/>
          </w:tcPr>
          <w:p w:rsidR="00B70354" w:rsidRDefault="0006100D">
            <w:pPr>
              <w:ind w:firstLineChars="0" w:firstLine="0"/>
              <w:jc w:val="center"/>
              <w:rPr>
                <w:sz w:val="24"/>
                <w:szCs w:val="24"/>
              </w:rPr>
            </w:pPr>
            <w:r>
              <w:rPr>
                <w:sz w:val="24"/>
                <w:szCs w:val="24"/>
              </w:rPr>
              <w:t>1</w:t>
            </w:r>
          </w:p>
        </w:tc>
        <w:tc>
          <w:tcPr>
            <w:tcW w:w="3969" w:type="dxa"/>
            <w:vAlign w:val="center"/>
          </w:tcPr>
          <w:p w:rsidR="00B70354" w:rsidRDefault="0006100D">
            <w:pPr>
              <w:ind w:firstLineChars="0" w:firstLine="0"/>
              <w:jc w:val="center"/>
              <w:rPr>
                <w:sz w:val="24"/>
                <w:szCs w:val="24"/>
              </w:rPr>
            </w:pPr>
            <w:r>
              <w:rPr>
                <w:rFonts w:hint="eastAsia"/>
                <w:sz w:val="24"/>
                <w:szCs w:val="24"/>
              </w:rPr>
              <w:t>江北新区</w:t>
            </w:r>
          </w:p>
        </w:tc>
        <w:tc>
          <w:tcPr>
            <w:tcW w:w="2977" w:type="dxa"/>
            <w:vAlign w:val="center"/>
          </w:tcPr>
          <w:p w:rsidR="00B70354" w:rsidRDefault="0006100D">
            <w:pPr>
              <w:ind w:firstLineChars="0" w:firstLine="0"/>
              <w:jc w:val="right"/>
              <w:rPr>
                <w:sz w:val="24"/>
                <w:szCs w:val="24"/>
              </w:rPr>
            </w:pPr>
            <w:r>
              <w:rPr>
                <w:rFonts w:hint="eastAsia"/>
                <w:sz w:val="24"/>
                <w:szCs w:val="24"/>
              </w:rPr>
              <w:t>145.128</w:t>
            </w:r>
          </w:p>
        </w:tc>
      </w:tr>
      <w:tr w:rsidR="00B70354">
        <w:trPr>
          <w:trHeight w:val="850"/>
        </w:trPr>
        <w:tc>
          <w:tcPr>
            <w:tcW w:w="1049" w:type="dxa"/>
            <w:vAlign w:val="center"/>
          </w:tcPr>
          <w:p w:rsidR="00B70354" w:rsidRDefault="0006100D">
            <w:pPr>
              <w:ind w:firstLineChars="0" w:firstLine="0"/>
              <w:jc w:val="center"/>
              <w:rPr>
                <w:sz w:val="24"/>
                <w:szCs w:val="24"/>
              </w:rPr>
            </w:pPr>
            <w:r>
              <w:rPr>
                <w:sz w:val="24"/>
                <w:szCs w:val="24"/>
              </w:rPr>
              <w:t>2</w:t>
            </w:r>
          </w:p>
        </w:tc>
        <w:tc>
          <w:tcPr>
            <w:tcW w:w="3969" w:type="dxa"/>
            <w:vAlign w:val="center"/>
          </w:tcPr>
          <w:p w:rsidR="00B70354" w:rsidRDefault="0006100D">
            <w:pPr>
              <w:ind w:firstLineChars="0" w:firstLine="0"/>
              <w:jc w:val="center"/>
              <w:rPr>
                <w:sz w:val="24"/>
                <w:szCs w:val="24"/>
              </w:rPr>
            </w:pPr>
            <w:r>
              <w:rPr>
                <w:rFonts w:hint="eastAsia"/>
                <w:sz w:val="24"/>
                <w:szCs w:val="24"/>
              </w:rPr>
              <w:t>江宁区</w:t>
            </w:r>
          </w:p>
        </w:tc>
        <w:tc>
          <w:tcPr>
            <w:tcW w:w="2977" w:type="dxa"/>
            <w:vAlign w:val="center"/>
          </w:tcPr>
          <w:p w:rsidR="00B70354" w:rsidRDefault="0006100D">
            <w:pPr>
              <w:ind w:firstLineChars="0" w:firstLine="0"/>
              <w:jc w:val="right"/>
              <w:rPr>
                <w:sz w:val="24"/>
                <w:szCs w:val="24"/>
              </w:rPr>
            </w:pPr>
            <w:r>
              <w:rPr>
                <w:rFonts w:hint="eastAsia"/>
                <w:sz w:val="24"/>
                <w:szCs w:val="24"/>
              </w:rPr>
              <w:t>1543.614</w:t>
            </w:r>
          </w:p>
        </w:tc>
      </w:tr>
      <w:tr w:rsidR="00B70354">
        <w:trPr>
          <w:trHeight w:val="850"/>
        </w:trPr>
        <w:tc>
          <w:tcPr>
            <w:tcW w:w="1049" w:type="dxa"/>
            <w:vAlign w:val="center"/>
          </w:tcPr>
          <w:p w:rsidR="00B70354" w:rsidRDefault="0006100D">
            <w:pPr>
              <w:ind w:firstLineChars="0" w:firstLine="0"/>
              <w:jc w:val="center"/>
              <w:rPr>
                <w:sz w:val="24"/>
                <w:szCs w:val="24"/>
              </w:rPr>
            </w:pPr>
            <w:r>
              <w:rPr>
                <w:sz w:val="24"/>
                <w:szCs w:val="24"/>
              </w:rPr>
              <w:t>3</w:t>
            </w:r>
          </w:p>
        </w:tc>
        <w:tc>
          <w:tcPr>
            <w:tcW w:w="3969" w:type="dxa"/>
            <w:vAlign w:val="center"/>
          </w:tcPr>
          <w:p w:rsidR="00B70354" w:rsidRDefault="0006100D">
            <w:pPr>
              <w:ind w:firstLineChars="0" w:firstLine="0"/>
              <w:jc w:val="center"/>
              <w:rPr>
                <w:sz w:val="24"/>
                <w:szCs w:val="24"/>
              </w:rPr>
            </w:pPr>
            <w:r>
              <w:rPr>
                <w:rFonts w:hint="eastAsia"/>
                <w:sz w:val="24"/>
                <w:szCs w:val="24"/>
              </w:rPr>
              <w:t>浦口区</w:t>
            </w:r>
          </w:p>
        </w:tc>
        <w:tc>
          <w:tcPr>
            <w:tcW w:w="2977" w:type="dxa"/>
            <w:vAlign w:val="center"/>
          </w:tcPr>
          <w:p w:rsidR="00B70354" w:rsidRDefault="0006100D">
            <w:pPr>
              <w:ind w:firstLineChars="0" w:firstLine="0"/>
              <w:jc w:val="right"/>
              <w:rPr>
                <w:sz w:val="24"/>
                <w:szCs w:val="24"/>
              </w:rPr>
            </w:pPr>
            <w:r>
              <w:rPr>
                <w:rFonts w:hint="eastAsia"/>
                <w:sz w:val="24"/>
                <w:szCs w:val="24"/>
              </w:rPr>
              <w:t>213.606</w:t>
            </w:r>
          </w:p>
        </w:tc>
      </w:tr>
      <w:tr w:rsidR="00B70354">
        <w:trPr>
          <w:trHeight w:val="850"/>
        </w:trPr>
        <w:tc>
          <w:tcPr>
            <w:tcW w:w="1049" w:type="dxa"/>
            <w:vAlign w:val="center"/>
          </w:tcPr>
          <w:p w:rsidR="00B70354" w:rsidRDefault="0006100D">
            <w:pPr>
              <w:ind w:firstLineChars="0" w:firstLine="0"/>
              <w:jc w:val="center"/>
              <w:rPr>
                <w:sz w:val="24"/>
                <w:szCs w:val="24"/>
              </w:rPr>
            </w:pPr>
            <w:r>
              <w:rPr>
                <w:rFonts w:hint="eastAsia"/>
                <w:sz w:val="24"/>
                <w:szCs w:val="24"/>
              </w:rPr>
              <w:t>4</w:t>
            </w:r>
          </w:p>
        </w:tc>
        <w:tc>
          <w:tcPr>
            <w:tcW w:w="3969" w:type="dxa"/>
            <w:vAlign w:val="center"/>
          </w:tcPr>
          <w:p w:rsidR="00B70354" w:rsidRDefault="0006100D">
            <w:pPr>
              <w:ind w:firstLineChars="0" w:firstLine="0"/>
              <w:jc w:val="center"/>
              <w:rPr>
                <w:sz w:val="24"/>
                <w:szCs w:val="24"/>
              </w:rPr>
            </w:pPr>
            <w:proofErr w:type="gramStart"/>
            <w:r>
              <w:rPr>
                <w:rFonts w:hint="eastAsia"/>
                <w:sz w:val="24"/>
                <w:szCs w:val="24"/>
              </w:rPr>
              <w:t>六合区</w:t>
            </w:r>
            <w:proofErr w:type="gramEnd"/>
          </w:p>
        </w:tc>
        <w:tc>
          <w:tcPr>
            <w:tcW w:w="2977" w:type="dxa"/>
            <w:vAlign w:val="center"/>
          </w:tcPr>
          <w:p w:rsidR="00B70354" w:rsidRDefault="0006100D">
            <w:pPr>
              <w:ind w:firstLineChars="0" w:firstLine="0"/>
              <w:jc w:val="right"/>
              <w:rPr>
                <w:sz w:val="24"/>
                <w:szCs w:val="24"/>
              </w:rPr>
            </w:pPr>
            <w:r>
              <w:rPr>
                <w:rFonts w:hint="eastAsia"/>
                <w:sz w:val="24"/>
                <w:szCs w:val="24"/>
              </w:rPr>
              <w:t>3094.656</w:t>
            </w:r>
          </w:p>
        </w:tc>
      </w:tr>
      <w:tr w:rsidR="00B70354">
        <w:trPr>
          <w:trHeight w:val="850"/>
        </w:trPr>
        <w:tc>
          <w:tcPr>
            <w:tcW w:w="1049" w:type="dxa"/>
            <w:vAlign w:val="center"/>
          </w:tcPr>
          <w:p w:rsidR="00B70354" w:rsidRDefault="0006100D">
            <w:pPr>
              <w:ind w:firstLineChars="0" w:firstLine="0"/>
              <w:jc w:val="center"/>
              <w:rPr>
                <w:sz w:val="24"/>
                <w:szCs w:val="24"/>
              </w:rPr>
            </w:pPr>
            <w:r>
              <w:rPr>
                <w:rFonts w:hint="eastAsia"/>
                <w:sz w:val="24"/>
                <w:szCs w:val="24"/>
              </w:rPr>
              <w:t>5</w:t>
            </w:r>
          </w:p>
        </w:tc>
        <w:tc>
          <w:tcPr>
            <w:tcW w:w="3969" w:type="dxa"/>
            <w:vAlign w:val="center"/>
          </w:tcPr>
          <w:p w:rsidR="00B70354" w:rsidRDefault="0006100D">
            <w:pPr>
              <w:ind w:firstLineChars="0" w:firstLine="0"/>
              <w:jc w:val="center"/>
              <w:rPr>
                <w:sz w:val="24"/>
                <w:szCs w:val="24"/>
              </w:rPr>
            </w:pPr>
            <w:r>
              <w:rPr>
                <w:rFonts w:hint="eastAsia"/>
                <w:sz w:val="24"/>
                <w:szCs w:val="24"/>
              </w:rPr>
              <w:t>溧水区</w:t>
            </w:r>
          </w:p>
        </w:tc>
        <w:tc>
          <w:tcPr>
            <w:tcW w:w="2977" w:type="dxa"/>
            <w:vAlign w:val="center"/>
          </w:tcPr>
          <w:p w:rsidR="00B70354" w:rsidRDefault="0006100D">
            <w:pPr>
              <w:ind w:firstLineChars="0" w:firstLine="0"/>
              <w:jc w:val="right"/>
              <w:rPr>
                <w:sz w:val="24"/>
                <w:szCs w:val="24"/>
              </w:rPr>
            </w:pPr>
            <w:r>
              <w:rPr>
                <w:rFonts w:hint="eastAsia"/>
                <w:sz w:val="24"/>
                <w:szCs w:val="24"/>
              </w:rPr>
              <w:t>1548.132</w:t>
            </w:r>
          </w:p>
        </w:tc>
      </w:tr>
      <w:tr w:rsidR="00B70354">
        <w:trPr>
          <w:trHeight w:val="850"/>
        </w:trPr>
        <w:tc>
          <w:tcPr>
            <w:tcW w:w="1049" w:type="dxa"/>
            <w:vAlign w:val="center"/>
          </w:tcPr>
          <w:p w:rsidR="00B70354" w:rsidRDefault="0006100D">
            <w:pPr>
              <w:ind w:firstLineChars="0" w:firstLine="0"/>
              <w:jc w:val="center"/>
              <w:rPr>
                <w:sz w:val="24"/>
                <w:szCs w:val="24"/>
              </w:rPr>
            </w:pPr>
            <w:r>
              <w:rPr>
                <w:rFonts w:hint="eastAsia"/>
                <w:sz w:val="24"/>
                <w:szCs w:val="24"/>
              </w:rPr>
              <w:t>6</w:t>
            </w:r>
          </w:p>
        </w:tc>
        <w:tc>
          <w:tcPr>
            <w:tcW w:w="3969" w:type="dxa"/>
            <w:vAlign w:val="center"/>
          </w:tcPr>
          <w:p w:rsidR="00B70354" w:rsidRDefault="0006100D">
            <w:pPr>
              <w:ind w:firstLineChars="0" w:firstLine="0"/>
              <w:jc w:val="center"/>
              <w:rPr>
                <w:sz w:val="24"/>
                <w:szCs w:val="24"/>
              </w:rPr>
            </w:pPr>
            <w:r>
              <w:rPr>
                <w:rFonts w:hint="eastAsia"/>
                <w:sz w:val="24"/>
                <w:szCs w:val="24"/>
              </w:rPr>
              <w:t>高淳区</w:t>
            </w:r>
          </w:p>
        </w:tc>
        <w:tc>
          <w:tcPr>
            <w:tcW w:w="2977" w:type="dxa"/>
            <w:vAlign w:val="center"/>
          </w:tcPr>
          <w:p w:rsidR="00B70354" w:rsidRDefault="0006100D">
            <w:pPr>
              <w:ind w:firstLineChars="0" w:firstLine="0"/>
              <w:jc w:val="right"/>
              <w:rPr>
                <w:sz w:val="24"/>
                <w:szCs w:val="24"/>
              </w:rPr>
            </w:pPr>
            <w:r>
              <w:rPr>
                <w:rFonts w:hint="eastAsia"/>
                <w:sz w:val="24"/>
                <w:szCs w:val="24"/>
              </w:rPr>
              <w:t>669.612</w:t>
            </w:r>
          </w:p>
        </w:tc>
      </w:tr>
      <w:tr w:rsidR="00B70354">
        <w:trPr>
          <w:trHeight w:val="850"/>
        </w:trPr>
        <w:tc>
          <w:tcPr>
            <w:tcW w:w="1049" w:type="dxa"/>
            <w:vAlign w:val="center"/>
          </w:tcPr>
          <w:p w:rsidR="00B70354" w:rsidRDefault="0006100D">
            <w:pPr>
              <w:ind w:firstLineChars="0" w:firstLine="0"/>
              <w:jc w:val="center"/>
              <w:rPr>
                <w:sz w:val="24"/>
                <w:szCs w:val="24"/>
              </w:rPr>
            </w:pPr>
            <w:r>
              <w:rPr>
                <w:rFonts w:hint="eastAsia"/>
                <w:sz w:val="24"/>
                <w:szCs w:val="24"/>
              </w:rPr>
              <w:lastRenderedPageBreak/>
              <w:t>7</w:t>
            </w:r>
          </w:p>
        </w:tc>
        <w:tc>
          <w:tcPr>
            <w:tcW w:w="3969" w:type="dxa"/>
            <w:vAlign w:val="center"/>
          </w:tcPr>
          <w:p w:rsidR="00B70354" w:rsidRDefault="0006100D">
            <w:pPr>
              <w:ind w:firstLineChars="0" w:firstLine="0"/>
              <w:jc w:val="center"/>
              <w:rPr>
                <w:sz w:val="24"/>
                <w:szCs w:val="24"/>
              </w:rPr>
            </w:pPr>
            <w:r>
              <w:rPr>
                <w:rFonts w:hint="eastAsia"/>
                <w:sz w:val="24"/>
                <w:szCs w:val="24"/>
              </w:rPr>
              <w:t>栖霞区</w:t>
            </w:r>
          </w:p>
        </w:tc>
        <w:tc>
          <w:tcPr>
            <w:tcW w:w="2977" w:type="dxa"/>
            <w:vAlign w:val="center"/>
          </w:tcPr>
          <w:p w:rsidR="00B70354" w:rsidRDefault="0006100D">
            <w:pPr>
              <w:ind w:firstLineChars="0" w:firstLine="0"/>
              <w:jc w:val="right"/>
              <w:rPr>
                <w:sz w:val="24"/>
                <w:szCs w:val="24"/>
              </w:rPr>
            </w:pPr>
            <w:r>
              <w:rPr>
                <w:rFonts w:hint="eastAsia"/>
                <w:sz w:val="24"/>
                <w:szCs w:val="24"/>
              </w:rPr>
              <w:t>144.288</w:t>
            </w:r>
          </w:p>
        </w:tc>
      </w:tr>
      <w:tr w:rsidR="00B70354">
        <w:trPr>
          <w:trHeight w:val="850"/>
        </w:trPr>
        <w:tc>
          <w:tcPr>
            <w:tcW w:w="1049" w:type="dxa"/>
            <w:vAlign w:val="center"/>
          </w:tcPr>
          <w:p w:rsidR="00B70354" w:rsidRDefault="0006100D">
            <w:pPr>
              <w:ind w:firstLineChars="0" w:firstLine="0"/>
              <w:jc w:val="center"/>
              <w:rPr>
                <w:sz w:val="24"/>
                <w:szCs w:val="24"/>
              </w:rPr>
            </w:pPr>
            <w:r>
              <w:rPr>
                <w:rFonts w:hint="eastAsia"/>
                <w:sz w:val="24"/>
                <w:szCs w:val="24"/>
              </w:rPr>
              <w:t>8</w:t>
            </w:r>
          </w:p>
        </w:tc>
        <w:tc>
          <w:tcPr>
            <w:tcW w:w="3969" w:type="dxa"/>
            <w:vAlign w:val="center"/>
          </w:tcPr>
          <w:p w:rsidR="00B70354" w:rsidRDefault="0006100D">
            <w:pPr>
              <w:ind w:firstLineChars="0" w:firstLine="0"/>
              <w:jc w:val="center"/>
              <w:rPr>
                <w:sz w:val="24"/>
                <w:szCs w:val="24"/>
              </w:rPr>
            </w:pPr>
            <w:r>
              <w:rPr>
                <w:rFonts w:hint="eastAsia"/>
                <w:sz w:val="24"/>
                <w:szCs w:val="24"/>
              </w:rPr>
              <w:t>雨花台区</w:t>
            </w:r>
          </w:p>
        </w:tc>
        <w:tc>
          <w:tcPr>
            <w:tcW w:w="2977" w:type="dxa"/>
            <w:vAlign w:val="center"/>
          </w:tcPr>
          <w:p w:rsidR="00B70354" w:rsidRDefault="0006100D">
            <w:pPr>
              <w:ind w:firstLineChars="0" w:firstLine="0"/>
              <w:jc w:val="right"/>
              <w:rPr>
                <w:sz w:val="24"/>
                <w:szCs w:val="24"/>
              </w:rPr>
            </w:pPr>
            <w:r>
              <w:rPr>
                <w:rFonts w:hint="eastAsia"/>
                <w:sz w:val="24"/>
                <w:szCs w:val="24"/>
              </w:rPr>
              <w:t>3.3</w:t>
            </w:r>
          </w:p>
        </w:tc>
      </w:tr>
      <w:tr w:rsidR="00B70354">
        <w:trPr>
          <w:trHeight w:val="850"/>
        </w:trPr>
        <w:tc>
          <w:tcPr>
            <w:tcW w:w="5018" w:type="dxa"/>
            <w:gridSpan w:val="2"/>
            <w:vAlign w:val="center"/>
          </w:tcPr>
          <w:p w:rsidR="00B70354" w:rsidRDefault="0006100D">
            <w:pPr>
              <w:ind w:firstLineChars="0" w:firstLine="0"/>
              <w:jc w:val="center"/>
              <w:rPr>
                <w:sz w:val="24"/>
                <w:szCs w:val="24"/>
              </w:rPr>
            </w:pPr>
            <w:r>
              <w:rPr>
                <w:rFonts w:hint="eastAsia"/>
                <w:sz w:val="24"/>
                <w:szCs w:val="24"/>
              </w:rPr>
              <w:t>合计</w:t>
            </w:r>
          </w:p>
        </w:tc>
        <w:tc>
          <w:tcPr>
            <w:tcW w:w="2977" w:type="dxa"/>
            <w:vAlign w:val="center"/>
          </w:tcPr>
          <w:p w:rsidR="00B70354" w:rsidRDefault="0006100D">
            <w:pPr>
              <w:ind w:firstLineChars="0" w:firstLine="0"/>
              <w:jc w:val="right"/>
              <w:rPr>
                <w:sz w:val="24"/>
                <w:szCs w:val="24"/>
              </w:rPr>
            </w:pPr>
            <w:r>
              <w:rPr>
                <w:rFonts w:hint="eastAsia"/>
                <w:sz w:val="24"/>
                <w:szCs w:val="24"/>
              </w:rPr>
              <w:t>7362.336</w:t>
            </w:r>
          </w:p>
        </w:tc>
      </w:tr>
    </w:tbl>
    <w:p w:rsidR="00B70354" w:rsidRDefault="0006100D">
      <w:pPr>
        <w:pStyle w:val="2"/>
        <w:ind w:firstLine="664"/>
        <w:rPr>
          <w:rFonts w:ascii="Times New Roman" w:hAnsi="Times New Roman" w:cs="Times New Roman"/>
        </w:rPr>
      </w:pPr>
      <w:bookmarkStart w:id="6" w:name="_Toc233728793"/>
      <w:r>
        <w:rPr>
          <w:rFonts w:ascii="Times New Roman" w:hAnsi="Times New Roman" w:cs="Times New Roman"/>
        </w:rPr>
        <w:t>（</w:t>
      </w:r>
      <w:r>
        <w:rPr>
          <w:rFonts w:ascii="Times New Roman" w:hAnsi="Times New Roman" w:cs="Times New Roman" w:hint="eastAsia"/>
        </w:rPr>
        <w:t>三</w:t>
      </w:r>
      <w:r>
        <w:rPr>
          <w:rFonts w:ascii="Times New Roman" w:hAnsi="Times New Roman" w:cs="Times New Roman"/>
        </w:rPr>
        <w:t>）</w:t>
      </w:r>
      <w:r>
        <w:rPr>
          <w:rFonts w:ascii="Times New Roman" w:hAnsi="Times New Roman" w:cs="Times New Roman" w:hint="eastAsia"/>
        </w:rPr>
        <w:t>绩效目标</w:t>
      </w:r>
      <w:bookmarkEnd w:id="6"/>
    </w:p>
    <w:p w:rsidR="00B70354" w:rsidRDefault="0006100D">
      <w:pPr>
        <w:ind w:firstLine="664"/>
      </w:pPr>
      <w:r>
        <w:rPr>
          <w:rFonts w:hint="eastAsia"/>
        </w:rPr>
        <w:t>项目总体目标是充分发挥财政资金引导作用，支持各区持续改善农田基础设施条件，加强水稻生产环境保护和农业生态修复，推进农业面源污染治理，完善农业保险和土地流转等配套政策，促进农业绿色发展，提高财政资金使用效益。</w:t>
      </w:r>
    </w:p>
    <w:p w:rsidR="00B70354" w:rsidRDefault="0006100D">
      <w:pPr>
        <w:ind w:firstLine="664"/>
      </w:pPr>
      <w:r>
        <w:rPr>
          <w:rFonts w:hint="eastAsia"/>
        </w:rPr>
        <w:t>年度绩效目标：</w:t>
      </w:r>
    </w:p>
    <w:p w:rsidR="00B70354" w:rsidRDefault="0006100D">
      <w:pPr>
        <w:ind w:firstLine="664"/>
      </w:pPr>
      <w:r>
        <w:rPr>
          <w:rFonts w:hint="eastAsia"/>
        </w:rPr>
        <w:t>规范落实水稻生态补偿政策，确保补偿资金及时下达并按规定使用；支持农田基础设施建设和农业生态环境改善，提升稻田综合生产能力；增强农业防灾减灾和风险保障能力，稳定粮食播种面积，提高农户种粮积极性；推动农业绿色生产方式应用，促进农业资源节约利用和生态环境持续改善，实现粮食生产与生态保护协调发展。</w:t>
      </w:r>
    </w:p>
    <w:p w:rsidR="00B70354" w:rsidRDefault="0006100D">
      <w:pPr>
        <w:ind w:firstLine="664"/>
      </w:pPr>
      <w:r>
        <w:t>2025</w:t>
      </w:r>
      <w:r>
        <w:t>年实现</w:t>
      </w:r>
      <w:proofErr w:type="gramStart"/>
      <w:r>
        <w:t>涉农区</w:t>
      </w:r>
      <w:proofErr w:type="gramEnd"/>
      <w:r>
        <w:t>农药包装废弃物回收覆盖率</w:t>
      </w:r>
      <w:r>
        <w:t>80%</w:t>
      </w:r>
      <w:r>
        <w:t>；</w:t>
      </w:r>
      <w:proofErr w:type="gramStart"/>
      <w:r>
        <w:t>涉农区</w:t>
      </w:r>
      <w:proofErr w:type="gramEnd"/>
      <w:r>
        <w:t>农药零差率统一配供网点涉农街镇覆盖率</w:t>
      </w:r>
      <w:r>
        <w:t>90%</w:t>
      </w:r>
      <w:r>
        <w:t>以上；废旧农膜回收率大于等于</w:t>
      </w:r>
      <w:r>
        <w:t>90%</w:t>
      </w:r>
      <w:r>
        <w:t>。</w:t>
      </w:r>
    </w:p>
    <w:p w:rsidR="00B70354" w:rsidRDefault="0006100D">
      <w:pPr>
        <w:pStyle w:val="1"/>
        <w:ind w:firstLine="664"/>
      </w:pPr>
      <w:bookmarkStart w:id="7" w:name="_Toc233728794"/>
      <w:r>
        <w:lastRenderedPageBreak/>
        <w:t>二、</w:t>
      </w:r>
      <w:r>
        <w:rPr>
          <w:rFonts w:hint="eastAsia"/>
        </w:rPr>
        <w:t>评价结论</w:t>
      </w:r>
      <w:bookmarkEnd w:id="7"/>
    </w:p>
    <w:p w:rsidR="00B70354" w:rsidRDefault="0006100D">
      <w:pPr>
        <w:ind w:firstLine="638"/>
        <w:rPr>
          <w:spacing w:val="-1"/>
        </w:rPr>
      </w:pPr>
      <w:r>
        <w:rPr>
          <w:rFonts w:hint="eastAsia"/>
          <w:spacing w:val="-1"/>
        </w:rPr>
        <w:t>1.</w:t>
      </w:r>
      <w:r>
        <w:rPr>
          <w:rFonts w:hint="eastAsia"/>
          <w:spacing w:val="-1"/>
        </w:rPr>
        <w:t>评价对象及范围</w:t>
      </w:r>
    </w:p>
    <w:p w:rsidR="00B70354" w:rsidRDefault="0006100D">
      <w:pPr>
        <w:ind w:firstLine="664"/>
        <w:rPr>
          <w:highlight w:val="yellow"/>
        </w:rPr>
      </w:pPr>
      <w:r>
        <w:t>本次评价对象主要为</w:t>
      </w:r>
      <w:r>
        <w:t>2025</w:t>
      </w:r>
      <w:r>
        <w:t>年度</w:t>
      </w:r>
      <w:r>
        <w:rPr>
          <w:rFonts w:hint="eastAsia"/>
        </w:rPr>
        <w:t>水稻生态补偿</w:t>
      </w:r>
      <w:r>
        <w:t>专项资金。涉及江北新区、江宁区、浦口区、</w:t>
      </w:r>
      <w:r>
        <w:rPr>
          <w:rFonts w:hint="eastAsia"/>
        </w:rPr>
        <w:t>六合区、溧水区、高淳区、</w:t>
      </w:r>
      <w:r>
        <w:t>栖霞区、雨花台区等</w:t>
      </w:r>
      <w:r>
        <w:rPr>
          <w:rFonts w:hint="eastAsia"/>
        </w:rPr>
        <w:t>8</w:t>
      </w:r>
      <w:r>
        <w:rPr>
          <w:rFonts w:hint="eastAsia"/>
        </w:rPr>
        <w:t>个区</w:t>
      </w:r>
      <w:r>
        <w:t>。</w:t>
      </w:r>
    </w:p>
    <w:p w:rsidR="00B70354" w:rsidRDefault="0006100D">
      <w:pPr>
        <w:ind w:firstLine="638"/>
        <w:rPr>
          <w:spacing w:val="-1"/>
        </w:rPr>
      </w:pPr>
      <w:r>
        <w:rPr>
          <w:rFonts w:hint="eastAsia"/>
          <w:spacing w:val="-1"/>
        </w:rPr>
        <w:t>2.</w:t>
      </w:r>
      <w:r>
        <w:rPr>
          <w:rFonts w:hint="eastAsia"/>
          <w:spacing w:val="-1"/>
        </w:rPr>
        <w:t>评价结论</w:t>
      </w:r>
    </w:p>
    <w:p w:rsidR="00B70354" w:rsidRDefault="0006100D">
      <w:pPr>
        <w:ind w:firstLine="638"/>
        <w:rPr>
          <w:spacing w:val="4"/>
        </w:rPr>
      </w:pPr>
      <w:r>
        <w:rPr>
          <w:spacing w:val="-1"/>
        </w:rPr>
        <w:t>南京市农业农村局</w:t>
      </w:r>
      <w:r>
        <w:t>严格按照相关文件统筹管理使用</w:t>
      </w:r>
      <w:r>
        <w:rPr>
          <w:spacing w:val="10"/>
        </w:rPr>
        <w:t>2025</w:t>
      </w:r>
      <w:r>
        <w:rPr>
          <w:spacing w:val="10"/>
        </w:rPr>
        <w:t>年度南京市水稻生态补偿</w:t>
      </w:r>
      <w:r>
        <w:rPr>
          <w:rFonts w:hint="eastAsia"/>
          <w:spacing w:val="10"/>
        </w:rPr>
        <w:t>专项资金</w:t>
      </w:r>
      <w:r>
        <w:rPr>
          <w:spacing w:val="4"/>
        </w:rPr>
        <w:t>，</w:t>
      </w:r>
      <w:r>
        <w:rPr>
          <w:rFonts w:hint="eastAsia"/>
          <w:spacing w:val="4"/>
        </w:rPr>
        <w:t>各区农业农村局按照文件，积极组织街镇申报使用生态补偿资金，</w:t>
      </w:r>
      <w:proofErr w:type="gramStart"/>
      <w:r>
        <w:rPr>
          <w:rFonts w:hint="eastAsia"/>
          <w:spacing w:val="4"/>
        </w:rPr>
        <w:t>对街镇</w:t>
      </w:r>
      <w:proofErr w:type="gramEnd"/>
      <w:r>
        <w:rPr>
          <w:rFonts w:hint="eastAsia"/>
          <w:spacing w:val="4"/>
        </w:rPr>
        <w:t>上报使用方案进行审核批复，并要求各街镇按照上报使用方案内容抓紧实施，不得擅自调整，变更项目建设计划，确需调整的按相关规定履行变更手续，确保在规定时间内保质保量完成方案内容。</w:t>
      </w:r>
      <w:r>
        <w:rPr>
          <w:spacing w:val="4"/>
        </w:rPr>
        <w:t>从总体情况来看，南京市农业农村局能够按照中央、省、市关于水稻生态补偿工作的部署要求，结合年度资金计划，及时组织各区开展项目实施，项目立项依据充分，资金安排总体合理，组织管理较为规范，能够按照政策要求明确资金使用方向和支持重点。各区农业农村部门依据实施方案组织开展项目建设，加强项目调度和资金管理，能够按照规定履行项目审批、资金拨付及实施管理程序，项目整体推进较为有序。</w:t>
      </w:r>
    </w:p>
    <w:p w:rsidR="00B70354" w:rsidRDefault="0006100D">
      <w:pPr>
        <w:ind w:firstLine="648"/>
        <w:rPr>
          <w:spacing w:val="4"/>
        </w:rPr>
      </w:pPr>
      <w:r>
        <w:rPr>
          <w:rFonts w:hint="eastAsia"/>
          <w:spacing w:val="4"/>
        </w:rPr>
        <w:t>3.</w:t>
      </w:r>
      <w:r>
        <w:rPr>
          <w:rFonts w:hint="eastAsia"/>
          <w:spacing w:val="4"/>
        </w:rPr>
        <w:t>评分结果</w:t>
      </w:r>
    </w:p>
    <w:tbl>
      <w:tblPr>
        <w:tblW w:w="7995"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
        <w:gridCol w:w="3969"/>
        <w:gridCol w:w="2977"/>
      </w:tblGrid>
      <w:tr w:rsidR="00B70354">
        <w:trPr>
          <w:trHeight w:val="1304"/>
          <w:tblHeader/>
        </w:trPr>
        <w:tc>
          <w:tcPr>
            <w:tcW w:w="1049" w:type="dxa"/>
            <w:vAlign w:val="center"/>
          </w:tcPr>
          <w:p w:rsidR="00B70354" w:rsidRDefault="0006100D">
            <w:pPr>
              <w:ind w:firstLineChars="0" w:firstLine="0"/>
              <w:jc w:val="center"/>
              <w:rPr>
                <w:sz w:val="24"/>
                <w:szCs w:val="24"/>
              </w:rPr>
            </w:pPr>
            <w:r>
              <w:rPr>
                <w:sz w:val="24"/>
                <w:szCs w:val="24"/>
              </w:rPr>
              <w:lastRenderedPageBreak/>
              <w:t>序号</w:t>
            </w:r>
          </w:p>
        </w:tc>
        <w:tc>
          <w:tcPr>
            <w:tcW w:w="3969" w:type="dxa"/>
            <w:vAlign w:val="center"/>
          </w:tcPr>
          <w:p w:rsidR="00B70354" w:rsidRDefault="0006100D">
            <w:pPr>
              <w:ind w:firstLineChars="0" w:firstLine="0"/>
              <w:jc w:val="center"/>
              <w:rPr>
                <w:sz w:val="24"/>
                <w:szCs w:val="24"/>
              </w:rPr>
            </w:pPr>
            <w:r>
              <w:rPr>
                <w:rFonts w:hint="eastAsia"/>
                <w:sz w:val="24"/>
                <w:szCs w:val="24"/>
              </w:rPr>
              <w:t>区属</w:t>
            </w:r>
          </w:p>
        </w:tc>
        <w:tc>
          <w:tcPr>
            <w:tcW w:w="2977" w:type="dxa"/>
            <w:vAlign w:val="center"/>
          </w:tcPr>
          <w:p w:rsidR="00B70354" w:rsidRDefault="0006100D">
            <w:pPr>
              <w:ind w:firstLineChars="0" w:firstLine="0"/>
              <w:jc w:val="center"/>
              <w:rPr>
                <w:sz w:val="24"/>
                <w:szCs w:val="24"/>
              </w:rPr>
            </w:pPr>
            <w:r>
              <w:rPr>
                <w:rFonts w:hint="eastAsia"/>
                <w:sz w:val="24"/>
                <w:szCs w:val="24"/>
              </w:rPr>
              <w:t>已发放补贴资金</w:t>
            </w:r>
          </w:p>
          <w:p w:rsidR="00B70354" w:rsidRDefault="0006100D">
            <w:pPr>
              <w:ind w:firstLineChars="0" w:firstLine="0"/>
              <w:jc w:val="center"/>
              <w:rPr>
                <w:sz w:val="24"/>
                <w:szCs w:val="24"/>
              </w:rPr>
            </w:pPr>
            <w:r>
              <w:rPr>
                <w:rFonts w:hint="eastAsia"/>
                <w:sz w:val="24"/>
                <w:szCs w:val="24"/>
              </w:rPr>
              <w:t>（万元）</w:t>
            </w:r>
          </w:p>
        </w:tc>
      </w:tr>
      <w:tr w:rsidR="00B70354">
        <w:trPr>
          <w:trHeight w:val="850"/>
        </w:trPr>
        <w:tc>
          <w:tcPr>
            <w:tcW w:w="1049" w:type="dxa"/>
            <w:vAlign w:val="center"/>
          </w:tcPr>
          <w:p w:rsidR="00B70354" w:rsidRDefault="0006100D">
            <w:pPr>
              <w:ind w:firstLineChars="0" w:firstLine="0"/>
              <w:jc w:val="center"/>
              <w:rPr>
                <w:sz w:val="24"/>
                <w:szCs w:val="24"/>
              </w:rPr>
            </w:pPr>
            <w:r>
              <w:rPr>
                <w:sz w:val="24"/>
                <w:szCs w:val="24"/>
              </w:rPr>
              <w:t>1</w:t>
            </w:r>
          </w:p>
        </w:tc>
        <w:tc>
          <w:tcPr>
            <w:tcW w:w="3969" w:type="dxa"/>
            <w:vAlign w:val="center"/>
          </w:tcPr>
          <w:p w:rsidR="00B70354" w:rsidRDefault="0006100D">
            <w:pPr>
              <w:ind w:firstLineChars="0" w:firstLine="0"/>
              <w:jc w:val="center"/>
              <w:rPr>
                <w:sz w:val="24"/>
                <w:szCs w:val="24"/>
              </w:rPr>
            </w:pPr>
            <w:r>
              <w:rPr>
                <w:rFonts w:hint="eastAsia"/>
                <w:sz w:val="24"/>
                <w:szCs w:val="24"/>
              </w:rPr>
              <w:t>江北新区</w:t>
            </w:r>
          </w:p>
        </w:tc>
        <w:tc>
          <w:tcPr>
            <w:tcW w:w="2977" w:type="dxa"/>
            <w:vAlign w:val="center"/>
          </w:tcPr>
          <w:p w:rsidR="00B70354" w:rsidRDefault="0006100D">
            <w:pPr>
              <w:ind w:firstLineChars="0" w:firstLine="0"/>
              <w:jc w:val="right"/>
              <w:rPr>
                <w:sz w:val="24"/>
                <w:szCs w:val="24"/>
              </w:rPr>
            </w:pPr>
            <w:r>
              <w:rPr>
                <w:rFonts w:hint="eastAsia"/>
                <w:sz w:val="24"/>
                <w:szCs w:val="24"/>
              </w:rPr>
              <w:t>0.00</w:t>
            </w:r>
          </w:p>
        </w:tc>
      </w:tr>
      <w:tr w:rsidR="00B70354">
        <w:trPr>
          <w:trHeight w:val="850"/>
        </w:trPr>
        <w:tc>
          <w:tcPr>
            <w:tcW w:w="1049" w:type="dxa"/>
            <w:vAlign w:val="center"/>
          </w:tcPr>
          <w:p w:rsidR="00B70354" w:rsidRDefault="0006100D">
            <w:pPr>
              <w:ind w:firstLineChars="0" w:firstLine="0"/>
              <w:jc w:val="center"/>
              <w:rPr>
                <w:sz w:val="24"/>
                <w:szCs w:val="24"/>
              </w:rPr>
            </w:pPr>
            <w:r>
              <w:rPr>
                <w:sz w:val="24"/>
                <w:szCs w:val="24"/>
              </w:rPr>
              <w:t>2</w:t>
            </w:r>
          </w:p>
        </w:tc>
        <w:tc>
          <w:tcPr>
            <w:tcW w:w="3969" w:type="dxa"/>
            <w:vAlign w:val="center"/>
          </w:tcPr>
          <w:p w:rsidR="00B70354" w:rsidRDefault="0006100D">
            <w:pPr>
              <w:ind w:firstLineChars="0" w:firstLine="0"/>
              <w:jc w:val="center"/>
              <w:rPr>
                <w:sz w:val="24"/>
                <w:szCs w:val="24"/>
              </w:rPr>
            </w:pPr>
            <w:r>
              <w:rPr>
                <w:rFonts w:hint="eastAsia"/>
                <w:sz w:val="24"/>
                <w:szCs w:val="24"/>
              </w:rPr>
              <w:t>江宁区</w:t>
            </w:r>
          </w:p>
        </w:tc>
        <w:tc>
          <w:tcPr>
            <w:tcW w:w="2977" w:type="dxa"/>
            <w:vAlign w:val="center"/>
          </w:tcPr>
          <w:p w:rsidR="00B70354" w:rsidRDefault="0006100D">
            <w:pPr>
              <w:ind w:firstLineChars="0" w:firstLine="0"/>
              <w:jc w:val="right"/>
              <w:rPr>
                <w:sz w:val="24"/>
                <w:szCs w:val="24"/>
              </w:rPr>
            </w:pPr>
            <w:r>
              <w:rPr>
                <w:rFonts w:hint="eastAsia"/>
                <w:sz w:val="24"/>
                <w:szCs w:val="24"/>
              </w:rPr>
              <w:t>1543.614</w:t>
            </w:r>
          </w:p>
        </w:tc>
      </w:tr>
      <w:tr w:rsidR="00B70354">
        <w:trPr>
          <w:trHeight w:val="850"/>
        </w:trPr>
        <w:tc>
          <w:tcPr>
            <w:tcW w:w="1049" w:type="dxa"/>
            <w:vAlign w:val="center"/>
          </w:tcPr>
          <w:p w:rsidR="00B70354" w:rsidRDefault="0006100D">
            <w:pPr>
              <w:ind w:firstLineChars="0" w:firstLine="0"/>
              <w:jc w:val="center"/>
              <w:rPr>
                <w:sz w:val="24"/>
                <w:szCs w:val="24"/>
              </w:rPr>
            </w:pPr>
            <w:r>
              <w:rPr>
                <w:sz w:val="24"/>
                <w:szCs w:val="24"/>
              </w:rPr>
              <w:t>3</w:t>
            </w:r>
          </w:p>
        </w:tc>
        <w:tc>
          <w:tcPr>
            <w:tcW w:w="3969" w:type="dxa"/>
            <w:vAlign w:val="center"/>
          </w:tcPr>
          <w:p w:rsidR="00B70354" w:rsidRDefault="0006100D">
            <w:pPr>
              <w:ind w:firstLineChars="0" w:firstLine="0"/>
              <w:jc w:val="center"/>
              <w:rPr>
                <w:sz w:val="24"/>
                <w:szCs w:val="24"/>
              </w:rPr>
            </w:pPr>
            <w:r>
              <w:rPr>
                <w:rFonts w:hint="eastAsia"/>
                <w:sz w:val="24"/>
                <w:szCs w:val="24"/>
              </w:rPr>
              <w:t>浦口区</w:t>
            </w:r>
          </w:p>
        </w:tc>
        <w:tc>
          <w:tcPr>
            <w:tcW w:w="2977" w:type="dxa"/>
            <w:vAlign w:val="center"/>
          </w:tcPr>
          <w:p w:rsidR="00B70354" w:rsidRDefault="0006100D">
            <w:pPr>
              <w:ind w:firstLineChars="0" w:firstLine="0"/>
              <w:jc w:val="right"/>
              <w:rPr>
                <w:sz w:val="24"/>
                <w:szCs w:val="24"/>
              </w:rPr>
            </w:pPr>
            <w:r>
              <w:rPr>
                <w:rFonts w:hint="eastAsia"/>
                <w:sz w:val="24"/>
                <w:szCs w:val="24"/>
              </w:rPr>
              <w:t>0.00</w:t>
            </w:r>
          </w:p>
        </w:tc>
      </w:tr>
      <w:tr w:rsidR="00B70354">
        <w:trPr>
          <w:trHeight w:val="850"/>
        </w:trPr>
        <w:tc>
          <w:tcPr>
            <w:tcW w:w="1049" w:type="dxa"/>
            <w:vAlign w:val="center"/>
          </w:tcPr>
          <w:p w:rsidR="00B70354" w:rsidRDefault="0006100D">
            <w:pPr>
              <w:ind w:firstLineChars="0" w:firstLine="0"/>
              <w:jc w:val="center"/>
              <w:rPr>
                <w:sz w:val="24"/>
                <w:szCs w:val="24"/>
              </w:rPr>
            </w:pPr>
            <w:r>
              <w:rPr>
                <w:rFonts w:hint="eastAsia"/>
                <w:sz w:val="24"/>
                <w:szCs w:val="24"/>
              </w:rPr>
              <w:t>4</w:t>
            </w:r>
          </w:p>
        </w:tc>
        <w:tc>
          <w:tcPr>
            <w:tcW w:w="3969" w:type="dxa"/>
            <w:vAlign w:val="center"/>
          </w:tcPr>
          <w:p w:rsidR="00B70354" w:rsidRDefault="0006100D">
            <w:pPr>
              <w:ind w:firstLineChars="0" w:firstLine="0"/>
              <w:jc w:val="center"/>
              <w:rPr>
                <w:sz w:val="24"/>
                <w:szCs w:val="24"/>
              </w:rPr>
            </w:pPr>
            <w:proofErr w:type="gramStart"/>
            <w:r>
              <w:rPr>
                <w:rFonts w:hint="eastAsia"/>
                <w:sz w:val="24"/>
                <w:szCs w:val="24"/>
              </w:rPr>
              <w:t>六合区</w:t>
            </w:r>
            <w:proofErr w:type="gramEnd"/>
          </w:p>
        </w:tc>
        <w:tc>
          <w:tcPr>
            <w:tcW w:w="2977" w:type="dxa"/>
            <w:vAlign w:val="center"/>
          </w:tcPr>
          <w:p w:rsidR="00B70354" w:rsidRDefault="0006100D">
            <w:pPr>
              <w:ind w:firstLineChars="0" w:firstLine="0"/>
              <w:jc w:val="right"/>
              <w:rPr>
                <w:sz w:val="24"/>
                <w:szCs w:val="24"/>
              </w:rPr>
            </w:pPr>
            <w:r>
              <w:rPr>
                <w:rFonts w:hint="eastAsia"/>
                <w:sz w:val="24"/>
                <w:szCs w:val="24"/>
              </w:rPr>
              <w:t>3094.656</w:t>
            </w:r>
          </w:p>
        </w:tc>
      </w:tr>
      <w:tr w:rsidR="00B70354">
        <w:trPr>
          <w:trHeight w:val="850"/>
        </w:trPr>
        <w:tc>
          <w:tcPr>
            <w:tcW w:w="1049" w:type="dxa"/>
            <w:vAlign w:val="center"/>
          </w:tcPr>
          <w:p w:rsidR="00B70354" w:rsidRDefault="0006100D">
            <w:pPr>
              <w:ind w:firstLineChars="0" w:firstLine="0"/>
              <w:jc w:val="center"/>
              <w:rPr>
                <w:sz w:val="24"/>
                <w:szCs w:val="24"/>
              </w:rPr>
            </w:pPr>
            <w:r>
              <w:rPr>
                <w:rFonts w:hint="eastAsia"/>
                <w:sz w:val="24"/>
                <w:szCs w:val="24"/>
              </w:rPr>
              <w:t>5</w:t>
            </w:r>
          </w:p>
        </w:tc>
        <w:tc>
          <w:tcPr>
            <w:tcW w:w="3969" w:type="dxa"/>
            <w:vAlign w:val="center"/>
          </w:tcPr>
          <w:p w:rsidR="00B70354" w:rsidRDefault="0006100D">
            <w:pPr>
              <w:ind w:firstLineChars="0" w:firstLine="0"/>
              <w:jc w:val="center"/>
              <w:rPr>
                <w:sz w:val="24"/>
                <w:szCs w:val="24"/>
              </w:rPr>
            </w:pPr>
            <w:r>
              <w:rPr>
                <w:rFonts w:hint="eastAsia"/>
                <w:sz w:val="24"/>
                <w:szCs w:val="24"/>
              </w:rPr>
              <w:t>溧水区</w:t>
            </w:r>
          </w:p>
        </w:tc>
        <w:tc>
          <w:tcPr>
            <w:tcW w:w="2977" w:type="dxa"/>
            <w:vAlign w:val="center"/>
          </w:tcPr>
          <w:p w:rsidR="00B70354" w:rsidRDefault="0006100D">
            <w:pPr>
              <w:ind w:firstLineChars="0" w:firstLine="0"/>
              <w:jc w:val="right"/>
              <w:rPr>
                <w:sz w:val="24"/>
                <w:szCs w:val="24"/>
              </w:rPr>
            </w:pPr>
            <w:r>
              <w:rPr>
                <w:sz w:val="24"/>
                <w:szCs w:val="24"/>
              </w:rPr>
              <w:t>1347.032</w:t>
            </w:r>
          </w:p>
        </w:tc>
      </w:tr>
      <w:tr w:rsidR="00B70354">
        <w:trPr>
          <w:trHeight w:val="850"/>
        </w:trPr>
        <w:tc>
          <w:tcPr>
            <w:tcW w:w="1049" w:type="dxa"/>
            <w:vAlign w:val="center"/>
          </w:tcPr>
          <w:p w:rsidR="00B70354" w:rsidRDefault="0006100D">
            <w:pPr>
              <w:ind w:firstLineChars="0" w:firstLine="0"/>
              <w:jc w:val="center"/>
              <w:rPr>
                <w:sz w:val="24"/>
                <w:szCs w:val="24"/>
              </w:rPr>
            </w:pPr>
            <w:r>
              <w:rPr>
                <w:rFonts w:hint="eastAsia"/>
                <w:sz w:val="24"/>
                <w:szCs w:val="24"/>
              </w:rPr>
              <w:t>6</w:t>
            </w:r>
          </w:p>
        </w:tc>
        <w:tc>
          <w:tcPr>
            <w:tcW w:w="3969" w:type="dxa"/>
            <w:vAlign w:val="center"/>
          </w:tcPr>
          <w:p w:rsidR="00B70354" w:rsidRDefault="0006100D">
            <w:pPr>
              <w:ind w:firstLineChars="0" w:firstLine="0"/>
              <w:jc w:val="center"/>
              <w:rPr>
                <w:sz w:val="24"/>
                <w:szCs w:val="24"/>
              </w:rPr>
            </w:pPr>
            <w:r>
              <w:rPr>
                <w:rFonts w:hint="eastAsia"/>
                <w:sz w:val="24"/>
                <w:szCs w:val="24"/>
              </w:rPr>
              <w:t>高淳区</w:t>
            </w:r>
          </w:p>
        </w:tc>
        <w:tc>
          <w:tcPr>
            <w:tcW w:w="2977" w:type="dxa"/>
            <w:vAlign w:val="center"/>
          </w:tcPr>
          <w:p w:rsidR="00B70354" w:rsidRDefault="0006100D">
            <w:pPr>
              <w:ind w:firstLineChars="0" w:firstLine="0"/>
              <w:jc w:val="right"/>
              <w:rPr>
                <w:sz w:val="24"/>
                <w:szCs w:val="24"/>
              </w:rPr>
            </w:pPr>
            <w:r>
              <w:rPr>
                <w:rFonts w:hint="eastAsia"/>
                <w:sz w:val="24"/>
                <w:szCs w:val="24"/>
              </w:rPr>
              <w:t>669.612</w:t>
            </w:r>
          </w:p>
        </w:tc>
      </w:tr>
      <w:tr w:rsidR="00B70354">
        <w:trPr>
          <w:trHeight w:val="850"/>
        </w:trPr>
        <w:tc>
          <w:tcPr>
            <w:tcW w:w="1049" w:type="dxa"/>
            <w:vAlign w:val="center"/>
          </w:tcPr>
          <w:p w:rsidR="00B70354" w:rsidRDefault="0006100D">
            <w:pPr>
              <w:ind w:firstLineChars="0" w:firstLine="0"/>
              <w:jc w:val="center"/>
              <w:rPr>
                <w:sz w:val="24"/>
                <w:szCs w:val="24"/>
              </w:rPr>
            </w:pPr>
            <w:r>
              <w:rPr>
                <w:rFonts w:hint="eastAsia"/>
                <w:sz w:val="24"/>
                <w:szCs w:val="24"/>
              </w:rPr>
              <w:t>7</w:t>
            </w:r>
          </w:p>
        </w:tc>
        <w:tc>
          <w:tcPr>
            <w:tcW w:w="3969" w:type="dxa"/>
            <w:vAlign w:val="center"/>
          </w:tcPr>
          <w:p w:rsidR="00B70354" w:rsidRDefault="0006100D">
            <w:pPr>
              <w:ind w:firstLineChars="0" w:firstLine="0"/>
              <w:jc w:val="center"/>
              <w:rPr>
                <w:sz w:val="24"/>
                <w:szCs w:val="24"/>
              </w:rPr>
            </w:pPr>
            <w:r>
              <w:rPr>
                <w:rFonts w:hint="eastAsia"/>
                <w:sz w:val="24"/>
                <w:szCs w:val="24"/>
              </w:rPr>
              <w:t>栖霞区</w:t>
            </w:r>
          </w:p>
        </w:tc>
        <w:tc>
          <w:tcPr>
            <w:tcW w:w="2977" w:type="dxa"/>
            <w:vAlign w:val="center"/>
          </w:tcPr>
          <w:p w:rsidR="00B70354" w:rsidRDefault="0006100D">
            <w:pPr>
              <w:ind w:firstLineChars="0" w:firstLine="0"/>
              <w:jc w:val="right"/>
              <w:rPr>
                <w:sz w:val="24"/>
                <w:szCs w:val="24"/>
              </w:rPr>
            </w:pPr>
            <w:r>
              <w:rPr>
                <w:rFonts w:hint="eastAsia"/>
                <w:sz w:val="24"/>
                <w:szCs w:val="24"/>
              </w:rPr>
              <w:t>144.288</w:t>
            </w:r>
          </w:p>
        </w:tc>
      </w:tr>
      <w:tr w:rsidR="00B70354">
        <w:trPr>
          <w:trHeight w:val="850"/>
        </w:trPr>
        <w:tc>
          <w:tcPr>
            <w:tcW w:w="1049" w:type="dxa"/>
            <w:vAlign w:val="center"/>
          </w:tcPr>
          <w:p w:rsidR="00B70354" w:rsidRDefault="0006100D">
            <w:pPr>
              <w:ind w:firstLineChars="0" w:firstLine="0"/>
              <w:jc w:val="center"/>
              <w:rPr>
                <w:sz w:val="24"/>
                <w:szCs w:val="24"/>
              </w:rPr>
            </w:pPr>
            <w:r>
              <w:rPr>
                <w:rFonts w:hint="eastAsia"/>
                <w:sz w:val="24"/>
                <w:szCs w:val="24"/>
              </w:rPr>
              <w:t>8</w:t>
            </w:r>
          </w:p>
        </w:tc>
        <w:tc>
          <w:tcPr>
            <w:tcW w:w="3969" w:type="dxa"/>
            <w:vAlign w:val="center"/>
          </w:tcPr>
          <w:p w:rsidR="00B70354" w:rsidRDefault="0006100D">
            <w:pPr>
              <w:ind w:firstLineChars="0" w:firstLine="0"/>
              <w:jc w:val="center"/>
              <w:rPr>
                <w:sz w:val="24"/>
                <w:szCs w:val="24"/>
              </w:rPr>
            </w:pPr>
            <w:r>
              <w:rPr>
                <w:rFonts w:hint="eastAsia"/>
                <w:sz w:val="24"/>
                <w:szCs w:val="24"/>
              </w:rPr>
              <w:t>雨花台区</w:t>
            </w:r>
          </w:p>
        </w:tc>
        <w:tc>
          <w:tcPr>
            <w:tcW w:w="2977" w:type="dxa"/>
            <w:vAlign w:val="center"/>
          </w:tcPr>
          <w:p w:rsidR="00B70354" w:rsidRDefault="0006100D">
            <w:pPr>
              <w:ind w:firstLineChars="0" w:firstLine="0"/>
              <w:jc w:val="right"/>
              <w:rPr>
                <w:sz w:val="24"/>
                <w:szCs w:val="24"/>
              </w:rPr>
            </w:pPr>
            <w:r>
              <w:rPr>
                <w:rFonts w:hint="eastAsia"/>
                <w:sz w:val="24"/>
                <w:szCs w:val="24"/>
              </w:rPr>
              <w:t>3.3</w:t>
            </w:r>
          </w:p>
        </w:tc>
      </w:tr>
      <w:tr w:rsidR="00B70354">
        <w:trPr>
          <w:trHeight w:val="850"/>
        </w:trPr>
        <w:tc>
          <w:tcPr>
            <w:tcW w:w="5018" w:type="dxa"/>
            <w:gridSpan w:val="2"/>
            <w:vAlign w:val="center"/>
          </w:tcPr>
          <w:p w:rsidR="00B70354" w:rsidRDefault="0006100D">
            <w:pPr>
              <w:ind w:firstLineChars="0" w:firstLine="0"/>
              <w:jc w:val="center"/>
              <w:rPr>
                <w:sz w:val="24"/>
                <w:szCs w:val="24"/>
              </w:rPr>
            </w:pPr>
            <w:r>
              <w:rPr>
                <w:rFonts w:hint="eastAsia"/>
                <w:sz w:val="24"/>
                <w:szCs w:val="24"/>
              </w:rPr>
              <w:t>合计</w:t>
            </w:r>
          </w:p>
        </w:tc>
        <w:tc>
          <w:tcPr>
            <w:tcW w:w="2977" w:type="dxa"/>
            <w:vAlign w:val="center"/>
          </w:tcPr>
          <w:p w:rsidR="00B70354" w:rsidRDefault="0006100D">
            <w:pPr>
              <w:ind w:firstLineChars="0" w:firstLine="0"/>
              <w:jc w:val="right"/>
              <w:rPr>
                <w:sz w:val="24"/>
                <w:szCs w:val="24"/>
              </w:rPr>
            </w:pPr>
            <w:r>
              <w:rPr>
                <w:sz w:val="24"/>
                <w:szCs w:val="24"/>
              </w:rPr>
              <w:t>6802.502</w:t>
            </w:r>
          </w:p>
        </w:tc>
      </w:tr>
    </w:tbl>
    <w:p w:rsidR="00B70354" w:rsidRDefault="0006100D">
      <w:pPr>
        <w:ind w:firstLine="606"/>
        <w:rPr>
          <w:spacing w:val="-17"/>
          <w:highlight w:val="yellow"/>
        </w:rPr>
      </w:pPr>
      <w:r>
        <w:rPr>
          <w:rFonts w:hint="eastAsia"/>
          <w:spacing w:val="-17"/>
        </w:rPr>
        <w:t>注：江北新区及浦口区</w:t>
      </w:r>
      <w:r>
        <w:rPr>
          <w:rFonts w:hint="eastAsia"/>
          <w:spacing w:val="-17"/>
        </w:rPr>
        <w:t>2025</w:t>
      </w:r>
      <w:r>
        <w:rPr>
          <w:rFonts w:hint="eastAsia"/>
          <w:spacing w:val="-17"/>
        </w:rPr>
        <w:t>年度未开展水稻生态补偿项目，未使用相关资金。</w:t>
      </w:r>
    </w:p>
    <w:p w:rsidR="00B70354" w:rsidRDefault="0006100D">
      <w:pPr>
        <w:ind w:firstLine="606"/>
        <w:rPr>
          <w:spacing w:val="-17"/>
        </w:rPr>
      </w:pPr>
      <w:r>
        <w:rPr>
          <w:spacing w:val="-17"/>
        </w:rPr>
        <w:t>总体来看，项目实施完成了年度既定工作任务，财政资金使用总体规范，项目实施取得了较好的经济效益、社会效益和生态效益，对改善农业生产条件、提升农业生态环境质量、稳定水稻种植面积、增强农户种粮积极性发挥了积极作用。</w:t>
      </w:r>
      <w:proofErr w:type="gramStart"/>
      <w:r>
        <w:rPr>
          <w:spacing w:val="-17"/>
        </w:rPr>
        <w:t>评价组运用</w:t>
      </w:r>
      <w:proofErr w:type="gramEnd"/>
      <w:r>
        <w:rPr>
          <w:spacing w:val="-17"/>
        </w:rPr>
        <w:t>绩</w:t>
      </w:r>
      <w:r>
        <w:rPr>
          <w:spacing w:val="-17"/>
        </w:rPr>
        <w:lastRenderedPageBreak/>
        <w:t>效评价指标体系及评分标准，对项目实施情况进行了综合评价，项目综合评价得分</w:t>
      </w:r>
      <w:r>
        <w:rPr>
          <w:rFonts w:hint="eastAsia"/>
          <w:spacing w:val="-17"/>
        </w:rPr>
        <w:t>98.00</w:t>
      </w:r>
      <w:r>
        <w:rPr>
          <w:spacing w:val="-17"/>
        </w:rPr>
        <w:t>分，评价等级为</w:t>
      </w:r>
      <w:r>
        <w:rPr>
          <w:spacing w:val="-17"/>
        </w:rPr>
        <w:t>"</w:t>
      </w:r>
      <w:r>
        <w:rPr>
          <w:spacing w:val="-17"/>
        </w:rPr>
        <w:t>优</w:t>
      </w:r>
      <w:r>
        <w:rPr>
          <w:spacing w:val="-17"/>
        </w:rPr>
        <w:t>"</w:t>
      </w:r>
      <w:r>
        <w:rPr>
          <w:spacing w:val="-17"/>
        </w:rPr>
        <w:t>。</w:t>
      </w:r>
    </w:p>
    <w:p w:rsidR="00B70354" w:rsidRDefault="0006100D">
      <w:pPr>
        <w:ind w:firstLine="606"/>
        <w:rPr>
          <w:spacing w:val="-17"/>
        </w:rPr>
      </w:pPr>
      <w:r>
        <w:rPr>
          <w:rFonts w:hint="eastAsia"/>
          <w:spacing w:val="-17"/>
        </w:rPr>
        <w:t>各部分权重和评分结果见下表</w:t>
      </w:r>
      <w:r>
        <w:rPr>
          <w:rFonts w:hint="eastAsia"/>
          <w:spacing w:val="-17"/>
        </w:rPr>
        <w:t>:</w:t>
      </w:r>
    </w:p>
    <w:tbl>
      <w:tblPr>
        <w:tblW w:w="4997" w:type="pct"/>
        <w:tblLook w:val="04A0" w:firstRow="1" w:lastRow="0" w:firstColumn="1" w:lastColumn="0" w:noHBand="0" w:noVBand="1"/>
      </w:tblPr>
      <w:tblGrid>
        <w:gridCol w:w="1434"/>
        <w:gridCol w:w="1512"/>
        <w:gridCol w:w="1499"/>
        <w:gridCol w:w="1499"/>
        <w:gridCol w:w="1499"/>
        <w:gridCol w:w="1499"/>
      </w:tblGrid>
      <w:tr w:rsidR="00B70354">
        <w:trPr>
          <w:trHeight w:val="327"/>
        </w:trPr>
        <w:tc>
          <w:tcPr>
            <w:tcW w:w="1397" w:type="dxa"/>
            <w:tcBorders>
              <w:top w:val="single" w:sz="8" w:space="0" w:color="000000"/>
              <w:left w:val="single" w:sz="8" w:space="0" w:color="000000"/>
              <w:bottom w:val="single" w:sz="8" w:space="0" w:color="000000"/>
              <w:right w:val="single" w:sz="8" w:space="0" w:color="000000"/>
            </w:tcBorders>
            <w:vAlign w:val="center"/>
          </w:tcPr>
          <w:p w:rsidR="00B70354" w:rsidRDefault="0006100D">
            <w:pPr>
              <w:ind w:firstLineChars="0" w:firstLine="0"/>
              <w:jc w:val="center"/>
              <w:rPr>
                <w:sz w:val="24"/>
                <w:szCs w:val="24"/>
              </w:rPr>
            </w:pPr>
            <w:r>
              <w:rPr>
                <w:sz w:val="24"/>
                <w:szCs w:val="24"/>
              </w:rPr>
              <w:t>项目</w:t>
            </w:r>
          </w:p>
        </w:tc>
        <w:tc>
          <w:tcPr>
            <w:tcW w:w="1473" w:type="dxa"/>
            <w:tcBorders>
              <w:top w:val="single" w:sz="8" w:space="0" w:color="000000"/>
              <w:left w:val="single" w:sz="8" w:space="0" w:color="000000"/>
              <w:bottom w:val="single" w:sz="8" w:space="0" w:color="000000"/>
              <w:right w:val="single" w:sz="8" w:space="0" w:color="000000"/>
            </w:tcBorders>
            <w:vAlign w:val="center"/>
          </w:tcPr>
          <w:p w:rsidR="00B70354" w:rsidRDefault="0006100D">
            <w:pPr>
              <w:ind w:firstLineChars="0" w:firstLine="0"/>
              <w:jc w:val="center"/>
              <w:rPr>
                <w:sz w:val="24"/>
                <w:szCs w:val="24"/>
              </w:rPr>
            </w:pPr>
            <w:r>
              <w:rPr>
                <w:sz w:val="24"/>
                <w:szCs w:val="24"/>
              </w:rPr>
              <w:t>决策指标</w:t>
            </w:r>
          </w:p>
        </w:tc>
        <w:tc>
          <w:tcPr>
            <w:tcW w:w="1459" w:type="dxa"/>
            <w:tcBorders>
              <w:top w:val="single" w:sz="8" w:space="0" w:color="000000"/>
              <w:left w:val="single" w:sz="8" w:space="0" w:color="000000"/>
              <w:bottom w:val="single" w:sz="8" w:space="0" w:color="000000"/>
              <w:right w:val="single" w:sz="8" w:space="0" w:color="000000"/>
            </w:tcBorders>
            <w:vAlign w:val="center"/>
          </w:tcPr>
          <w:p w:rsidR="00B70354" w:rsidRDefault="0006100D">
            <w:pPr>
              <w:ind w:firstLineChars="0" w:firstLine="0"/>
              <w:jc w:val="center"/>
              <w:rPr>
                <w:sz w:val="24"/>
                <w:szCs w:val="24"/>
              </w:rPr>
            </w:pPr>
            <w:r>
              <w:rPr>
                <w:sz w:val="24"/>
                <w:szCs w:val="24"/>
              </w:rPr>
              <w:t>过程指标</w:t>
            </w:r>
          </w:p>
        </w:tc>
        <w:tc>
          <w:tcPr>
            <w:tcW w:w="1459" w:type="dxa"/>
            <w:tcBorders>
              <w:top w:val="single" w:sz="8" w:space="0" w:color="000000"/>
              <w:left w:val="single" w:sz="8" w:space="0" w:color="000000"/>
              <w:bottom w:val="single" w:sz="8" w:space="0" w:color="000000"/>
              <w:right w:val="single" w:sz="8" w:space="0" w:color="000000"/>
            </w:tcBorders>
            <w:vAlign w:val="center"/>
          </w:tcPr>
          <w:p w:rsidR="00B70354" w:rsidRDefault="0006100D">
            <w:pPr>
              <w:ind w:firstLineChars="0" w:firstLine="0"/>
              <w:jc w:val="center"/>
              <w:rPr>
                <w:sz w:val="24"/>
                <w:szCs w:val="24"/>
              </w:rPr>
            </w:pPr>
            <w:r>
              <w:rPr>
                <w:sz w:val="24"/>
                <w:szCs w:val="24"/>
              </w:rPr>
              <w:t>产出</w:t>
            </w:r>
            <w:r>
              <w:rPr>
                <w:rFonts w:hint="eastAsia"/>
                <w:sz w:val="24"/>
                <w:szCs w:val="24"/>
              </w:rPr>
              <w:t>与效益</w:t>
            </w:r>
            <w:r>
              <w:rPr>
                <w:sz w:val="24"/>
                <w:szCs w:val="24"/>
              </w:rPr>
              <w:t>指标</w:t>
            </w:r>
          </w:p>
        </w:tc>
        <w:tc>
          <w:tcPr>
            <w:tcW w:w="1459" w:type="dxa"/>
            <w:tcBorders>
              <w:top w:val="single" w:sz="8" w:space="0" w:color="000000"/>
              <w:left w:val="single" w:sz="8" w:space="0" w:color="000000"/>
              <w:bottom w:val="single" w:sz="8" w:space="0" w:color="000000"/>
              <w:right w:val="single" w:sz="8" w:space="0" w:color="000000"/>
            </w:tcBorders>
            <w:vAlign w:val="center"/>
          </w:tcPr>
          <w:p w:rsidR="00B70354" w:rsidRDefault="0006100D">
            <w:pPr>
              <w:ind w:firstLineChars="0" w:firstLine="0"/>
              <w:jc w:val="center"/>
              <w:rPr>
                <w:sz w:val="24"/>
                <w:szCs w:val="24"/>
              </w:rPr>
            </w:pPr>
            <w:r>
              <w:rPr>
                <w:rFonts w:hint="eastAsia"/>
                <w:sz w:val="24"/>
                <w:szCs w:val="24"/>
              </w:rPr>
              <w:t>满意度</w:t>
            </w:r>
          </w:p>
          <w:p w:rsidR="00B70354" w:rsidRDefault="0006100D">
            <w:pPr>
              <w:ind w:firstLineChars="0" w:firstLine="0"/>
              <w:jc w:val="center"/>
              <w:rPr>
                <w:sz w:val="24"/>
                <w:szCs w:val="24"/>
              </w:rPr>
            </w:pPr>
            <w:r>
              <w:rPr>
                <w:sz w:val="24"/>
                <w:szCs w:val="24"/>
              </w:rPr>
              <w:t>指标</w:t>
            </w:r>
          </w:p>
        </w:tc>
        <w:tc>
          <w:tcPr>
            <w:tcW w:w="1459" w:type="dxa"/>
            <w:tcBorders>
              <w:top w:val="single" w:sz="8" w:space="0" w:color="000000"/>
              <w:left w:val="single" w:sz="8" w:space="0" w:color="000000"/>
              <w:bottom w:val="single" w:sz="8" w:space="0" w:color="000000"/>
              <w:right w:val="single" w:sz="8" w:space="0" w:color="000000"/>
            </w:tcBorders>
            <w:vAlign w:val="center"/>
          </w:tcPr>
          <w:p w:rsidR="00B70354" w:rsidRDefault="0006100D">
            <w:pPr>
              <w:ind w:firstLineChars="0" w:firstLine="0"/>
              <w:jc w:val="center"/>
              <w:rPr>
                <w:sz w:val="24"/>
                <w:szCs w:val="24"/>
              </w:rPr>
            </w:pPr>
            <w:r>
              <w:rPr>
                <w:sz w:val="24"/>
                <w:szCs w:val="24"/>
              </w:rPr>
              <w:t>得分</w:t>
            </w:r>
          </w:p>
        </w:tc>
      </w:tr>
      <w:tr w:rsidR="00B70354">
        <w:trPr>
          <w:trHeight w:val="327"/>
        </w:trPr>
        <w:tc>
          <w:tcPr>
            <w:tcW w:w="1397" w:type="dxa"/>
            <w:tcBorders>
              <w:top w:val="nil"/>
              <w:left w:val="single" w:sz="8" w:space="0" w:color="000000"/>
              <w:bottom w:val="single" w:sz="8" w:space="0" w:color="000000"/>
              <w:right w:val="single" w:sz="8" w:space="0" w:color="000000"/>
            </w:tcBorders>
            <w:vAlign w:val="center"/>
          </w:tcPr>
          <w:p w:rsidR="00B70354" w:rsidRDefault="0006100D">
            <w:pPr>
              <w:ind w:firstLineChars="0" w:firstLine="0"/>
              <w:jc w:val="center"/>
              <w:rPr>
                <w:sz w:val="24"/>
                <w:szCs w:val="24"/>
              </w:rPr>
            </w:pPr>
            <w:r>
              <w:rPr>
                <w:sz w:val="24"/>
                <w:szCs w:val="24"/>
              </w:rPr>
              <w:t>标准分值</w:t>
            </w:r>
          </w:p>
        </w:tc>
        <w:tc>
          <w:tcPr>
            <w:tcW w:w="1473" w:type="dxa"/>
            <w:tcBorders>
              <w:top w:val="nil"/>
              <w:left w:val="single" w:sz="8" w:space="0" w:color="000000"/>
              <w:bottom w:val="single" w:sz="8" w:space="0" w:color="000000"/>
              <w:right w:val="single" w:sz="8" w:space="0" w:color="000000"/>
            </w:tcBorders>
            <w:vAlign w:val="center"/>
          </w:tcPr>
          <w:p w:rsidR="00B70354" w:rsidRDefault="0006100D">
            <w:pPr>
              <w:ind w:firstLineChars="0" w:firstLine="0"/>
              <w:jc w:val="center"/>
              <w:rPr>
                <w:sz w:val="24"/>
                <w:szCs w:val="24"/>
              </w:rPr>
            </w:pPr>
            <w:r>
              <w:rPr>
                <w:rFonts w:hint="eastAsia"/>
                <w:sz w:val="24"/>
                <w:szCs w:val="24"/>
              </w:rPr>
              <w:t>10</w:t>
            </w:r>
          </w:p>
        </w:tc>
        <w:tc>
          <w:tcPr>
            <w:tcW w:w="1459" w:type="dxa"/>
            <w:tcBorders>
              <w:top w:val="nil"/>
              <w:left w:val="single" w:sz="8" w:space="0" w:color="000000"/>
              <w:bottom w:val="single" w:sz="8" w:space="0" w:color="000000"/>
              <w:right w:val="single" w:sz="8" w:space="0" w:color="000000"/>
            </w:tcBorders>
            <w:vAlign w:val="center"/>
          </w:tcPr>
          <w:p w:rsidR="00B70354" w:rsidRDefault="0006100D">
            <w:pPr>
              <w:ind w:firstLineChars="0" w:firstLine="0"/>
              <w:jc w:val="center"/>
              <w:rPr>
                <w:sz w:val="24"/>
                <w:szCs w:val="24"/>
              </w:rPr>
            </w:pPr>
            <w:r>
              <w:rPr>
                <w:rFonts w:hint="eastAsia"/>
                <w:sz w:val="24"/>
                <w:szCs w:val="24"/>
              </w:rPr>
              <w:t>20</w:t>
            </w:r>
          </w:p>
        </w:tc>
        <w:tc>
          <w:tcPr>
            <w:tcW w:w="1459" w:type="dxa"/>
            <w:tcBorders>
              <w:top w:val="nil"/>
              <w:left w:val="single" w:sz="8" w:space="0" w:color="000000"/>
              <w:bottom w:val="single" w:sz="8" w:space="0" w:color="000000"/>
              <w:right w:val="single" w:sz="8" w:space="0" w:color="000000"/>
            </w:tcBorders>
            <w:vAlign w:val="center"/>
          </w:tcPr>
          <w:p w:rsidR="00B70354" w:rsidRDefault="0006100D">
            <w:pPr>
              <w:ind w:firstLineChars="0" w:firstLine="0"/>
              <w:jc w:val="center"/>
              <w:rPr>
                <w:sz w:val="24"/>
                <w:szCs w:val="24"/>
              </w:rPr>
            </w:pPr>
            <w:r>
              <w:rPr>
                <w:rFonts w:hint="eastAsia"/>
                <w:sz w:val="24"/>
                <w:szCs w:val="24"/>
              </w:rPr>
              <w:t>60</w:t>
            </w:r>
          </w:p>
        </w:tc>
        <w:tc>
          <w:tcPr>
            <w:tcW w:w="1459" w:type="dxa"/>
            <w:tcBorders>
              <w:top w:val="nil"/>
              <w:left w:val="single" w:sz="8" w:space="0" w:color="000000"/>
              <w:bottom w:val="single" w:sz="8" w:space="0" w:color="000000"/>
              <w:right w:val="single" w:sz="8" w:space="0" w:color="000000"/>
            </w:tcBorders>
            <w:vAlign w:val="center"/>
          </w:tcPr>
          <w:p w:rsidR="00B70354" w:rsidRDefault="0006100D">
            <w:pPr>
              <w:ind w:firstLineChars="0" w:firstLine="0"/>
              <w:jc w:val="center"/>
              <w:rPr>
                <w:sz w:val="24"/>
                <w:szCs w:val="24"/>
              </w:rPr>
            </w:pPr>
            <w:r>
              <w:rPr>
                <w:rFonts w:hint="eastAsia"/>
                <w:sz w:val="24"/>
                <w:szCs w:val="24"/>
              </w:rPr>
              <w:t>10</w:t>
            </w:r>
          </w:p>
        </w:tc>
        <w:tc>
          <w:tcPr>
            <w:tcW w:w="1459" w:type="dxa"/>
            <w:tcBorders>
              <w:top w:val="nil"/>
              <w:left w:val="single" w:sz="8" w:space="0" w:color="000000"/>
              <w:bottom w:val="single" w:sz="8" w:space="0" w:color="000000"/>
              <w:right w:val="single" w:sz="8" w:space="0" w:color="000000"/>
            </w:tcBorders>
            <w:vAlign w:val="center"/>
          </w:tcPr>
          <w:p w:rsidR="00B70354" w:rsidRDefault="0006100D">
            <w:pPr>
              <w:ind w:firstLineChars="0" w:firstLine="0"/>
              <w:jc w:val="center"/>
              <w:rPr>
                <w:sz w:val="24"/>
                <w:szCs w:val="24"/>
              </w:rPr>
            </w:pPr>
            <w:r>
              <w:rPr>
                <w:rFonts w:hint="eastAsia"/>
                <w:sz w:val="24"/>
                <w:szCs w:val="24"/>
              </w:rPr>
              <w:t>100</w:t>
            </w:r>
          </w:p>
        </w:tc>
      </w:tr>
      <w:tr w:rsidR="00B70354">
        <w:trPr>
          <w:trHeight w:val="327"/>
        </w:trPr>
        <w:tc>
          <w:tcPr>
            <w:tcW w:w="1397" w:type="dxa"/>
            <w:tcBorders>
              <w:top w:val="nil"/>
              <w:left w:val="single" w:sz="8" w:space="0" w:color="000000"/>
              <w:bottom w:val="single" w:sz="8" w:space="0" w:color="000000"/>
              <w:right w:val="single" w:sz="8" w:space="0" w:color="000000"/>
            </w:tcBorders>
            <w:vAlign w:val="center"/>
          </w:tcPr>
          <w:p w:rsidR="00B70354" w:rsidRDefault="0006100D">
            <w:pPr>
              <w:ind w:firstLineChars="0" w:firstLine="0"/>
              <w:jc w:val="center"/>
              <w:rPr>
                <w:sz w:val="24"/>
                <w:szCs w:val="24"/>
              </w:rPr>
            </w:pPr>
            <w:r>
              <w:rPr>
                <w:sz w:val="24"/>
                <w:szCs w:val="24"/>
              </w:rPr>
              <w:t>评价得分</w:t>
            </w:r>
          </w:p>
        </w:tc>
        <w:tc>
          <w:tcPr>
            <w:tcW w:w="1473" w:type="dxa"/>
            <w:tcBorders>
              <w:top w:val="nil"/>
              <w:left w:val="single" w:sz="8" w:space="0" w:color="000000"/>
              <w:bottom w:val="single" w:sz="8" w:space="0" w:color="000000"/>
              <w:right w:val="single" w:sz="8" w:space="0" w:color="000000"/>
            </w:tcBorders>
            <w:vAlign w:val="center"/>
          </w:tcPr>
          <w:p w:rsidR="00B70354" w:rsidRDefault="0006100D">
            <w:pPr>
              <w:ind w:firstLineChars="0" w:firstLine="0"/>
              <w:jc w:val="center"/>
              <w:rPr>
                <w:sz w:val="24"/>
                <w:szCs w:val="24"/>
              </w:rPr>
            </w:pPr>
            <w:r>
              <w:rPr>
                <w:rFonts w:hint="eastAsia"/>
                <w:sz w:val="24"/>
                <w:szCs w:val="24"/>
              </w:rPr>
              <w:t>10</w:t>
            </w:r>
          </w:p>
        </w:tc>
        <w:tc>
          <w:tcPr>
            <w:tcW w:w="1459" w:type="dxa"/>
            <w:tcBorders>
              <w:top w:val="nil"/>
              <w:left w:val="single" w:sz="8" w:space="0" w:color="000000"/>
              <w:bottom w:val="single" w:sz="8" w:space="0" w:color="000000"/>
              <w:right w:val="single" w:sz="8" w:space="0" w:color="000000"/>
            </w:tcBorders>
            <w:vAlign w:val="center"/>
          </w:tcPr>
          <w:p w:rsidR="00B70354" w:rsidRDefault="0006100D">
            <w:pPr>
              <w:ind w:firstLineChars="0" w:firstLine="0"/>
              <w:jc w:val="center"/>
              <w:rPr>
                <w:sz w:val="24"/>
                <w:szCs w:val="24"/>
              </w:rPr>
            </w:pPr>
            <w:r>
              <w:rPr>
                <w:rFonts w:hint="eastAsia"/>
                <w:sz w:val="24"/>
                <w:szCs w:val="24"/>
              </w:rPr>
              <w:t>20</w:t>
            </w:r>
          </w:p>
        </w:tc>
        <w:tc>
          <w:tcPr>
            <w:tcW w:w="1459" w:type="dxa"/>
            <w:tcBorders>
              <w:top w:val="nil"/>
              <w:left w:val="single" w:sz="8" w:space="0" w:color="000000"/>
              <w:bottom w:val="single" w:sz="8" w:space="0" w:color="000000"/>
              <w:right w:val="single" w:sz="8" w:space="0" w:color="000000"/>
            </w:tcBorders>
            <w:vAlign w:val="center"/>
          </w:tcPr>
          <w:p w:rsidR="00B70354" w:rsidRDefault="0006100D">
            <w:pPr>
              <w:ind w:firstLineChars="0" w:firstLine="0"/>
              <w:jc w:val="center"/>
              <w:rPr>
                <w:sz w:val="24"/>
                <w:szCs w:val="24"/>
              </w:rPr>
            </w:pPr>
            <w:r>
              <w:rPr>
                <w:rFonts w:hint="eastAsia"/>
                <w:sz w:val="24"/>
                <w:szCs w:val="24"/>
              </w:rPr>
              <w:t>58</w:t>
            </w:r>
          </w:p>
        </w:tc>
        <w:tc>
          <w:tcPr>
            <w:tcW w:w="1459" w:type="dxa"/>
            <w:tcBorders>
              <w:top w:val="nil"/>
              <w:left w:val="single" w:sz="8" w:space="0" w:color="000000"/>
              <w:bottom w:val="single" w:sz="8" w:space="0" w:color="000000"/>
              <w:right w:val="single" w:sz="8" w:space="0" w:color="000000"/>
            </w:tcBorders>
            <w:vAlign w:val="center"/>
          </w:tcPr>
          <w:p w:rsidR="00B70354" w:rsidRDefault="0006100D">
            <w:pPr>
              <w:ind w:firstLineChars="0" w:firstLine="0"/>
              <w:jc w:val="center"/>
              <w:rPr>
                <w:sz w:val="24"/>
                <w:szCs w:val="24"/>
              </w:rPr>
            </w:pPr>
            <w:r>
              <w:rPr>
                <w:rFonts w:hint="eastAsia"/>
                <w:sz w:val="24"/>
                <w:szCs w:val="24"/>
              </w:rPr>
              <w:t>10</w:t>
            </w:r>
          </w:p>
        </w:tc>
        <w:tc>
          <w:tcPr>
            <w:tcW w:w="1459" w:type="dxa"/>
            <w:tcBorders>
              <w:top w:val="nil"/>
              <w:left w:val="single" w:sz="8" w:space="0" w:color="000000"/>
              <w:bottom w:val="single" w:sz="8" w:space="0" w:color="000000"/>
              <w:right w:val="single" w:sz="8" w:space="0" w:color="000000"/>
            </w:tcBorders>
            <w:vAlign w:val="center"/>
          </w:tcPr>
          <w:p w:rsidR="00B70354" w:rsidRDefault="0006100D">
            <w:pPr>
              <w:ind w:firstLineChars="0" w:firstLine="0"/>
              <w:jc w:val="center"/>
              <w:rPr>
                <w:sz w:val="24"/>
                <w:szCs w:val="24"/>
              </w:rPr>
            </w:pPr>
            <w:r>
              <w:rPr>
                <w:rFonts w:hint="eastAsia"/>
                <w:sz w:val="24"/>
                <w:szCs w:val="24"/>
              </w:rPr>
              <w:t>98</w:t>
            </w:r>
          </w:p>
        </w:tc>
      </w:tr>
      <w:tr w:rsidR="00B70354">
        <w:trPr>
          <w:trHeight w:val="327"/>
        </w:trPr>
        <w:tc>
          <w:tcPr>
            <w:tcW w:w="1397" w:type="dxa"/>
            <w:tcBorders>
              <w:top w:val="nil"/>
              <w:left w:val="single" w:sz="8" w:space="0" w:color="000000"/>
              <w:bottom w:val="single" w:sz="8" w:space="0" w:color="000000"/>
              <w:right w:val="single" w:sz="8" w:space="0" w:color="000000"/>
            </w:tcBorders>
            <w:vAlign w:val="center"/>
          </w:tcPr>
          <w:p w:rsidR="00B70354" w:rsidRDefault="0006100D">
            <w:pPr>
              <w:ind w:firstLineChars="0" w:firstLine="0"/>
              <w:jc w:val="center"/>
              <w:rPr>
                <w:sz w:val="24"/>
                <w:szCs w:val="24"/>
              </w:rPr>
            </w:pPr>
            <w:r>
              <w:rPr>
                <w:sz w:val="24"/>
                <w:szCs w:val="24"/>
              </w:rPr>
              <w:t>得分率</w:t>
            </w:r>
          </w:p>
        </w:tc>
        <w:tc>
          <w:tcPr>
            <w:tcW w:w="1473" w:type="dxa"/>
            <w:tcBorders>
              <w:top w:val="nil"/>
              <w:left w:val="single" w:sz="8" w:space="0" w:color="000000"/>
              <w:bottom w:val="single" w:sz="8" w:space="0" w:color="000000"/>
              <w:right w:val="single" w:sz="8" w:space="0" w:color="000000"/>
            </w:tcBorders>
            <w:vAlign w:val="center"/>
          </w:tcPr>
          <w:p w:rsidR="00B70354" w:rsidRDefault="0006100D">
            <w:pPr>
              <w:ind w:firstLineChars="0" w:firstLine="0"/>
              <w:jc w:val="center"/>
              <w:rPr>
                <w:sz w:val="24"/>
                <w:szCs w:val="24"/>
              </w:rPr>
            </w:pPr>
            <w:r>
              <w:rPr>
                <w:rFonts w:hint="eastAsia"/>
                <w:sz w:val="24"/>
                <w:szCs w:val="24"/>
              </w:rPr>
              <w:t>100.00%</w:t>
            </w:r>
          </w:p>
        </w:tc>
        <w:tc>
          <w:tcPr>
            <w:tcW w:w="1459" w:type="dxa"/>
            <w:tcBorders>
              <w:top w:val="nil"/>
              <w:left w:val="single" w:sz="8" w:space="0" w:color="000000"/>
              <w:bottom w:val="single" w:sz="8" w:space="0" w:color="000000"/>
              <w:right w:val="single" w:sz="8" w:space="0" w:color="000000"/>
            </w:tcBorders>
            <w:vAlign w:val="center"/>
          </w:tcPr>
          <w:p w:rsidR="00B70354" w:rsidRDefault="0006100D">
            <w:pPr>
              <w:ind w:firstLineChars="0" w:firstLine="0"/>
              <w:jc w:val="center"/>
              <w:rPr>
                <w:sz w:val="24"/>
                <w:szCs w:val="24"/>
              </w:rPr>
            </w:pPr>
            <w:r>
              <w:rPr>
                <w:rFonts w:hint="eastAsia"/>
                <w:sz w:val="24"/>
                <w:szCs w:val="24"/>
              </w:rPr>
              <w:t>100.00%</w:t>
            </w:r>
          </w:p>
        </w:tc>
        <w:tc>
          <w:tcPr>
            <w:tcW w:w="1459" w:type="dxa"/>
            <w:tcBorders>
              <w:top w:val="nil"/>
              <w:left w:val="single" w:sz="8" w:space="0" w:color="000000"/>
              <w:bottom w:val="single" w:sz="8" w:space="0" w:color="000000"/>
              <w:right w:val="single" w:sz="8" w:space="0" w:color="000000"/>
            </w:tcBorders>
            <w:vAlign w:val="center"/>
          </w:tcPr>
          <w:p w:rsidR="00B70354" w:rsidRDefault="0006100D">
            <w:pPr>
              <w:ind w:firstLineChars="0" w:firstLine="0"/>
              <w:jc w:val="center"/>
              <w:rPr>
                <w:sz w:val="24"/>
                <w:szCs w:val="24"/>
              </w:rPr>
            </w:pPr>
            <w:r>
              <w:rPr>
                <w:rFonts w:hint="eastAsia"/>
                <w:sz w:val="24"/>
                <w:szCs w:val="24"/>
              </w:rPr>
              <w:t>96.66</w:t>
            </w:r>
            <w:r>
              <w:rPr>
                <w:sz w:val="24"/>
                <w:szCs w:val="24"/>
              </w:rPr>
              <w:t>%</w:t>
            </w:r>
          </w:p>
        </w:tc>
        <w:tc>
          <w:tcPr>
            <w:tcW w:w="1459" w:type="dxa"/>
            <w:tcBorders>
              <w:top w:val="nil"/>
              <w:left w:val="single" w:sz="8" w:space="0" w:color="000000"/>
              <w:bottom w:val="single" w:sz="8" w:space="0" w:color="000000"/>
              <w:right w:val="single" w:sz="8" w:space="0" w:color="000000"/>
            </w:tcBorders>
            <w:vAlign w:val="center"/>
          </w:tcPr>
          <w:p w:rsidR="00B70354" w:rsidRDefault="0006100D">
            <w:pPr>
              <w:ind w:firstLineChars="0" w:firstLine="0"/>
              <w:jc w:val="center"/>
              <w:rPr>
                <w:sz w:val="24"/>
                <w:szCs w:val="24"/>
              </w:rPr>
            </w:pPr>
            <w:r>
              <w:rPr>
                <w:rFonts w:hint="eastAsia"/>
                <w:sz w:val="24"/>
                <w:szCs w:val="24"/>
              </w:rPr>
              <w:t>100.00%</w:t>
            </w:r>
          </w:p>
        </w:tc>
        <w:tc>
          <w:tcPr>
            <w:tcW w:w="1459" w:type="dxa"/>
            <w:tcBorders>
              <w:top w:val="nil"/>
              <w:left w:val="single" w:sz="8" w:space="0" w:color="000000"/>
              <w:bottom w:val="single" w:sz="8" w:space="0" w:color="000000"/>
              <w:right w:val="single" w:sz="8" w:space="0" w:color="000000"/>
            </w:tcBorders>
            <w:vAlign w:val="center"/>
          </w:tcPr>
          <w:p w:rsidR="00B70354" w:rsidRDefault="0006100D">
            <w:pPr>
              <w:ind w:firstLineChars="0" w:firstLine="0"/>
              <w:jc w:val="center"/>
              <w:rPr>
                <w:sz w:val="24"/>
                <w:szCs w:val="24"/>
              </w:rPr>
            </w:pPr>
            <w:r>
              <w:rPr>
                <w:rFonts w:hint="eastAsia"/>
                <w:sz w:val="24"/>
                <w:szCs w:val="24"/>
              </w:rPr>
              <w:t>98.00%</w:t>
            </w:r>
          </w:p>
        </w:tc>
      </w:tr>
    </w:tbl>
    <w:p w:rsidR="00B70354" w:rsidRDefault="0006100D">
      <w:pPr>
        <w:ind w:firstLine="664"/>
      </w:pPr>
      <w:r>
        <w:t>具体得分情况</w:t>
      </w:r>
      <w:r>
        <w:rPr>
          <w:spacing w:val="3"/>
        </w:rPr>
        <w:t>详</w:t>
      </w:r>
      <w:r>
        <w:rPr>
          <w:spacing w:val="-15"/>
        </w:rPr>
        <w:t>见</w:t>
      </w:r>
      <w:r>
        <w:rPr>
          <w:spacing w:val="-10"/>
        </w:rPr>
        <w:t>附表</w:t>
      </w:r>
      <w:r>
        <w:rPr>
          <w:spacing w:val="-10"/>
        </w:rPr>
        <w:t>1</w:t>
      </w:r>
      <w:r>
        <w:rPr>
          <w:spacing w:val="-10"/>
        </w:rPr>
        <w:t>。</w:t>
      </w:r>
    </w:p>
    <w:p w:rsidR="00B70354" w:rsidRDefault="0006100D">
      <w:pPr>
        <w:pStyle w:val="1"/>
        <w:ind w:firstLine="664"/>
      </w:pPr>
      <w:bookmarkStart w:id="8" w:name="_Toc233728795"/>
      <w:r>
        <w:t>三、</w:t>
      </w:r>
      <w:r>
        <w:rPr>
          <w:rFonts w:hint="eastAsia"/>
        </w:rPr>
        <w:t>项目成效</w:t>
      </w:r>
      <w:bookmarkEnd w:id="8"/>
    </w:p>
    <w:p w:rsidR="00B70354" w:rsidRDefault="0006100D">
      <w:pPr>
        <w:pStyle w:val="2"/>
        <w:ind w:left="664" w:firstLineChars="0" w:firstLine="0"/>
        <w:rPr>
          <w:rFonts w:ascii="Times New Roman" w:hAnsi="Times New Roman" w:cs="Times New Roman"/>
        </w:rPr>
      </w:pPr>
      <w:bookmarkStart w:id="9" w:name="_Toc233728796"/>
      <w:r>
        <w:rPr>
          <w:rFonts w:ascii="Times New Roman" w:hAnsi="Times New Roman" w:cs="Times New Roman"/>
        </w:rPr>
        <w:t>（</w:t>
      </w:r>
      <w:r>
        <w:rPr>
          <w:rFonts w:ascii="Times New Roman" w:hAnsi="Times New Roman" w:cs="Times New Roman" w:hint="eastAsia"/>
        </w:rPr>
        <w:t>一</w:t>
      </w:r>
      <w:r>
        <w:rPr>
          <w:rFonts w:ascii="Times New Roman" w:hAnsi="Times New Roman" w:cs="Times New Roman"/>
        </w:rPr>
        <w:t>）项目实施情况</w:t>
      </w:r>
      <w:bookmarkEnd w:id="9"/>
    </w:p>
    <w:p w:rsidR="00B70354" w:rsidRDefault="0006100D">
      <w:pPr>
        <w:ind w:firstLine="664"/>
      </w:pPr>
      <w:r>
        <w:rPr>
          <w:rFonts w:hint="eastAsia"/>
        </w:rPr>
        <w:t>2025</w:t>
      </w:r>
      <w:r>
        <w:rPr>
          <w:rFonts w:hint="eastAsia"/>
        </w:rPr>
        <w:t>年度，全市各区按照年度水稻生态补偿实施方案，结合辖区农业生产实际，合理安排补偿资金，重点支持农田基础设施建设、水稻生产环境保护与修复、农业面源污染治理、农业保险补助及土地流转补贴等项目建设，各项工作总体推进平稳。</w:t>
      </w:r>
    </w:p>
    <w:p w:rsidR="00B70354" w:rsidRDefault="0006100D">
      <w:pPr>
        <w:ind w:firstLine="664"/>
      </w:pPr>
      <w:proofErr w:type="gramStart"/>
      <w:r>
        <w:rPr>
          <w:rFonts w:hint="eastAsia"/>
        </w:rPr>
        <w:t>六合区</w:t>
      </w:r>
      <w:proofErr w:type="gramEnd"/>
      <w:r>
        <w:rPr>
          <w:rFonts w:hint="eastAsia"/>
        </w:rPr>
        <w:t>结合辖区水稻种植面积较大的实际情况，在雄州、龙池、程桥等</w:t>
      </w:r>
      <w:r>
        <w:rPr>
          <w:rFonts w:hint="eastAsia"/>
        </w:rPr>
        <w:t>9</w:t>
      </w:r>
      <w:r>
        <w:rPr>
          <w:rFonts w:hint="eastAsia"/>
        </w:rPr>
        <w:t>个街镇实施水稻生态补偿项目，累计安排补偿资金</w:t>
      </w:r>
      <w:r>
        <w:rPr>
          <w:rFonts w:hint="eastAsia"/>
        </w:rPr>
        <w:t>3094.656</w:t>
      </w:r>
      <w:r>
        <w:rPr>
          <w:rFonts w:hint="eastAsia"/>
        </w:rPr>
        <w:t>万元，补偿水稻种植面积</w:t>
      </w:r>
      <w:r>
        <w:rPr>
          <w:rFonts w:hint="eastAsia"/>
        </w:rPr>
        <w:t>51.5776</w:t>
      </w:r>
      <w:r>
        <w:rPr>
          <w:rFonts w:hint="eastAsia"/>
        </w:rPr>
        <w:t>万亩。资金主要用于农田基础设施建设、水稻生产环境保护与修复以及土地流转补贴等方面，通过完善农田基础设施条件、改善农业生产环境，为稳定区域粮食生产提供了有力保障。</w:t>
      </w:r>
    </w:p>
    <w:p w:rsidR="00B70354" w:rsidRDefault="0006100D">
      <w:pPr>
        <w:ind w:firstLine="664"/>
      </w:pPr>
      <w:r>
        <w:rPr>
          <w:rFonts w:hint="eastAsia"/>
        </w:rPr>
        <w:t>溧水区结合辖区农业生产布局，重点实施土地流转补贴、农业保险补助、农田基础设施建设以及农业生态环境保护项</w:t>
      </w:r>
      <w:r>
        <w:rPr>
          <w:rFonts w:hint="eastAsia"/>
        </w:rPr>
        <w:lastRenderedPageBreak/>
        <w:t>目。其中，土地流转及农业保险补助安排资金</w:t>
      </w:r>
      <w:r>
        <w:rPr>
          <w:rFonts w:hint="eastAsia"/>
        </w:rPr>
        <w:t>782.132</w:t>
      </w:r>
      <w:r>
        <w:rPr>
          <w:rFonts w:hint="eastAsia"/>
        </w:rPr>
        <w:t>万元，农田基础设施建设安排资金</w:t>
      </w:r>
      <w:r>
        <w:rPr>
          <w:rFonts w:hint="eastAsia"/>
        </w:rPr>
        <w:t>400</w:t>
      </w:r>
      <w:r>
        <w:rPr>
          <w:rFonts w:hint="eastAsia"/>
        </w:rPr>
        <w:t>万元，同时组织实施农药包装废弃物回收处置、废旧农膜回收处置、新增耕地土壤污染状况调查等项目，进一步推动农业绿色发展和农业生态环境保护。</w:t>
      </w:r>
    </w:p>
    <w:p w:rsidR="00B70354" w:rsidRDefault="0006100D">
      <w:pPr>
        <w:ind w:firstLine="664"/>
      </w:pPr>
      <w:r>
        <w:rPr>
          <w:rFonts w:hint="eastAsia"/>
        </w:rPr>
        <w:t>高淳区围绕农业基础设施提升和农业生态修复持续推进补偿项目实施，在阳江、古柏、漆桥、固城、东坝、</w:t>
      </w:r>
      <w:proofErr w:type="gramStart"/>
      <w:r>
        <w:rPr>
          <w:rFonts w:hint="eastAsia"/>
        </w:rPr>
        <w:t>桠</w:t>
      </w:r>
      <w:proofErr w:type="gramEnd"/>
      <w:r>
        <w:rPr>
          <w:rFonts w:hint="eastAsia"/>
        </w:rPr>
        <w:t>溪等街镇开展农田基础设施建设项目，安排补助资金</w:t>
      </w:r>
      <w:r>
        <w:rPr>
          <w:rFonts w:hint="eastAsia"/>
        </w:rPr>
        <w:t>559.219</w:t>
      </w:r>
      <w:r>
        <w:rPr>
          <w:rFonts w:hint="eastAsia"/>
        </w:rPr>
        <w:t>万元；在砖墙、</w:t>
      </w:r>
      <w:proofErr w:type="gramStart"/>
      <w:r>
        <w:rPr>
          <w:rFonts w:hint="eastAsia"/>
        </w:rPr>
        <w:t>淳</w:t>
      </w:r>
      <w:proofErr w:type="gramEnd"/>
      <w:r>
        <w:rPr>
          <w:rFonts w:hint="eastAsia"/>
        </w:rPr>
        <w:t>溪、东坝等街镇实施水稻生产环境保护与修复项目，安排补助资金</w:t>
      </w:r>
      <w:r>
        <w:rPr>
          <w:rFonts w:hint="eastAsia"/>
        </w:rPr>
        <w:t>79.393</w:t>
      </w:r>
      <w:r>
        <w:rPr>
          <w:rFonts w:hint="eastAsia"/>
        </w:rPr>
        <w:t>万元；同时实施土地流转补贴项目</w:t>
      </w:r>
      <w:r>
        <w:rPr>
          <w:rFonts w:hint="eastAsia"/>
        </w:rPr>
        <w:t>31</w:t>
      </w:r>
      <w:r>
        <w:rPr>
          <w:rFonts w:hint="eastAsia"/>
        </w:rPr>
        <w:t>万元，不断改善农业生产条件，提升农业生态环境质量。</w:t>
      </w:r>
    </w:p>
    <w:p w:rsidR="00B70354" w:rsidRDefault="0006100D">
      <w:pPr>
        <w:ind w:firstLine="664"/>
      </w:pPr>
      <w:r>
        <w:rPr>
          <w:rFonts w:hint="eastAsia"/>
        </w:rPr>
        <w:t>栖霞区围绕龙潭街道、八卦洲街道实施水稻生态补偿项目，共发放补偿资金</w:t>
      </w:r>
      <w:r>
        <w:rPr>
          <w:rFonts w:hint="eastAsia"/>
        </w:rPr>
        <w:t>144.288</w:t>
      </w:r>
      <w:r>
        <w:rPr>
          <w:rFonts w:hint="eastAsia"/>
        </w:rPr>
        <w:t>万元，为辖区水稻生产提供了资金支持。</w:t>
      </w:r>
    </w:p>
    <w:p w:rsidR="00B70354" w:rsidRDefault="0006100D">
      <w:pPr>
        <w:ind w:firstLine="664"/>
      </w:pPr>
      <w:r>
        <w:rPr>
          <w:rFonts w:hint="eastAsia"/>
        </w:rPr>
        <w:t>雨花台区结合板桥街道农业生产实际，组织实施农田基础设施建设、水稻生产环境保护与修复、农业面源污染治理及土地流转补贴等项目，共发放补偿资金</w:t>
      </w:r>
      <w:r>
        <w:rPr>
          <w:rFonts w:hint="eastAsia"/>
        </w:rPr>
        <w:t>3.3</w:t>
      </w:r>
      <w:r>
        <w:rPr>
          <w:rFonts w:hint="eastAsia"/>
        </w:rPr>
        <w:t>万元，有效保障了项目顺利实施。</w:t>
      </w:r>
    </w:p>
    <w:p w:rsidR="00B70354" w:rsidRDefault="0006100D">
      <w:pPr>
        <w:ind w:firstLine="664"/>
      </w:pPr>
      <w:r>
        <w:rPr>
          <w:rFonts w:hint="eastAsia"/>
        </w:rPr>
        <w:t>根据项目实施情况，江宁区实施方案暂未批复，仅支付水稻保险和药剂等</w:t>
      </w:r>
      <w:r>
        <w:rPr>
          <w:rFonts w:hint="eastAsia"/>
        </w:rPr>
        <w:t>8.8757</w:t>
      </w:r>
      <w:r>
        <w:rPr>
          <w:rFonts w:hint="eastAsia"/>
        </w:rPr>
        <w:t>万元，江北新区和浦口区</w:t>
      </w:r>
      <w:r>
        <w:rPr>
          <w:rFonts w:hint="eastAsia"/>
        </w:rPr>
        <w:t>2025</w:t>
      </w:r>
      <w:r>
        <w:rPr>
          <w:rFonts w:hint="eastAsia"/>
        </w:rPr>
        <w:t>年度未组织实施水稻生态补偿项目，相应补偿资金未安排使用。</w:t>
      </w:r>
    </w:p>
    <w:p w:rsidR="00B70354" w:rsidRDefault="0006100D">
      <w:pPr>
        <w:ind w:firstLine="664"/>
      </w:pPr>
      <w:r>
        <w:rPr>
          <w:rFonts w:hint="eastAsia"/>
        </w:rPr>
        <w:lastRenderedPageBreak/>
        <w:t>总体来看，各区能够结合辖区农业发展实际，合理确定资金使用方向，资金安排与项目建设内容总体匹配，补偿政策得到较好落实。</w:t>
      </w:r>
    </w:p>
    <w:p w:rsidR="00B70354" w:rsidRDefault="0006100D">
      <w:pPr>
        <w:pStyle w:val="2"/>
        <w:ind w:left="664" w:firstLineChars="0" w:firstLine="0"/>
        <w:rPr>
          <w:rFonts w:ascii="Times New Roman" w:hAnsi="Times New Roman" w:cs="Times New Roman"/>
        </w:rPr>
      </w:pPr>
      <w:bookmarkStart w:id="10" w:name="_Toc233728797"/>
      <w:r>
        <w:rPr>
          <w:rFonts w:ascii="Times New Roman" w:hAnsi="Times New Roman" w:cs="Times New Roman"/>
        </w:rPr>
        <w:t>（</w:t>
      </w:r>
      <w:r>
        <w:rPr>
          <w:rFonts w:ascii="Times New Roman" w:hAnsi="Times New Roman" w:cs="Times New Roman" w:hint="eastAsia"/>
        </w:rPr>
        <w:t>二</w:t>
      </w:r>
      <w:r>
        <w:rPr>
          <w:rFonts w:ascii="Times New Roman" w:hAnsi="Times New Roman" w:cs="Times New Roman"/>
        </w:rPr>
        <w:t>）</w:t>
      </w:r>
      <w:r>
        <w:rPr>
          <w:rFonts w:ascii="Times New Roman" w:hAnsi="Times New Roman" w:cs="Times New Roman" w:hint="eastAsia"/>
        </w:rPr>
        <w:t>主要成效</w:t>
      </w:r>
      <w:bookmarkEnd w:id="10"/>
    </w:p>
    <w:p w:rsidR="00B70354" w:rsidRDefault="0006100D">
      <w:pPr>
        <w:ind w:firstLine="667"/>
        <w:rPr>
          <w:b/>
          <w:bCs/>
        </w:rPr>
      </w:pPr>
      <w:r>
        <w:rPr>
          <w:rFonts w:hint="eastAsia"/>
          <w:b/>
          <w:bCs/>
        </w:rPr>
        <w:t>1.</w:t>
      </w:r>
      <w:r>
        <w:rPr>
          <w:rFonts w:hint="eastAsia"/>
          <w:b/>
          <w:bCs/>
        </w:rPr>
        <w:t>财政资金引导作用得到发挥</w:t>
      </w:r>
    </w:p>
    <w:p w:rsidR="00B70354" w:rsidRDefault="0006100D">
      <w:pPr>
        <w:ind w:firstLine="664"/>
      </w:pPr>
      <w:r>
        <w:rPr>
          <w:rFonts w:hint="eastAsia"/>
        </w:rPr>
        <w:t>各区认真落实水稻生态补偿政策要求，结合辖区农业生产特点和年度工作计划，科学安排补偿资金使用方向，补偿资金重点投向农业基础设施建设、农业生态保护、水稻生产环境改善及农业保险补助等领域，资金安排与政策要求保持一致，财政资金的政策引导作用得到较好体现。</w:t>
      </w:r>
    </w:p>
    <w:p w:rsidR="00B70354" w:rsidRDefault="0006100D">
      <w:pPr>
        <w:ind w:firstLine="664"/>
      </w:pPr>
      <w:r>
        <w:rPr>
          <w:rFonts w:hint="eastAsia"/>
        </w:rPr>
        <w:t>项目实施过程中，各区能够围绕农业绿色发展和粮食稳产保供目标，坚持资金跟着项目走、项目围绕目标建，补偿资金支持重点明确，有效保障了年度各项建设任务顺利完成，也进一步增强了基层推进农业生态保护工作的积极性。</w:t>
      </w:r>
    </w:p>
    <w:p w:rsidR="00B70354" w:rsidRDefault="0006100D">
      <w:pPr>
        <w:ind w:firstLine="667"/>
        <w:rPr>
          <w:b/>
          <w:bCs/>
        </w:rPr>
      </w:pPr>
      <w:r>
        <w:rPr>
          <w:rFonts w:hint="eastAsia"/>
          <w:b/>
          <w:bCs/>
        </w:rPr>
        <w:t>2.</w:t>
      </w:r>
      <w:r>
        <w:rPr>
          <w:rFonts w:hint="eastAsia"/>
          <w:b/>
          <w:bCs/>
        </w:rPr>
        <w:t>农业基础设施条件持续改善</w:t>
      </w:r>
    </w:p>
    <w:p w:rsidR="00B70354" w:rsidRDefault="0006100D">
      <w:pPr>
        <w:ind w:firstLine="664"/>
      </w:pPr>
      <w:r>
        <w:rPr>
          <w:rFonts w:hint="eastAsia"/>
        </w:rPr>
        <w:t>部分地区利用补偿资金持续完善农田基础设施，对田间道路、沟渠、塘坝、泵站等设施进行新建、维修和改造，有效改善了农田灌溉排水条件，提高了农业机械化作业效率。</w:t>
      </w:r>
    </w:p>
    <w:p w:rsidR="00B70354" w:rsidRDefault="0006100D">
      <w:pPr>
        <w:ind w:firstLine="664"/>
      </w:pPr>
      <w:r>
        <w:rPr>
          <w:rFonts w:hint="eastAsia"/>
        </w:rPr>
        <w:t>基础设施条件的改善，不仅增强了农田抗旱排涝能力，也进一步提升了农业生产保障水平，为粮食稳产高产创造了良好条件。同时，农田道路和配套设施不断完善，也方便了农业生产和群众出行，农村整体生产环境得到进一步改善。</w:t>
      </w:r>
    </w:p>
    <w:p w:rsidR="00B70354" w:rsidRDefault="0006100D">
      <w:pPr>
        <w:ind w:firstLine="667"/>
        <w:rPr>
          <w:b/>
          <w:bCs/>
        </w:rPr>
      </w:pPr>
      <w:r>
        <w:rPr>
          <w:rFonts w:hint="eastAsia"/>
          <w:b/>
          <w:bCs/>
        </w:rPr>
        <w:t>3.</w:t>
      </w:r>
      <w:r>
        <w:rPr>
          <w:rFonts w:hint="eastAsia"/>
          <w:b/>
          <w:bCs/>
        </w:rPr>
        <w:t>农业生态环境持续优化</w:t>
      </w:r>
    </w:p>
    <w:p w:rsidR="00B70354" w:rsidRDefault="0006100D">
      <w:pPr>
        <w:ind w:firstLine="664"/>
      </w:pPr>
      <w:r>
        <w:rPr>
          <w:rFonts w:hint="eastAsia"/>
        </w:rPr>
        <w:lastRenderedPageBreak/>
        <w:t>各区积极将补偿资金用于农业生态环境保护和修复工作，组织开展农业面源污染治理、农药包装废弃物回收、废旧农膜回收利用以及新增耕地土壤污染调查等项目，不断提升农业生态环境治理水平。</w:t>
      </w:r>
    </w:p>
    <w:p w:rsidR="00B70354" w:rsidRDefault="0006100D">
      <w:pPr>
        <w:ind w:firstLine="664"/>
      </w:pPr>
      <w:r>
        <w:rPr>
          <w:rFonts w:hint="eastAsia"/>
        </w:rPr>
        <w:t>项目实施后，农业废弃物回收体系进一步完善，农业投入品使用更加规范，农业面源污染得到有效控制，稻田生态环境持续改善，为推进农业绿色低碳发展奠定了良好基础。同时，各项生态保护措施的落实，也进一步提高了农户生态种植意识，促进农业生产方式逐步向绿色、环保方向转变。</w:t>
      </w:r>
    </w:p>
    <w:p w:rsidR="00B70354" w:rsidRDefault="0006100D">
      <w:pPr>
        <w:ind w:firstLine="667"/>
        <w:rPr>
          <w:b/>
          <w:bCs/>
        </w:rPr>
      </w:pPr>
      <w:r>
        <w:rPr>
          <w:rFonts w:hint="eastAsia"/>
          <w:b/>
          <w:bCs/>
        </w:rPr>
        <w:t>4.</w:t>
      </w:r>
      <w:r>
        <w:rPr>
          <w:rFonts w:hint="eastAsia"/>
          <w:b/>
          <w:bCs/>
        </w:rPr>
        <w:t>农户种粮积极性得到提升</w:t>
      </w:r>
    </w:p>
    <w:p w:rsidR="00B70354" w:rsidRDefault="0006100D">
      <w:pPr>
        <w:ind w:firstLine="664"/>
      </w:pPr>
      <w:r>
        <w:rPr>
          <w:rFonts w:hint="eastAsia"/>
        </w:rPr>
        <w:t>部分地区将补偿资金用于农业保险补助和土地流转补贴，有效减轻了种植主体负担，提高了农业保险参保率，增强了农业抵御自然灾害和市场风险能力。</w:t>
      </w:r>
    </w:p>
    <w:p w:rsidR="00B70354" w:rsidRDefault="0006100D">
      <w:pPr>
        <w:ind w:firstLine="664"/>
      </w:pPr>
      <w:r>
        <w:rPr>
          <w:rFonts w:hint="eastAsia"/>
        </w:rPr>
        <w:t>农业保险补助政策在降低农户生产风险的同时，也增强了种植主体持续开展粮食生产的信心。土地流转补贴政策进一步促进土地适度规模经营，提高农业资源配置效率，为农业规模化、机械化生产创造了有利条件。</w:t>
      </w:r>
    </w:p>
    <w:p w:rsidR="00B70354" w:rsidRDefault="0006100D">
      <w:pPr>
        <w:ind w:firstLine="667"/>
        <w:rPr>
          <w:b/>
          <w:bCs/>
        </w:rPr>
      </w:pPr>
      <w:r>
        <w:rPr>
          <w:rFonts w:hint="eastAsia"/>
          <w:b/>
          <w:bCs/>
        </w:rPr>
        <w:t>5.</w:t>
      </w:r>
      <w:r>
        <w:rPr>
          <w:rFonts w:hint="eastAsia"/>
          <w:b/>
          <w:bCs/>
        </w:rPr>
        <w:t>财政资金综合效益逐步显现</w:t>
      </w:r>
    </w:p>
    <w:p w:rsidR="00B70354" w:rsidRDefault="0006100D">
      <w:pPr>
        <w:ind w:firstLine="664"/>
      </w:pPr>
      <w:r>
        <w:rPr>
          <w:rFonts w:hint="eastAsia"/>
        </w:rPr>
        <w:t>综合项目实施情况来看，水稻生态补偿项目兼顾了农业生产、生态保护和农民增收等多方面目标，财政资金综合效益逐步显现。</w:t>
      </w:r>
    </w:p>
    <w:p w:rsidR="00B70354" w:rsidRDefault="0006100D">
      <w:pPr>
        <w:ind w:firstLine="664"/>
      </w:pPr>
      <w:r>
        <w:rPr>
          <w:rFonts w:hint="eastAsia"/>
        </w:rPr>
        <w:t>经济效益方面，补偿资金在一定程度上减轻了农业生产成本，提高了农业生产保障能力；社会效益方面，稳定了粮</w:t>
      </w:r>
      <w:r>
        <w:rPr>
          <w:rFonts w:hint="eastAsia"/>
        </w:rPr>
        <w:lastRenderedPageBreak/>
        <w:t>食生产基础，增强了农民种粮积极性，促进了农业农村稳定发展；生态效益方面，农业基础设施不断完善，农业生态环境持续改善，绿色生产理念进一步得到推广，水稻生态补偿政策取得了较好的实施效果。</w:t>
      </w:r>
    </w:p>
    <w:p w:rsidR="00B70354" w:rsidRDefault="0006100D">
      <w:pPr>
        <w:ind w:firstLine="664"/>
      </w:pPr>
      <w:r>
        <w:rPr>
          <w:rFonts w:hint="eastAsia"/>
        </w:rPr>
        <w:t>总体来看，</w:t>
      </w:r>
      <w:r>
        <w:rPr>
          <w:rFonts w:hint="eastAsia"/>
        </w:rPr>
        <w:t>2025</w:t>
      </w:r>
      <w:r>
        <w:rPr>
          <w:rFonts w:hint="eastAsia"/>
        </w:rPr>
        <w:t>年度南京市水稻生态补偿项目能够按照既定目标有序实施，资金使用总体规范，项目建设取得了预期成效，为推动全市农业绿色发展、保障粮食安全、促进农业生态环境持续改善发挥了积极作用。</w:t>
      </w:r>
    </w:p>
    <w:p w:rsidR="00B70354" w:rsidRDefault="0006100D">
      <w:pPr>
        <w:pStyle w:val="1"/>
        <w:ind w:firstLine="664"/>
      </w:pPr>
      <w:bookmarkStart w:id="11" w:name="_Toc233728798"/>
      <w:r>
        <w:rPr>
          <w:rFonts w:hint="eastAsia"/>
        </w:rPr>
        <w:t>四、存在问题及原因分析</w:t>
      </w:r>
      <w:bookmarkEnd w:id="11"/>
    </w:p>
    <w:p w:rsidR="00B70354" w:rsidRDefault="0006100D">
      <w:pPr>
        <w:ind w:firstLine="664"/>
      </w:pPr>
      <w:r>
        <w:t>从项目实施情况看，个别地区实施方案编制、审核及报批时间相对靠后，影响了部分项目启动进度</w:t>
      </w:r>
      <w:r>
        <w:rPr>
          <w:rFonts w:hint="eastAsia"/>
        </w:rPr>
        <w:t>，</w:t>
      </w:r>
      <w:r>
        <w:t>项目前期统筹</w:t>
      </w:r>
      <w:proofErr w:type="gramStart"/>
      <w:r>
        <w:t>谋划仍</w:t>
      </w:r>
      <w:proofErr w:type="gramEnd"/>
      <w:r>
        <w:t>有进一步优化空间。</w:t>
      </w:r>
    </w:p>
    <w:p w:rsidR="00B70354" w:rsidRDefault="0006100D">
      <w:pPr>
        <w:pStyle w:val="1"/>
        <w:ind w:firstLine="664"/>
      </w:pPr>
      <w:bookmarkStart w:id="12" w:name="_Toc233728799"/>
      <w:r>
        <w:rPr>
          <w:rFonts w:hint="eastAsia"/>
        </w:rPr>
        <w:t>五、有关建议</w:t>
      </w:r>
      <w:bookmarkEnd w:id="12"/>
    </w:p>
    <w:p w:rsidR="00B70354" w:rsidRDefault="0006100D">
      <w:pPr>
        <w:ind w:firstLine="664"/>
      </w:pPr>
      <w:r>
        <w:t>区级农业主管部门应结合年度资金计划和辖区农业生产实际，进一步做好项目前期调查研究，科学制定项目实施方案，合理安排项目建设时序，尽量缩短方案编制、审核和批复周期，为项目顺利实施预留充足时间。对于建设周期较长或实施内容较复杂的项目，应提前做好项目储备和前期准备工作，提高项目实施的计划性和连续性，确保各项建设任务按计划有序推进。</w:t>
      </w:r>
    </w:p>
    <w:p w:rsidR="00B70354" w:rsidRDefault="0006100D">
      <w:pPr>
        <w:pStyle w:val="1"/>
        <w:ind w:firstLine="664"/>
      </w:pPr>
      <w:bookmarkStart w:id="13" w:name="_Toc233728800"/>
      <w:r>
        <w:rPr>
          <w:rFonts w:hint="eastAsia"/>
        </w:rPr>
        <w:lastRenderedPageBreak/>
        <w:t>六</w:t>
      </w:r>
      <w:r>
        <w:t>、</w:t>
      </w:r>
      <w:r>
        <w:rPr>
          <w:rFonts w:hint="eastAsia"/>
        </w:rPr>
        <w:t>评价工作开展情况及其他需说明的情况</w:t>
      </w:r>
      <w:bookmarkEnd w:id="13"/>
    </w:p>
    <w:p w:rsidR="00B70354" w:rsidRDefault="0006100D">
      <w:pPr>
        <w:pStyle w:val="2"/>
        <w:ind w:firstLine="664"/>
        <w:jc w:val="both"/>
        <w:rPr>
          <w:rFonts w:ascii="Times New Roman" w:hAnsi="Times New Roman" w:cs="Times New Roman"/>
        </w:rPr>
      </w:pPr>
      <w:bookmarkStart w:id="14" w:name="_Toc233182212"/>
      <w:bookmarkStart w:id="15" w:name="_Toc233728801"/>
      <w:r>
        <w:rPr>
          <w:rFonts w:ascii="Times New Roman" w:hAnsi="Times New Roman" w:cs="Times New Roman"/>
        </w:rPr>
        <w:t>（</w:t>
      </w:r>
      <w:r>
        <w:rPr>
          <w:rFonts w:ascii="Times New Roman" w:hAnsi="Times New Roman" w:cs="Times New Roman" w:hint="eastAsia"/>
        </w:rPr>
        <w:t>一</w:t>
      </w:r>
      <w:r>
        <w:rPr>
          <w:rFonts w:ascii="Times New Roman" w:hAnsi="Times New Roman" w:cs="Times New Roman"/>
        </w:rPr>
        <w:t>）评价原则</w:t>
      </w:r>
      <w:bookmarkEnd w:id="14"/>
      <w:bookmarkEnd w:id="15"/>
    </w:p>
    <w:p w:rsidR="00B70354" w:rsidRDefault="0006100D">
      <w:pPr>
        <w:ind w:firstLine="664"/>
        <w:jc w:val="both"/>
      </w:pPr>
      <w:r>
        <w:t>本次绩效评价严格遵循</w:t>
      </w:r>
      <w:r>
        <w:t>“</w:t>
      </w:r>
      <w:r>
        <w:t>结果导向、科学规范、公正公开、绩效相关</w:t>
      </w:r>
      <w:r>
        <w:t>”</w:t>
      </w:r>
      <w:r>
        <w:t>的行业通用原则，确保评价过程有据可查、评价结果真实客观。</w:t>
      </w:r>
    </w:p>
    <w:p w:rsidR="00B70354" w:rsidRDefault="0006100D">
      <w:pPr>
        <w:pStyle w:val="2"/>
        <w:ind w:firstLine="664"/>
        <w:rPr>
          <w:rFonts w:ascii="Times New Roman" w:hAnsi="Times New Roman" w:cs="Times New Roman"/>
        </w:rPr>
      </w:pPr>
      <w:bookmarkStart w:id="16" w:name="_Toc233182213"/>
      <w:bookmarkStart w:id="17" w:name="_Toc233728802"/>
      <w:r>
        <w:rPr>
          <w:rFonts w:ascii="Times New Roman" w:hAnsi="Times New Roman" w:cs="Times New Roman"/>
        </w:rPr>
        <w:t>（</w:t>
      </w:r>
      <w:r>
        <w:rPr>
          <w:rFonts w:ascii="Times New Roman" w:hAnsi="Times New Roman" w:cs="Times New Roman" w:hint="eastAsia"/>
        </w:rPr>
        <w:t>二</w:t>
      </w:r>
      <w:r>
        <w:rPr>
          <w:rFonts w:ascii="Times New Roman" w:hAnsi="Times New Roman" w:cs="Times New Roman"/>
        </w:rPr>
        <w:t>）评价方法</w:t>
      </w:r>
      <w:bookmarkEnd w:id="16"/>
      <w:bookmarkEnd w:id="17"/>
    </w:p>
    <w:p w:rsidR="00B70354" w:rsidRDefault="0006100D">
      <w:pPr>
        <w:ind w:firstLine="688"/>
        <w:jc w:val="both"/>
      </w:pPr>
      <w:r>
        <w:rPr>
          <w:spacing w:val="24"/>
        </w:rPr>
        <w:t>本</w:t>
      </w:r>
      <w:r>
        <w:rPr>
          <w:spacing w:val="15"/>
        </w:rPr>
        <w:t>次</w:t>
      </w:r>
      <w:r>
        <w:t>评价采取定量与定性相结合的办法进行评价。即在比较分析</w:t>
      </w:r>
      <w:r>
        <w:rPr>
          <w:spacing w:val="20"/>
        </w:rPr>
        <w:t>和</w:t>
      </w:r>
      <w:r>
        <w:rPr>
          <w:spacing w:val="14"/>
        </w:rPr>
        <w:t>评</w:t>
      </w:r>
      <w:r>
        <w:rPr>
          <w:spacing w:val="10"/>
        </w:rPr>
        <w:t>定的基础上最终通过得分多少将项目绩效评定为优、良、</w:t>
      </w:r>
      <w:r>
        <w:rPr>
          <w:spacing w:val="1"/>
        </w:rPr>
        <w:t>一般、较</w:t>
      </w:r>
      <w:r>
        <w:t>差四个等级，得分</w:t>
      </w:r>
      <w:r>
        <w:t>90</w:t>
      </w:r>
      <w:r>
        <w:t>分以上为优秀、</w:t>
      </w:r>
      <w:r>
        <w:t>80-90</w:t>
      </w:r>
      <w:r>
        <w:t>（不含）</w:t>
      </w:r>
      <w:r>
        <w:rPr>
          <w:spacing w:val="-2"/>
        </w:rPr>
        <w:t>分为良好、</w:t>
      </w:r>
      <w:r>
        <w:rPr>
          <w:spacing w:val="-2"/>
        </w:rPr>
        <w:t>60-80</w:t>
      </w:r>
      <w:r>
        <w:rPr>
          <w:spacing w:val="-2"/>
        </w:rPr>
        <w:t>（不含）分为</w:t>
      </w:r>
      <w:r>
        <w:rPr>
          <w:spacing w:val="-1"/>
        </w:rPr>
        <w:t>一般、</w:t>
      </w:r>
      <w:r>
        <w:rPr>
          <w:spacing w:val="-1"/>
        </w:rPr>
        <w:t>60</w:t>
      </w:r>
      <w:r>
        <w:rPr>
          <w:spacing w:val="-1"/>
        </w:rPr>
        <w:t>分以下为较差。</w:t>
      </w:r>
    </w:p>
    <w:p w:rsidR="00B70354" w:rsidRDefault="0006100D">
      <w:pPr>
        <w:pStyle w:val="2"/>
        <w:ind w:firstLine="664"/>
        <w:rPr>
          <w:rFonts w:ascii="Times New Roman" w:hAnsi="Times New Roman" w:cs="Times New Roman"/>
        </w:rPr>
      </w:pPr>
      <w:bookmarkStart w:id="18" w:name="_Toc233182214"/>
      <w:bookmarkStart w:id="19" w:name="_Toc233728803"/>
      <w:r>
        <w:rPr>
          <w:rFonts w:ascii="Times New Roman" w:hAnsi="Times New Roman" w:cs="Times New Roman"/>
        </w:rPr>
        <w:t>（</w:t>
      </w:r>
      <w:r>
        <w:rPr>
          <w:rFonts w:ascii="Times New Roman" w:hAnsi="Times New Roman" w:cs="Times New Roman" w:hint="eastAsia"/>
        </w:rPr>
        <w:t>三</w:t>
      </w:r>
      <w:r>
        <w:rPr>
          <w:rFonts w:ascii="Times New Roman" w:hAnsi="Times New Roman" w:cs="Times New Roman"/>
        </w:rPr>
        <w:t>）评价组织实施</w:t>
      </w:r>
      <w:bookmarkEnd w:id="18"/>
      <w:bookmarkEnd w:id="19"/>
    </w:p>
    <w:p w:rsidR="00B70354" w:rsidRDefault="0006100D">
      <w:pPr>
        <w:ind w:firstLine="664"/>
        <w:jc w:val="both"/>
      </w:pPr>
      <w:r>
        <w:t>1.</w:t>
      </w:r>
      <w:r>
        <w:t>前期准</w:t>
      </w:r>
      <w:r>
        <w:rPr>
          <w:spacing w:val="3"/>
        </w:rPr>
        <w:t>备</w:t>
      </w:r>
    </w:p>
    <w:p w:rsidR="00B70354" w:rsidRDefault="0006100D">
      <w:pPr>
        <w:jc w:val="both"/>
        <w:rPr>
          <w:spacing w:val="10"/>
        </w:rPr>
      </w:pPr>
      <w:r>
        <w:rPr>
          <w:spacing w:val="10"/>
        </w:rPr>
        <w:t>立足项目特点，科学构建了包含决策、过程、产出、效益在内的多维度绩效评价指标体系，设计了针对性取数表单，全面收集并甄别政策文件、合同预算及底层基础资料。</w:t>
      </w:r>
    </w:p>
    <w:p w:rsidR="00B70354" w:rsidRDefault="0006100D">
      <w:pPr>
        <w:ind w:firstLine="656"/>
        <w:jc w:val="both"/>
      </w:pPr>
      <w:r>
        <w:rPr>
          <w:spacing w:val="8"/>
        </w:rPr>
        <w:t>2</w:t>
      </w:r>
      <w:r>
        <w:t>.</w:t>
      </w:r>
      <w:r>
        <w:t>组织实施</w:t>
      </w:r>
    </w:p>
    <w:p w:rsidR="00B70354" w:rsidRDefault="0006100D">
      <w:pPr>
        <w:ind w:firstLine="664"/>
        <w:jc w:val="both"/>
      </w:pPr>
      <w:r>
        <w:t>调配财务及农业专业技术人员组建联合检查组，对各区、涉农街道提供的原始凭证、发放清册及供肥台</w:t>
      </w:r>
      <w:proofErr w:type="gramStart"/>
      <w:r>
        <w:t>账实施</w:t>
      </w:r>
      <w:proofErr w:type="gramEnd"/>
      <w:r>
        <w:t>了现场抽查与比对，对全市层面的基础数据实施了穿透式汇总与交叉复核。</w:t>
      </w:r>
    </w:p>
    <w:p w:rsidR="00B70354" w:rsidRDefault="0006100D">
      <w:pPr>
        <w:jc w:val="both"/>
      </w:pPr>
      <w:r>
        <w:rPr>
          <w:spacing w:val="10"/>
        </w:rPr>
        <w:t>3</w:t>
      </w:r>
      <w:r>
        <w:t>.</w:t>
      </w:r>
      <w:r>
        <w:t>分析评价</w:t>
      </w:r>
    </w:p>
    <w:p w:rsidR="00B70354" w:rsidRDefault="0006100D">
      <w:pPr>
        <w:ind w:firstLine="664"/>
        <w:jc w:val="both"/>
      </w:pPr>
      <w:r>
        <w:lastRenderedPageBreak/>
        <w:t>评价人员对多渠道获取的数据实施闭环核验，对照指标评分细则逐项量化扣分或赋分，最终通过多轮专家论证形成综合绩效评价结论。</w:t>
      </w:r>
    </w:p>
    <w:p w:rsidR="00B70354" w:rsidRDefault="00B70354">
      <w:pPr>
        <w:ind w:firstLine="664"/>
      </w:pPr>
    </w:p>
    <w:p w:rsidR="00B70354" w:rsidRDefault="00B70354">
      <w:pPr>
        <w:ind w:firstLine="664"/>
        <w:rPr>
          <w:highlight w:val="yellow"/>
        </w:rPr>
      </w:pPr>
    </w:p>
    <w:p w:rsidR="00B70354" w:rsidRDefault="00B70354">
      <w:pPr>
        <w:ind w:firstLine="606"/>
        <w:rPr>
          <w:spacing w:val="-17"/>
        </w:rPr>
      </w:pPr>
    </w:p>
    <w:p w:rsidR="00B70354" w:rsidRDefault="0006100D">
      <w:pPr>
        <w:ind w:firstLine="606"/>
        <w:rPr>
          <w:spacing w:val="-10"/>
        </w:rPr>
      </w:pPr>
      <w:r>
        <w:rPr>
          <w:spacing w:val="-17"/>
        </w:rPr>
        <w:t>附</w:t>
      </w:r>
      <w:r>
        <w:rPr>
          <w:spacing w:val="-10"/>
        </w:rPr>
        <w:t>表</w:t>
      </w:r>
      <w:r>
        <w:rPr>
          <w:spacing w:val="-10"/>
        </w:rPr>
        <w:t>1</w:t>
      </w:r>
      <w:r>
        <w:rPr>
          <w:rFonts w:hint="eastAsia"/>
          <w:spacing w:val="-10"/>
        </w:rPr>
        <w:t>：</w:t>
      </w:r>
      <w:r>
        <w:rPr>
          <w:rFonts w:hint="eastAsia"/>
          <w:spacing w:val="-10"/>
        </w:rPr>
        <w:t>2025</w:t>
      </w:r>
      <w:r>
        <w:rPr>
          <w:rFonts w:hint="eastAsia"/>
          <w:spacing w:val="-10"/>
        </w:rPr>
        <w:t>年度水稻生态补偿绩效评价指标体系及打分表</w:t>
      </w:r>
    </w:p>
    <w:p w:rsidR="00B70354" w:rsidRDefault="00B70354">
      <w:pPr>
        <w:ind w:firstLine="664"/>
      </w:pPr>
    </w:p>
    <w:p w:rsidR="00B70354" w:rsidRDefault="00B70354">
      <w:pPr>
        <w:ind w:firstLineChars="0" w:firstLine="0"/>
        <w:jc w:val="right"/>
        <w:rPr>
          <w:spacing w:val="14"/>
        </w:rPr>
      </w:pPr>
    </w:p>
    <w:p w:rsidR="00B70354" w:rsidRDefault="0006100D">
      <w:pPr>
        <w:ind w:firstLineChars="0" w:firstLine="0"/>
        <w:jc w:val="right"/>
        <w:sectPr w:rsidR="00B70354">
          <w:footerReference w:type="default" r:id="rId14"/>
          <w:pgSz w:w="11907" w:h="16839"/>
          <w:pgMar w:top="1588" w:right="1588" w:bottom="1701" w:left="1588" w:header="885" w:footer="1213" w:gutter="0"/>
          <w:pgNumType w:start="1"/>
          <w:cols w:space="720"/>
          <w:docGrid w:type="lines" w:linePitch="312"/>
        </w:sectPr>
      </w:pPr>
      <w:r>
        <w:rPr>
          <w:spacing w:val="-27"/>
        </w:rPr>
        <w:t>2</w:t>
      </w:r>
      <w:r>
        <w:t>02</w:t>
      </w:r>
      <w:r>
        <w:rPr>
          <w:rFonts w:hint="eastAsia"/>
        </w:rPr>
        <w:t>6</w:t>
      </w:r>
      <w:r>
        <w:t>年</w:t>
      </w:r>
      <w:r>
        <w:t>6</w:t>
      </w:r>
      <w:r>
        <w:t>月</w:t>
      </w:r>
      <w:r>
        <w:rPr>
          <w:rFonts w:hint="eastAsia"/>
        </w:rPr>
        <w:t>30</w:t>
      </w:r>
      <w:r>
        <w:t>日</w:t>
      </w:r>
    </w:p>
    <w:tbl>
      <w:tblPr>
        <w:tblW w:w="1505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134"/>
        <w:gridCol w:w="1134"/>
        <w:gridCol w:w="1134"/>
        <w:gridCol w:w="3970"/>
        <w:gridCol w:w="3685"/>
        <w:gridCol w:w="709"/>
        <w:gridCol w:w="2155"/>
      </w:tblGrid>
      <w:tr w:rsidR="00B70354">
        <w:trPr>
          <w:trHeight w:val="530"/>
          <w:tblHeader/>
        </w:trPr>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b/>
                <w:bCs/>
                <w:snapToGrid/>
                <w:spacing w:val="0"/>
                <w:sz w:val="20"/>
                <w:szCs w:val="20"/>
              </w:rPr>
            </w:pPr>
            <w:r>
              <w:rPr>
                <w:rFonts w:ascii="宋体" w:eastAsia="宋体" w:hAnsi="宋体" w:cs="宋体"/>
                <w:b/>
                <w:bCs/>
                <w:snapToGrid/>
                <w:spacing w:val="0"/>
                <w:sz w:val="20"/>
                <w:szCs w:val="20"/>
              </w:rPr>
              <w:lastRenderedPageBreak/>
              <w:t>一级</w:t>
            </w:r>
            <w:r>
              <w:rPr>
                <w:rFonts w:eastAsia="宋体"/>
                <w:b/>
                <w:bCs/>
                <w:snapToGrid/>
                <w:spacing w:val="0"/>
                <w:sz w:val="20"/>
                <w:szCs w:val="20"/>
              </w:rPr>
              <w:br/>
            </w:r>
            <w:r>
              <w:rPr>
                <w:rFonts w:ascii="宋体" w:eastAsia="宋体" w:hAnsi="宋体" w:cs="宋体"/>
                <w:b/>
                <w:bCs/>
                <w:snapToGrid/>
                <w:spacing w:val="0"/>
                <w:sz w:val="20"/>
                <w:szCs w:val="20"/>
              </w:rPr>
              <w:t>指标</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b/>
                <w:bCs/>
                <w:snapToGrid/>
                <w:spacing w:val="0"/>
                <w:sz w:val="20"/>
                <w:szCs w:val="20"/>
              </w:rPr>
            </w:pPr>
            <w:r>
              <w:rPr>
                <w:rFonts w:ascii="宋体" w:eastAsia="宋体" w:hAnsi="宋体" w:cs="宋体"/>
                <w:b/>
                <w:bCs/>
                <w:snapToGrid/>
                <w:spacing w:val="0"/>
                <w:sz w:val="20"/>
                <w:szCs w:val="20"/>
              </w:rPr>
              <w:t>二级</w:t>
            </w:r>
            <w:r>
              <w:rPr>
                <w:rFonts w:eastAsia="宋体"/>
                <w:b/>
                <w:bCs/>
                <w:snapToGrid/>
                <w:spacing w:val="0"/>
                <w:sz w:val="20"/>
                <w:szCs w:val="20"/>
              </w:rPr>
              <w:br/>
            </w:r>
            <w:r>
              <w:rPr>
                <w:rFonts w:ascii="宋体" w:eastAsia="宋体" w:hAnsi="宋体" w:cs="宋体"/>
                <w:b/>
                <w:bCs/>
                <w:snapToGrid/>
                <w:spacing w:val="0"/>
                <w:sz w:val="20"/>
                <w:szCs w:val="20"/>
              </w:rPr>
              <w:t>指标</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b/>
                <w:bCs/>
                <w:snapToGrid/>
                <w:spacing w:val="0"/>
                <w:sz w:val="20"/>
                <w:szCs w:val="20"/>
              </w:rPr>
            </w:pPr>
            <w:r>
              <w:rPr>
                <w:rFonts w:ascii="宋体" w:eastAsia="宋体" w:hAnsi="宋体" w:cs="宋体"/>
                <w:b/>
                <w:bCs/>
                <w:snapToGrid/>
                <w:spacing w:val="0"/>
                <w:sz w:val="20"/>
                <w:szCs w:val="20"/>
              </w:rPr>
              <w:t>三级</w:t>
            </w:r>
            <w:r>
              <w:rPr>
                <w:rFonts w:eastAsia="宋体"/>
                <w:b/>
                <w:bCs/>
                <w:snapToGrid/>
                <w:spacing w:val="0"/>
                <w:sz w:val="20"/>
                <w:szCs w:val="20"/>
              </w:rPr>
              <w:br/>
            </w:r>
            <w:r>
              <w:rPr>
                <w:rFonts w:ascii="宋体" w:eastAsia="宋体" w:hAnsi="宋体" w:cs="宋体"/>
                <w:b/>
                <w:bCs/>
                <w:snapToGrid/>
                <w:spacing w:val="0"/>
                <w:sz w:val="20"/>
                <w:szCs w:val="20"/>
              </w:rPr>
              <w:t>指标</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b/>
                <w:bCs/>
                <w:snapToGrid/>
                <w:spacing w:val="0"/>
                <w:sz w:val="20"/>
                <w:szCs w:val="20"/>
              </w:rPr>
            </w:pPr>
            <w:r>
              <w:rPr>
                <w:rFonts w:ascii="宋体" w:eastAsia="宋体" w:hAnsi="宋体" w:cs="宋体"/>
                <w:b/>
                <w:bCs/>
                <w:snapToGrid/>
                <w:spacing w:val="0"/>
                <w:sz w:val="20"/>
                <w:szCs w:val="20"/>
              </w:rPr>
              <w:t>标准值</w:t>
            </w:r>
          </w:p>
        </w:tc>
        <w:tc>
          <w:tcPr>
            <w:tcW w:w="3970"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b/>
                <w:bCs/>
                <w:snapToGrid/>
                <w:spacing w:val="0"/>
                <w:sz w:val="20"/>
                <w:szCs w:val="20"/>
              </w:rPr>
            </w:pPr>
            <w:r>
              <w:rPr>
                <w:rFonts w:ascii="宋体" w:eastAsia="宋体" w:hAnsi="宋体" w:cs="宋体"/>
                <w:b/>
                <w:bCs/>
                <w:snapToGrid/>
                <w:spacing w:val="0"/>
                <w:sz w:val="20"/>
                <w:szCs w:val="20"/>
              </w:rPr>
              <w:t>指标解释和评价要点</w:t>
            </w:r>
          </w:p>
        </w:tc>
        <w:tc>
          <w:tcPr>
            <w:tcW w:w="3685"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b/>
                <w:bCs/>
                <w:snapToGrid/>
                <w:spacing w:val="0"/>
                <w:sz w:val="20"/>
                <w:szCs w:val="20"/>
              </w:rPr>
            </w:pPr>
            <w:r>
              <w:rPr>
                <w:rFonts w:ascii="宋体" w:eastAsia="宋体" w:hAnsi="宋体" w:cs="宋体"/>
                <w:b/>
                <w:bCs/>
                <w:snapToGrid/>
                <w:spacing w:val="0"/>
                <w:sz w:val="20"/>
                <w:szCs w:val="20"/>
              </w:rPr>
              <w:t>评分规则</w:t>
            </w:r>
          </w:p>
        </w:tc>
        <w:tc>
          <w:tcPr>
            <w:tcW w:w="709"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b/>
                <w:bCs/>
                <w:snapToGrid/>
                <w:spacing w:val="0"/>
                <w:sz w:val="20"/>
                <w:szCs w:val="20"/>
              </w:rPr>
            </w:pPr>
            <w:r>
              <w:rPr>
                <w:rFonts w:ascii="宋体" w:eastAsia="宋体" w:hAnsi="宋体" w:cs="宋体"/>
                <w:b/>
                <w:bCs/>
                <w:snapToGrid/>
                <w:spacing w:val="0"/>
                <w:sz w:val="20"/>
                <w:szCs w:val="20"/>
              </w:rPr>
              <w:t>得分</w:t>
            </w:r>
          </w:p>
        </w:tc>
        <w:tc>
          <w:tcPr>
            <w:tcW w:w="2155"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b/>
                <w:bCs/>
                <w:snapToGrid/>
                <w:spacing w:val="0"/>
                <w:sz w:val="20"/>
                <w:szCs w:val="20"/>
              </w:rPr>
            </w:pPr>
            <w:r>
              <w:rPr>
                <w:rFonts w:ascii="宋体" w:eastAsia="宋体" w:hAnsi="宋体" w:cs="宋体"/>
                <w:b/>
                <w:bCs/>
                <w:snapToGrid/>
                <w:spacing w:val="0"/>
                <w:sz w:val="20"/>
                <w:szCs w:val="20"/>
              </w:rPr>
              <w:t>扣分原因</w:t>
            </w:r>
          </w:p>
        </w:tc>
      </w:tr>
      <w:tr w:rsidR="00B70354">
        <w:trPr>
          <w:trHeight w:val="3430"/>
        </w:trPr>
        <w:tc>
          <w:tcPr>
            <w:tcW w:w="1134" w:type="dxa"/>
            <w:vMerge w:val="restart"/>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A</w:t>
            </w:r>
            <w:r>
              <w:rPr>
                <w:rFonts w:ascii="宋体" w:eastAsia="宋体" w:hAnsi="宋体"/>
                <w:snapToGrid/>
                <w:spacing w:val="0"/>
                <w:sz w:val="20"/>
                <w:szCs w:val="20"/>
              </w:rPr>
              <w:t>决策</w:t>
            </w:r>
            <w:r>
              <w:rPr>
                <w:rFonts w:eastAsia="宋体"/>
                <w:snapToGrid/>
                <w:spacing w:val="0"/>
                <w:sz w:val="20"/>
                <w:szCs w:val="20"/>
              </w:rPr>
              <w:br/>
            </w:r>
            <w:r>
              <w:rPr>
                <w:rFonts w:ascii="宋体" w:eastAsia="宋体" w:hAnsi="宋体"/>
                <w:snapToGrid/>
                <w:spacing w:val="0"/>
                <w:sz w:val="20"/>
                <w:szCs w:val="20"/>
              </w:rPr>
              <w:t>（10分）</w:t>
            </w:r>
          </w:p>
        </w:tc>
        <w:tc>
          <w:tcPr>
            <w:tcW w:w="1134" w:type="dxa"/>
            <w:vMerge w:val="restart"/>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A1</w:t>
            </w:r>
            <w:r>
              <w:rPr>
                <w:rFonts w:ascii="宋体" w:eastAsia="宋体" w:hAnsi="宋体"/>
                <w:snapToGrid/>
                <w:spacing w:val="0"/>
                <w:sz w:val="20"/>
                <w:szCs w:val="20"/>
              </w:rPr>
              <w:t>项目立项</w:t>
            </w:r>
            <w:r>
              <w:rPr>
                <w:rFonts w:eastAsia="宋体"/>
                <w:snapToGrid/>
                <w:spacing w:val="0"/>
                <w:sz w:val="20"/>
                <w:szCs w:val="20"/>
              </w:rPr>
              <w:br/>
            </w:r>
            <w:r>
              <w:rPr>
                <w:rFonts w:ascii="宋体" w:eastAsia="宋体" w:hAnsi="宋体"/>
                <w:snapToGrid/>
                <w:spacing w:val="0"/>
                <w:sz w:val="20"/>
                <w:szCs w:val="20"/>
              </w:rPr>
              <w:t>（</w:t>
            </w:r>
            <w:r>
              <w:rPr>
                <w:rFonts w:eastAsia="宋体"/>
                <w:snapToGrid/>
                <w:spacing w:val="0"/>
                <w:sz w:val="20"/>
                <w:szCs w:val="20"/>
              </w:rPr>
              <w:t>10</w:t>
            </w:r>
            <w:r>
              <w:rPr>
                <w:rFonts w:ascii="宋体" w:eastAsia="宋体" w:hAnsi="宋体"/>
                <w:snapToGrid/>
                <w:spacing w:val="0"/>
                <w:sz w:val="20"/>
                <w:szCs w:val="20"/>
              </w:rPr>
              <w:t>分）</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A11</w:t>
            </w:r>
            <w:r>
              <w:rPr>
                <w:rFonts w:ascii="宋体" w:eastAsia="宋体" w:hAnsi="宋体"/>
                <w:snapToGrid/>
                <w:spacing w:val="0"/>
                <w:sz w:val="20"/>
                <w:szCs w:val="20"/>
              </w:rPr>
              <w:t>立项依据充分性</w:t>
            </w:r>
            <w:r>
              <w:rPr>
                <w:rFonts w:eastAsia="宋体"/>
                <w:snapToGrid/>
                <w:spacing w:val="0"/>
                <w:sz w:val="20"/>
                <w:szCs w:val="20"/>
              </w:rPr>
              <w:br/>
            </w:r>
            <w:r>
              <w:rPr>
                <w:rFonts w:ascii="宋体" w:eastAsia="宋体" w:hAnsi="宋体"/>
                <w:snapToGrid/>
                <w:spacing w:val="0"/>
                <w:sz w:val="20"/>
                <w:szCs w:val="20"/>
              </w:rPr>
              <w:t>（</w:t>
            </w:r>
            <w:r>
              <w:rPr>
                <w:rFonts w:eastAsia="宋体"/>
                <w:snapToGrid/>
                <w:spacing w:val="0"/>
                <w:sz w:val="20"/>
                <w:szCs w:val="20"/>
              </w:rPr>
              <w:t>6</w:t>
            </w:r>
            <w:r>
              <w:rPr>
                <w:rFonts w:ascii="宋体" w:eastAsia="宋体" w:hAnsi="宋体"/>
                <w:snapToGrid/>
                <w:spacing w:val="0"/>
                <w:sz w:val="20"/>
                <w:szCs w:val="20"/>
              </w:rPr>
              <w:t>分）</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充分</w:t>
            </w:r>
          </w:p>
        </w:tc>
        <w:tc>
          <w:tcPr>
            <w:tcW w:w="3970"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指标解释：项目立项是否符合相关法律法规、政策、发展规划、南京市农业农村局职责以及党中央、国务院、江苏省、南京市重大决策部署等要求，用以反映和考核项目立项依据充分性情况。</w:t>
            </w:r>
            <w:r>
              <w:rPr>
                <w:rFonts w:eastAsia="宋体"/>
                <w:snapToGrid/>
                <w:spacing w:val="0"/>
                <w:sz w:val="20"/>
                <w:szCs w:val="20"/>
              </w:rPr>
              <w:br/>
            </w:r>
            <w:r>
              <w:rPr>
                <w:rFonts w:ascii="宋体" w:eastAsia="宋体" w:hAnsi="宋体" w:cs="宋体"/>
                <w:snapToGrid/>
                <w:spacing w:val="0"/>
                <w:sz w:val="20"/>
                <w:szCs w:val="20"/>
              </w:rPr>
              <w:t>评价要点：</w:t>
            </w:r>
            <w:r>
              <w:rPr>
                <w:rFonts w:eastAsia="宋体"/>
                <w:snapToGrid/>
                <w:spacing w:val="0"/>
                <w:sz w:val="20"/>
                <w:szCs w:val="20"/>
              </w:rPr>
              <w:br/>
            </w:r>
            <w:r>
              <w:rPr>
                <w:rFonts w:ascii="宋体" w:eastAsia="宋体" w:hAnsi="宋体" w:cs="宋体"/>
                <w:snapToGrid/>
                <w:spacing w:val="0"/>
                <w:sz w:val="20"/>
                <w:szCs w:val="20"/>
              </w:rPr>
              <w:t>①项目立项是否符合党中央、国务院、江苏省、南京市重大决策部署要求以及与年度工作重点、现实需求相符；</w:t>
            </w:r>
            <w:r>
              <w:rPr>
                <w:rFonts w:eastAsia="宋体"/>
                <w:snapToGrid/>
                <w:spacing w:val="0"/>
                <w:sz w:val="20"/>
                <w:szCs w:val="20"/>
              </w:rPr>
              <w:br/>
            </w:r>
            <w:r>
              <w:rPr>
                <w:rFonts w:ascii="宋体" w:eastAsia="宋体" w:hAnsi="宋体" w:cs="宋体"/>
                <w:snapToGrid/>
                <w:spacing w:val="0"/>
                <w:sz w:val="20"/>
                <w:szCs w:val="20"/>
              </w:rPr>
              <w:t>②项目立项是否与项目单位职责范围相符，属于部门履职所需；</w:t>
            </w:r>
            <w:r>
              <w:rPr>
                <w:rFonts w:eastAsia="宋体"/>
                <w:snapToGrid/>
                <w:spacing w:val="0"/>
                <w:sz w:val="20"/>
                <w:szCs w:val="20"/>
              </w:rPr>
              <w:br/>
            </w:r>
            <w:r>
              <w:rPr>
                <w:rFonts w:ascii="宋体" w:eastAsia="宋体" w:hAnsi="宋体" w:cs="宋体"/>
                <w:snapToGrid/>
                <w:spacing w:val="0"/>
                <w:sz w:val="20"/>
                <w:szCs w:val="20"/>
              </w:rPr>
              <w:t>③项目是否属于公共财政支持范围，是否符合中央、地方事权支出责任划分原则；</w:t>
            </w:r>
            <w:r>
              <w:rPr>
                <w:rFonts w:eastAsia="宋体"/>
                <w:snapToGrid/>
                <w:spacing w:val="0"/>
                <w:sz w:val="20"/>
                <w:szCs w:val="20"/>
              </w:rPr>
              <w:br/>
            </w:r>
            <w:r>
              <w:rPr>
                <w:rFonts w:ascii="宋体" w:eastAsia="宋体" w:hAnsi="宋体" w:cs="宋体"/>
                <w:snapToGrid/>
                <w:spacing w:val="0"/>
                <w:sz w:val="20"/>
                <w:szCs w:val="20"/>
              </w:rPr>
              <w:t>④项目是否与相关部门同类项目或部门内部相关项目无交叉、重复。</w:t>
            </w:r>
          </w:p>
        </w:tc>
        <w:tc>
          <w:tcPr>
            <w:tcW w:w="3685"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①项目立项符合党中央、国务院、江苏省、南京市重大决策部署要求，与年度工作重点、与现实需求相符，得</w:t>
            </w:r>
            <w:r>
              <w:rPr>
                <w:rFonts w:eastAsia="宋体"/>
                <w:snapToGrid/>
                <w:spacing w:val="0"/>
                <w:sz w:val="20"/>
                <w:szCs w:val="20"/>
              </w:rPr>
              <w:t>1.5</w:t>
            </w:r>
            <w:r>
              <w:rPr>
                <w:rFonts w:ascii="宋体" w:eastAsia="宋体" w:hAnsi="宋体" w:cs="宋体"/>
                <w:snapToGrid/>
                <w:spacing w:val="0"/>
                <w:sz w:val="20"/>
                <w:szCs w:val="20"/>
              </w:rPr>
              <w:t>分，否则不得分；</w:t>
            </w:r>
            <w:r>
              <w:rPr>
                <w:rFonts w:eastAsia="宋体"/>
                <w:snapToGrid/>
                <w:spacing w:val="0"/>
                <w:sz w:val="20"/>
                <w:szCs w:val="20"/>
              </w:rPr>
              <w:br/>
            </w:r>
            <w:r>
              <w:rPr>
                <w:rFonts w:ascii="宋体" w:eastAsia="宋体" w:hAnsi="宋体" w:cs="宋体"/>
                <w:snapToGrid/>
                <w:spacing w:val="0"/>
                <w:sz w:val="20"/>
                <w:szCs w:val="20"/>
              </w:rPr>
              <w:t>②项目立项与项目单位职责范围相符，属于部门履职所需，得</w:t>
            </w:r>
            <w:r>
              <w:rPr>
                <w:rFonts w:eastAsia="宋体"/>
                <w:snapToGrid/>
                <w:spacing w:val="0"/>
                <w:sz w:val="20"/>
                <w:szCs w:val="20"/>
              </w:rPr>
              <w:t>1.5</w:t>
            </w:r>
            <w:r>
              <w:rPr>
                <w:rFonts w:ascii="宋体" w:eastAsia="宋体" w:hAnsi="宋体" w:cs="宋体"/>
                <w:snapToGrid/>
                <w:spacing w:val="0"/>
                <w:sz w:val="20"/>
                <w:szCs w:val="20"/>
              </w:rPr>
              <w:t>分，否则不得分；</w:t>
            </w:r>
            <w:r>
              <w:rPr>
                <w:rFonts w:eastAsia="宋体"/>
                <w:snapToGrid/>
                <w:spacing w:val="0"/>
                <w:sz w:val="20"/>
                <w:szCs w:val="20"/>
              </w:rPr>
              <w:br/>
            </w:r>
            <w:r>
              <w:rPr>
                <w:rFonts w:ascii="宋体" w:eastAsia="宋体" w:hAnsi="宋体" w:cs="宋体"/>
                <w:snapToGrid/>
                <w:spacing w:val="0"/>
                <w:sz w:val="20"/>
                <w:szCs w:val="20"/>
              </w:rPr>
              <w:t>③项目属于南京市公共财政支持范围，且符合中央、地方事权支出责任划分原则，得</w:t>
            </w:r>
            <w:r>
              <w:rPr>
                <w:rFonts w:eastAsia="宋体"/>
                <w:snapToGrid/>
                <w:spacing w:val="0"/>
                <w:sz w:val="20"/>
                <w:szCs w:val="20"/>
              </w:rPr>
              <w:t>1.5</w:t>
            </w:r>
            <w:r>
              <w:rPr>
                <w:rFonts w:ascii="宋体" w:eastAsia="宋体" w:hAnsi="宋体" w:cs="宋体"/>
                <w:snapToGrid/>
                <w:spacing w:val="0"/>
                <w:sz w:val="20"/>
                <w:szCs w:val="20"/>
              </w:rPr>
              <w:t>分，否则不得分；</w:t>
            </w:r>
            <w:r>
              <w:rPr>
                <w:rFonts w:eastAsia="宋体"/>
                <w:snapToGrid/>
                <w:spacing w:val="0"/>
                <w:sz w:val="20"/>
                <w:szCs w:val="20"/>
              </w:rPr>
              <w:br/>
            </w:r>
            <w:r>
              <w:rPr>
                <w:rFonts w:ascii="宋体" w:eastAsia="宋体" w:hAnsi="宋体" w:cs="宋体"/>
                <w:snapToGrid/>
                <w:spacing w:val="0"/>
                <w:sz w:val="20"/>
                <w:szCs w:val="20"/>
              </w:rPr>
              <w:t>④项目与相关部门同类项目或部门内部相关项目无交叉重复，得1.5分，否则不得分。</w:t>
            </w:r>
          </w:p>
        </w:tc>
        <w:tc>
          <w:tcPr>
            <w:tcW w:w="709"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 xml:space="preserve">6.00 </w:t>
            </w:r>
          </w:p>
        </w:tc>
        <w:tc>
          <w:tcPr>
            <w:tcW w:w="2155"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 xml:space="preserve">　</w:t>
            </w:r>
          </w:p>
        </w:tc>
      </w:tr>
      <w:tr w:rsidR="00B70354">
        <w:trPr>
          <w:trHeight w:val="2640"/>
        </w:trPr>
        <w:tc>
          <w:tcPr>
            <w:tcW w:w="1134" w:type="dxa"/>
            <w:vMerge/>
            <w:vAlign w:val="center"/>
          </w:tcPr>
          <w:p w:rsidR="00B70354" w:rsidRDefault="00B70354">
            <w:pPr>
              <w:autoSpaceDE/>
              <w:autoSpaceDN/>
              <w:adjustRightInd/>
              <w:snapToGrid/>
              <w:spacing w:line="240" w:lineRule="auto"/>
              <w:ind w:firstLineChars="0" w:firstLine="0"/>
              <w:textAlignment w:val="auto"/>
              <w:rPr>
                <w:rFonts w:eastAsia="宋体"/>
                <w:snapToGrid/>
                <w:spacing w:val="0"/>
                <w:sz w:val="20"/>
                <w:szCs w:val="20"/>
              </w:rPr>
            </w:pPr>
          </w:p>
        </w:tc>
        <w:tc>
          <w:tcPr>
            <w:tcW w:w="1134" w:type="dxa"/>
            <w:vMerge/>
            <w:vAlign w:val="center"/>
          </w:tcPr>
          <w:p w:rsidR="00B70354" w:rsidRDefault="00B70354">
            <w:pPr>
              <w:autoSpaceDE/>
              <w:autoSpaceDN/>
              <w:adjustRightInd/>
              <w:snapToGrid/>
              <w:spacing w:line="240" w:lineRule="auto"/>
              <w:ind w:firstLineChars="0" w:firstLine="0"/>
              <w:textAlignment w:val="auto"/>
              <w:rPr>
                <w:rFonts w:eastAsia="宋体"/>
                <w:snapToGrid/>
                <w:spacing w:val="0"/>
                <w:sz w:val="20"/>
                <w:szCs w:val="20"/>
              </w:rPr>
            </w:pP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A12</w:t>
            </w:r>
            <w:r>
              <w:rPr>
                <w:rFonts w:ascii="宋体" w:eastAsia="宋体" w:hAnsi="宋体"/>
                <w:snapToGrid/>
                <w:spacing w:val="0"/>
                <w:sz w:val="20"/>
                <w:szCs w:val="20"/>
              </w:rPr>
              <w:t>立项程序规范性</w:t>
            </w:r>
            <w:r>
              <w:rPr>
                <w:rFonts w:eastAsia="宋体"/>
                <w:snapToGrid/>
                <w:spacing w:val="0"/>
                <w:sz w:val="20"/>
                <w:szCs w:val="20"/>
              </w:rPr>
              <w:br/>
            </w:r>
            <w:r>
              <w:rPr>
                <w:rFonts w:ascii="宋体" w:eastAsia="宋体" w:hAnsi="宋体"/>
                <w:snapToGrid/>
                <w:spacing w:val="0"/>
                <w:sz w:val="20"/>
                <w:szCs w:val="20"/>
              </w:rPr>
              <w:t>（</w:t>
            </w:r>
            <w:r>
              <w:rPr>
                <w:rFonts w:eastAsia="宋体"/>
                <w:snapToGrid/>
                <w:spacing w:val="0"/>
                <w:sz w:val="20"/>
                <w:szCs w:val="20"/>
              </w:rPr>
              <w:t>4</w:t>
            </w:r>
            <w:r>
              <w:rPr>
                <w:rFonts w:ascii="宋体" w:eastAsia="宋体" w:hAnsi="宋体"/>
                <w:snapToGrid/>
                <w:spacing w:val="0"/>
                <w:sz w:val="20"/>
                <w:szCs w:val="20"/>
              </w:rPr>
              <w:t>分）</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规范</w:t>
            </w:r>
          </w:p>
        </w:tc>
        <w:tc>
          <w:tcPr>
            <w:tcW w:w="3970"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指标解释：项目申请、设立过程是否符合相关要求，立项过程资料是否充分，用以反映和考核项目立项的规范情况。</w:t>
            </w:r>
            <w:r>
              <w:rPr>
                <w:rFonts w:eastAsia="宋体"/>
                <w:snapToGrid/>
                <w:spacing w:val="0"/>
                <w:sz w:val="20"/>
                <w:szCs w:val="20"/>
              </w:rPr>
              <w:br/>
            </w:r>
            <w:r>
              <w:rPr>
                <w:rFonts w:ascii="宋体" w:eastAsia="宋体" w:hAnsi="宋体" w:cs="宋体"/>
                <w:snapToGrid/>
                <w:spacing w:val="0"/>
                <w:sz w:val="20"/>
                <w:szCs w:val="20"/>
              </w:rPr>
              <w:t>评价要点：</w:t>
            </w:r>
            <w:r>
              <w:rPr>
                <w:rFonts w:eastAsia="宋体"/>
                <w:snapToGrid/>
                <w:spacing w:val="0"/>
                <w:sz w:val="20"/>
                <w:szCs w:val="20"/>
              </w:rPr>
              <w:br/>
            </w:r>
            <w:r>
              <w:rPr>
                <w:rFonts w:ascii="宋体" w:eastAsia="宋体" w:hAnsi="宋体" w:cs="宋体"/>
                <w:snapToGrid/>
                <w:spacing w:val="0"/>
                <w:sz w:val="20"/>
                <w:szCs w:val="20"/>
              </w:rPr>
              <w:t>①项目是否按照规定程序申请、设立，报批文件、材料是否符合相关要求；</w:t>
            </w:r>
            <w:r>
              <w:rPr>
                <w:rFonts w:eastAsia="宋体"/>
                <w:snapToGrid/>
                <w:spacing w:val="0"/>
                <w:sz w:val="20"/>
                <w:szCs w:val="20"/>
              </w:rPr>
              <w:br/>
            </w:r>
            <w:r>
              <w:rPr>
                <w:rFonts w:ascii="宋体" w:eastAsia="宋体" w:hAnsi="宋体" w:cs="宋体"/>
                <w:snapToGrid/>
                <w:spacing w:val="0"/>
                <w:sz w:val="20"/>
                <w:szCs w:val="20"/>
              </w:rPr>
              <w:t>②事前是否经过必要的可行性研究、专家论证、风险评估、绩效评估、集体决策；</w:t>
            </w:r>
            <w:r>
              <w:rPr>
                <w:rFonts w:eastAsia="宋体"/>
                <w:snapToGrid/>
                <w:spacing w:val="0"/>
                <w:sz w:val="20"/>
                <w:szCs w:val="20"/>
              </w:rPr>
              <w:br/>
            </w:r>
            <w:r>
              <w:rPr>
                <w:rFonts w:ascii="宋体" w:eastAsia="宋体" w:hAnsi="宋体" w:cs="宋体"/>
                <w:snapToGrid/>
                <w:spacing w:val="0"/>
                <w:sz w:val="20"/>
                <w:szCs w:val="20"/>
              </w:rPr>
              <w:t>③项目立项过程资料是否充分、齐全，符合专项资金管理办法相关项目申报要求。</w:t>
            </w:r>
          </w:p>
        </w:tc>
        <w:tc>
          <w:tcPr>
            <w:tcW w:w="3685"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①项目按照规定程序申请、设立，得</w:t>
            </w:r>
            <w:r>
              <w:rPr>
                <w:rFonts w:eastAsia="宋体"/>
                <w:snapToGrid/>
                <w:spacing w:val="0"/>
                <w:sz w:val="20"/>
                <w:szCs w:val="20"/>
              </w:rPr>
              <w:t>0.25</w:t>
            </w:r>
            <w:r>
              <w:rPr>
                <w:rFonts w:ascii="宋体" w:eastAsia="宋体" w:hAnsi="宋体" w:cs="宋体"/>
                <w:snapToGrid/>
                <w:spacing w:val="0"/>
                <w:sz w:val="20"/>
                <w:szCs w:val="20"/>
              </w:rPr>
              <w:t>分，否则不得分；报批文件、材料符合相关要求，得</w:t>
            </w:r>
            <w:r>
              <w:rPr>
                <w:rFonts w:eastAsia="宋体"/>
                <w:snapToGrid/>
                <w:spacing w:val="0"/>
                <w:sz w:val="20"/>
                <w:szCs w:val="20"/>
              </w:rPr>
              <w:t>0.25</w:t>
            </w:r>
            <w:r>
              <w:rPr>
                <w:rFonts w:ascii="宋体" w:eastAsia="宋体" w:hAnsi="宋体" w:cs="宋体"/>
                <w:snapToGrid/>
                <w:spacing w:val="0"/>
                <w:sz w:val="20"/>
                <w:szCs w:val="20"/>
              </w:rPr>
              <w:t>分，否则不得分；</w:t>
            </w:r>
            <w:r>
              <w:rPr>
                <w:rFonts w:eastAsia="宋体"/>
                <w:snapToGrid/>
                <w:spacing w:val="0"/>
                <w:sz w:val="20"/>
                <w:szCs w:val="20"/>
              </w:rPr>
              <w:br/>
            </w:r>
            <w:r>
              <w:rPr>
                <w:rFonts w:ascii="宋体" w:eastAsia="宋体" w:hAnsi="宋体" w:cs="宋体"/>
                <w:snapToGrid/>
                <w:spacing w:val="0"/>
                <w:sz w:val="20"/>
                <w:szCs w:val="20"/>
              </w:rPr>
              <w:t>②事前经过必要的可行性研究、专家论证、风险评估、绩效评估、集体决策，得</w:t>
            </w:r>
            <w:r>
              <w:rPr>
                <w:rFonts w:eastAsia="宋体"/>
                <w:snapToGrid/>
                <w:spacing w:val="0"/>
                <w:sz w:val="20"/>
                <w:szCs w:val="20"/>
              </w:rPr>
              <w:t>0.25</w:t>
            </w:r>
            <w:r>
              <w:rPr>
                <w:rFonts w:ascii="宋体" w:eastAsia="宋体" w:hAnsi="宋体" w:cs="宋体"/>
                <w:snapToGrid/>
                <w:spacing w:val="0"/>
                <w:sz w:val="20"/>
                <w:szCs w:val="20"/>
              </w:rPr>
              <w:t>分，否则不得分；</w:t>
            </w:r>
            <w:r>
              <w:rPr>
                <w:rFonts w:eastAsia="宋体"/>
                <w:snapToGrid/>
                <w:spacing w:val="0"/>
                <w:sz w:val="20"/>
                <w:szCs w:val="20"/>
              </w:rPr>
              <w:br/>
            </w:r>
            <w:r>
              <w:rPr>
                <w:rFonts w:ascii="宋体" w:eastAsia="宋体" w:hAnsi="宋体" w:cs="宋体"/>
                <w:snapToGrid/>
                <w:spacing w:val="0"/>
                <w:sz w:val="20"/>
                <w:szCs w:val="20"/>
              </w:rPr>
              <w:t>③项目立项过程资料充分、齐全，符合专项资金管理办法相关项目申报要求，得</w:t>
            </w:r>
            <w:r>
              <w:rPr>
                <w:rFonts w:eastAsia="宋体"/>
                <w:snapToGrid/>
                <w:spacing w:val="0"/>
                <w:sz w:val="20"/>
                <w:szCs w:val="20"/>
              </w:rPr>
              <w:t>0.25</w:t>
            </w:r>
            <w:r>
              <w:rPr>
                <w:rFonts w:ascii="宋体" w:eastAsia="宋体" w:hAnsi="宋体" w:cs="宋体"/>
                <w:snapToGrid/>
                <w:spacing w:val="0"/>
                <w:sz w:val="20"/>
                <w:szCs w:val="20"/>
              </w:rPr>
              <w:t>分，否则不得分。</w:t>
            </w:r>
          </w:p>
        </w:tc>
        <w:tc>
          <w:tcPr>
            <w:tcW w:w="709"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 xml:space="preserve">4.00 </w:t>
            </w:r>
          </w:p>
        </w:tc>
        <w:tc>
          <w:tcPr>
            <w:tcW w:w="2155"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 xml:space="preserve">　</w:t>
            </w:r>
          </w:p>
        </w:tc>
      </w:tr>
      <w:tr w:rsidR="00B70354">
        <w:trPr>
          <w:trHeight w:val="530"/>
        </w:trPr>
        <w:tc>
          <w:tcPr>
            <w:tcW w:w="1134" w:type="dxa"/>
            <w:vMerge w:val="restart"/>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B</w:t>
            </w:r>
            <w:r>
              <w:rPr>
                <w:rFonts w:ascii="宋体" w:eastAsia="宋体" w:hAnsi="宋体"/>
                <w:snapToGrid/>
                <w:spacing w:val="0"/>
                <w:sz w:val="20"/>
                <w:szCs w:val="20"/>
              </w:rPr>
              <w:t>过程</w:t>
            </w:r>
            <w:r>
              <w:rPr>
                <w:rFonts w:eastAsia="宋体"/>
                <w:snapToGrid/>
                <w:spacing w:val="0"/>
                <w:sz w:val="20"/>
                <w:szCs w:val="20"/>
              </w:rPr>
              <w:br/>
            </w:r>
            <w:r>
              <w:rPr>
                <w:rFonts w:ascii="宋体" w:eastAsia="宋体" w:hAnsi="宋体"/>
                <w:snapToGrid/>
                <w:spacing w:val="0"/>
                <w:sz w:val="20"/>
                <w:szCs w:val="20"/>
              </w:rPr>
              <w:t>（</w:t>
            </w:r>
            <w:r>
              <w:rPr>
                <w:rFonts w:eastAsia="宋体"/>
                <w:snapToGrid/>
                <w:spacing w:val="0"/>
                <w:sz w:val="20"/>
                <w:szCs w:val="20"/>
              </w:rPr>
              <w:t>20</w:t>
            </w:r>
            <w:r>
              <w:rPr>
                <w:rFonts w:ascii="宋体" w:eastAsia="宋体" w:hAnsi="宋体"/>
                <w:snapToGrid/>
                <w:spacing w:val="0"/>
                <w:sz w:val="20"/>
                <w:szCs w:val="20"/>
              </w:rPr>
              <w:t>分）</w:t>
            </w:r>
          </w:p>
        </w:tc>
        <w:tc>
          <w:tcPr>
            <w:tcW w:w="1134" w:type="dxa"/>
            <w:vMerge w:val="restart"/>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B1</w:t>
            </w:r>
            <w:r>
              <w:rPr>
                <w:rFonts w:ascii="宋体" w:eastAsia="宋体" w:hAnsi="宋体"/>
                <w:snapToGrid/>
                <w:spacing w:val="0"/>
                <w:sz w:val="20"/>
                <w:szCs w:val="20"/>
              </w:rPr>
              <w:t>资金管理</w:t>
            </w:r>
            <w:r>
              <w:rPr>
                <w:rFonts w:eastAsia="宋体"/>
                <w:snapToGrid/>
                <w:spacing w:val="0"/>
                <w:sz w:val="20"/>
                <w:szCs w:val="20"/>
              </w:rPr>
              <w:br/>
            </w:r>
            <w:r>
              <w:rPr>
                <w:rFonts w:ascii="宋体" w:eastAsia="宋体" w:hAnsi="宋体"/>
                <w:snapToGrid/>
                <w:spacing w:val="0"/>
                <w:sz w:val="20"/>
                <w:szCs w:val="20"/>
              </w:rPr>
              <w:t>（</w:t>
            </w:r>
            <w:r>
              <w:rPr>
                <w:rFonts w:eastAsia="宋体"/>
                <w:snapToGrid/>
                <w:spacing w:val="0"/>
                <w:sz w:val="20"/>
                <w:szCs w:val="20"/>
              </w:rPr>
              <w:t>10</w:t>
            </w:r>
            <w:r>
              <w:rPr>
                <w:rFonts w:ascii="宋体" w:eastAsia="宋体" w:hAnsi="宋体"/>
                <w:snapToGrid/>
                <w:spacing w:val="0"/>
                <w:sz w:val="20"/>
                <w:szCs w:val="20"/>
              </w:rPr>
              <w:t>分）</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B11</w:t>
            </w:r>
            <w:r>
              <w:rPr>
                <w:rFonts w:ascii="宋体" w:eastAsia="宋体" w:hAnsi="宋体"/>
                <w:snapToGrid/>
                <w:spacing w:val="0"/>
                <w:sz w:val="20"/>
                <w:szCs w:val="20"/>
              </w:rPr>
              <w:t>资金到位率</w:t>
            </w:r>
            <w:r>
              <w:rPr>
                <w:rFonts w:eastAsia="宋体"/>
                <w:snapToGrid/>
                <w:spacing w:val="0"/>
                <w:sz w:val="20"/>
                <w:szCs w:val="20"/>
              </w:rPr>
              <w:br/>
            </w:r>
            <w:r>
              <w:rPr>
                <w:rFonts w:ascii="宋体" w:eastAsia="宋体" w:hAnsi="宋体"/>
                <w:snapToGrid/>
                <w:spacing w:val="0"/>
                <w:sz w:val="20"/>
                <w:szCs w:val="20"/>
              </w:rPr>
              <w:t>（4分）</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100%</w:t>
            </w:r>
          </w:p>
        </w:tc>
        <w:tc>
          <w:tcPr>
            <w:tcW w:w="3970"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指标解释：项目资金是否及时、足额到位，保障项目及时开展。资金到位率</w:t>
            </w:r>
            <w:r>
              <w:rPr>
                <w:rFonts w:eastAsia="宋体"/>
                <w:snapToGrid/>
                <w:spacing w:val="0"/>
                <w:sz w:val="20"/>
                <w:szCs w:val="20"/>
              </w:rPr>
              <w:t>=</w:t>
            </w:r>
            <w:r>
              <w:rPr>
                <w:rFonts w:ascii="宋体" w:eastAsia="宋体" w:hAnsi="宋体" w:cs="宋体"/>
                <w:snapToGrid/>
                <w:spacing w:val="0"/>
                <w:sz w:val="20"/>
                <w:szCs w:val="20"/>
              </w:rPr>
              <w:t>（实际到位资金</w:t>
            </w:r>
            <w:r>
              <w:rPr>
                <w:rFonts w:eastAsia="宋体"/>
                <w:snapToGrid/>
                <w:spacing w:val="0"/>
                <w:sz w:val="20"/>
                <w:szCs w:val="20"/>
              </w:rPr>
              <w:t>/</w:t>
            </w:r>
            <w:r>
              <w:rPr>
                <w:rFonts w:ascii="宋体" w:eastAsia="宋体" w:hAnsi="宋体" w:cs="宋体"/>
                <w:snapToGrid/>
                <w:spacing w:val="0"/>
                <w:sz w:val="20"/>
                <w:szCs w:val="20"/>
              </w:rPr>
              <w:t>预算资金）×</w:t>
            </w:r>
            <w:r>
              <w:rPr>
                <w:rFonts w:eastAsia="宋体"/>
                <w:snapToGrid/>
                <w:spacing w:val="0"/>
                <w:sz w:val="20"/>
                <w:szCs w:val="20"/>
              </w:rPr>
              <w:t>100%</w:t>
            </w:r>
            <w:r>
              <w:rPr>
                <w:rFonts w:ascii="宋体" w:eastAsia="宋体" w:hAnsi="宋体" w:cs="宋体"/>
                <w:snapToGrid/>
                <w:spacing w:val="0"/>
                <w:sz w:val="20"/>
                <w:szCs w:val="20"/>
              </w:rPr>
              <w:t>。</w:t>
            </w:r>
          </w:p>
        </w:tc>
        <w:tc>
          <w:tcPr>
            <w:tcW w:w="3685"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得分</w:t>
            </w:r>
            <w:r>
              <w:rPr>
                <w:rFonts w:eastAsia="宋体"/>
                <w:snapToGrid/>
                <w:spacing w:val="0"/>
                <w:sz w:val="20"/>
                <w:szCs w:val="20"/>
              </w:rPr>
              <w:t>=</w:t>
            </w:r>
            <w:r>
              <w:rPr>
                <w:rFonts w:ascii="宋体" w:eastAsia="宋体" w:hAnsi="宋体" w:cs="宋体"/>
                <w:snapToGrid/>
                <w:spacing w:val="0"/>
                <w:sz w:val="20"/>
                <w:szCs w:val="20"/>
              </w:rPr>
              <w:t>资金到位率×4分，超过4分按4分计。</w:t>
            </w:r>
          </w:p>
        </w:tc>
        <w:tc>
          <w:tcPr>
            <w:tcW w:w="709"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 xml:space="preserve">4.00 </w:t>
            </w:r>
          </w:p>
        </w:tc>
        <w:tc>
          <w:tcPr>
            <w:tcW w:w="2155"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 xml:space="preserve">　</w:t>
            </w:r>
          </w:p>
        </w:tc>
      </w:tr>
      <w:tr w:rsidR="00B70354">
        <w:trPr>
          <w:trHeight w:val="810"/>
        </w:trPr>
        <w:tc>
          <w:tcPr>
            <w:tcW w:w="1134" w:type="dxa"/>
            <w:vMerge/>
            <w:vAlign w:val="center"/>
          </w:tcPr>
          <w:p w:rsidR="00B70354" w:rsidRDefault="00B70354">
            <w:pPr>
              <w:autoSpaceDE/>
              <w:autoSpaceDN/>
              <w:adjustRightInd/>
              <w:snapToGrid/>
              <w:spacing w:line="240" w:lineRule="auto"/>
              <w:ind w:firstLineChars="0" w:firstLine="0"/>
              <w:textAlignment w:val="auto"/>
              <w:rPr>
                <w:rFonts w:eastAsia="宋体"/>
                <w:snapToGrid/>
                <w:spacing w:val="0"/>
                <w:sz w:val="20"/>
                <w:szCs w:val="20"/>
              </w:rPr>
            </w:pPr>
          </w:p>
        </w:tc>
        <w:tc>
          <w:tcPr>
            <w:tcW w:w="1134" w:type="dxa"/>
            <w:vMerge/>
            <w:vAlign w:val="center"/>
          </w:tcPr>
          <w:p w:rsidR="00B70354" w:rsidRDefault="00B70354">
            <w:pPr>
              <w:autoSpaceDE/>
              <w:autoSpaceDN/>
              <w:adjustRightInd/>
              <w:snapToGrid/>
              <w:spacing w:line="240" w:lineRule="auto"/>
              <w:ind w:firstLineChars="0" w:firstLine="0"/>
              <w:textAlignment w:val="auto"/>
              <w:rPr>
                <w:rFonts w:eastAsia="宋体"/>
                <w:snapToGrid/>
                <w:spacing w:val="0"/>
                <w:sz w:val="20"/>
                <w:szCs w:val="20"/>
              </w:rPr>
            </w:pP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B12</w:t>
            </w:r>
            <w:r>
              <w:rPr>
                <w:rFonts w:ascii="宋体" w:eastAsia="宋体" w:hAnsi="宋体"/>
                <w:snapToGrid/>
                <w:spacing w:val="0"/>
                <w:sz w:val="20"/>
                <w:szCs w:val="20"/>
              </w:rPr>
              <w:t>发放渠道规范性</w:t>
            </w:r>
            <w:r>
              <w:rPr>
                <w:rFonts w:eastAsia="宋体"/>
                <w:snapToGrid/>
                <w:spacing w:val="0"/>
                <w:sz w:val="20"/>
                <w:szCs w:val="20"/>
              </w:rPr>
              <w:br/>
            </w:r>
            <w:r>
              <w:rPr>
                <w:rFonts w:ascii="宋体" w:eastAsia="宋体" w:hAnsi="宋体"/>
                <w:snapToGrid/>
                <w:spacing w:val="0"/>
                <w:sz w:val="20"/>
                <w:szCs w:val="20"/>
              </w:rPr>
              <w:t>（</w:t>
            </w:r>
            <w:r>
              <w:rPr>
                <w:rFonts w:eastAsia="宋体"/>
                <w:snapToGrid/>
                <w:spacing w:val="0"/>
                <w:sz w:val="20"/>
                <w:szCs w:val="20"/>
              </w:rPr>
              <w:t>3</w:t>
            </w:r>
            <w:r>
              <w:rPr>
                <w:rFonts w:ascii="宋体" w:eastAsia="宋体" w:hAnsi="宋体"/>
                <w:snapToGrid/>
                <w:spacing w:val="0"/>
                <w:sz w:val="20"/>
                <w:szCs w:val="20"/>
              </w:rPr>
              <w:t>分）</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100%</w:t>
            </w:r>
          </w:p>
        </w:tc>
        <w:tc>
          <w:tcPr>
            <w:tcW w:w="3970"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指标解释：补贴是否100%通过“一卡通”系统发放。</w:t>
            </w:r>
          </w:p>
        </w:tc>
        <w:tc>
          <w:tcPr>
            <w:tcW w:w="3685"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每发现一起发现现金发放、代领或未注明“南京市粮食种植补贴”摘要的，扣1分。</w:t>
            </w:r>
          </w:p>
        </w:tc>
        <w:tc>
          <w:tcPr>
            <w:tcW w:w="709"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 xml:space="preserve">3.00 </w:t>
            </w:r>
          </w:p>
        </w:tc>
        <w:tc>
          <w:tcPr>
            <w:tcW w:w="2155"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 xml:space="preserve">　</w:t>
            </w:r>
          </w:p>
        </w:tc>
      </w:tr>
      <w:tr w:rsidR="00B70354">
        <w:trPr>
          <w:trHeight w:val="810"/>
        </w:trPr>
        <w:tc>
          <w:tcPr>
            <w:tcW w:w="1134" w:type="dxa"/>
            <w:vMerge/>
            <w:vAlign w:val="center"/>
          </w:tcPr>
          <w:p w:rsidR="00B70354" w:rsidRDefault="00B70354">
            <w:pPr>
              <w:autoSpaceDE/>
              <w:autoSpaceDN/>
              <w:adjustRightInd/>
              <w:snapToGrid/>
              <w:spacing w:line="240" w:lineRule="auto"/>
              <w:ind w:firstLineChars="0" w:firstLine="0"/>
              <w:textAlignment w:val="auto"/>
              <w:rPr>
                <w:rFonts w:eastAsia="宋体"/>
                <w:snapToGrid/>
                <w:spacing w:val="0"/>
                <w:sz w:val="20"/>
                <w:szCs w:val="20"/>
              </w:rPr>
            </w:pPr>
          </w:p>
        </w:tc>
        <w:tc>
          <w:tcPr>
            <w:tcW w:w="1134" w:type="dxa"/>
            <w:vMerge/>
            <w:vAlign w:val="center"/>
          </w:tcPr>
          <w:p w:rsidR="00B70354" w:rsidRDefault="00B70354">
            <w:pPr>
              <w:autoSpaceDE/>
              <w:autoSpaceDN/>
              <w:adjustRightInd/>
              <w:snapToGrid/>
              <w:spacing w:line="240" w:lineRule="auto"/>
              <w:ind w:firstLineChars="0" w:firstLine="0"/>
              <w:textAlignment w:val="auto"/>
              <w:rPr>
                <w:rFonts w:eastAsia="宋体"/>
                <w:snapToGrid/>
                <w:spacing w:val="0"/>
                <w:sz w:val="20"/>
                <w:szCs w:val="20"/>
              </w:rPr>
            </w:pP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B13</w:t>
            </w:r>
            <w:r>
              <w:rPr>
                <w:rFonts w:ascii="宋体" w:eastAsia="宋体" w:hAnsi="宋体"/>
                <w:snapToGrid/>
                <w:spacing w:val="0"/>
                <w:sz w:val="20"/>
                <w:szCs w:val="20"/>
              </w:rPr>
              <w:t>资金发放覆盖率</w:t>
            </w:r>
            <w:r>
              <w:rPr>
                <w:rFonts w:eastAsia="宋体"/>
                <w:snapToGrid/>
                <w:spacing w:val="0"/>
                <w:sz w:val="20"/>
                <w:szCs w:val="20"/>
              </w:rPr>
              <w:br/>
              <w:t>(3</w:t>
            </w:r>
            <w:r>
              <w:rPr>
                <w:rFonts w:ascii="宋体" w:eastAsia="宋体" w:hAnsi="宋体"/>
                <w:snapToGrid/>
                <w:spacing w:val="0"/>
                <w:sz w:val="20"/>
                <w:szCs w:val="20"/>
              </w:rPr>
              <w:t>分</w:t>
            </w:r>
            <w:r>
              <w:rPr>
                <w:rFonts w:eastAsia="宋体"/>
                <w:snapToGrid/>
                <w:spacing w:val="0"/>
                <w:sz w:val="20"/>
                <w:szCs w:val="20"/>
              </w:rPr>
              <w:t>)</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100%</w:t>
            </w:r>
          </w:p>
        </w:tc>
        <w:tc>
          <w:tcPr>
            <w:tcW w:w="3970"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指标解释：补贴资金是否100%覆盖符合条件的种植主体。</w:t>
            </w:r>
          </w:p>
        </w:tc>
        <w:tc>
          <w:tcPr>
            <w:tcW w:w="3685"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未达到100%的，</w:t>
            </w:r>
            <w:proofErr w:type="gramStart"/>
            <w:r>
              <w:rPr>
                <w:rFonts w:ascii="宋体" w:eastAsia="宋体" w:hAnsi="宋体" w:cs="宋体"/>
                <w:snapToGrid/>
                <w:spacing w:val="0"/>
                <w:sz w:val="20"/>
                <w:szCs w:val="20"/>
              </w:rPr>
              <w:t>视比例</w:t>
            </w:r>
            <w:proofErr w:type="gramEnd"/>
            <w:r>
              <w:rPr>
                <w:rFonts w:ascii="宋体" w:eastAsia="宋体" w:hAnsi="宋体" w:cs="宋体"/>
                <w:snapToGrid/>
                <w:spacing w:val="0"/>
                <w:sz w:val="20"/>
                <w:szCs w:val="20"/>
              </w:rPr>
              <w:t>扣分。</w:t>
            </w:r>
          </w:p>
        </w:tc>
        <w:tc>
          <w:tcPr>
            <w:tcW w:w="709"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 xml:space="preserve">3.00 </w:t>
            </w:r>
          </w:p>
        </w:tc>
        <w:tc>
          <w:tcPr>
            <w:tcW w:w="2155"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 xml:space="preserve">　</w:t>
            </w:r>
          </w:p>
        </w:tc>
      </w:tr>
      <w:tr w:rsidR="00B70354">
        <w:trPr>
          <w:trHeight w:val="520"/>
        </w:trPr>
        <w:tc>
          <w:tcPr>
            <w:tcW w:w="1134" w:type="dxa"/>
            <w:vMerge/>
            <w:vAlign w:val="center"/>
          </w:tcPr>
          <w:p w:rsidR="00B70354" w:rsidRDefault="00B70354">
            <w:pPr>
              <w:autoSpaceDE/>
              <w:autoSpaceDN/>
              <w:adjustRightInd/>
              <w:snapToGrid/>
              <w:spacing w:line="240" w:lineRule="auto"/>
              <w:ind w:firstLineChars="0" w:firstLine="0"/>
              <w:textAlignment w:val="auto"/>
              <w:rPr>
                <w:rFonts w:eastAsia="宋体"/>
                <w:snapToGrid/>
                <w:spacing w:val="0"/>
                <w:sz w:val="20"/>
                <w:szCs w:val="20"/>
              </w:rPr>
            </w:pPr>
          </w:p>
        </w:tc>
        <w:tc>
          <w:tcPr>
            <w:tcW w:w="1134" w:type="dxa"/>
            <w:vMerge w:val="restart"/>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B2</w:t>
            </w:r>
            <w:r>
              <w:rPr>
                <w:rFonts w:ascii="宋体" w:eastAsia="宋体" w:hAnsi="宋体"/>
                <w:snapToGrid/>
                <w:spacing w:val="0"/>
                <w:sz w:val="20"/>
                <w:szCs w:val="20"/>
              </w:rPr>
              <w:t>事项管理</w:t>
            </w:r>
            <w:r>
              <w:rPr>
                <w:rFonts w:ascii="宋体" w:eastAsia="宋体" w:hAnsi="宋体"/>
                <w:snapToGrid/>
                <w:spacing w:val="0"/>
                <w:sz w:val="20"/>
                <w:szCs w:val="20"/>
              </w:rPr>
              <w:br/>
              <w:t>（</w:t>
            </w:r>
            <w:r>
              <w:rPr>
                <w:rFonts w:eastAsia="宋体"/>
                <w:snapToGrid/>
                <w:spacing w:val="0"/>
                <w:sz w:val="20"/>
                <w:szCs w:val="20"/>
              </w:rPr>
              <w:t>10</w:t>
            </w:r>
            <w:r>
              <w:rPr>
                <w:rFonts w:ascii="宋体" w:eastAsia="宋体" w:hAnsi="宋体"/>
                <w:snapToGrid/>
                <w:spacing w:val="0"/>
                <w:sz w:val="20"/>
                <w:szCs w:val="20"/>
              </w:rPr>
              <w:t>分）</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B21监管核实执行度（5分）</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充分</w:t>
            </w:r>
          </w:p>
        </w:tc>
        <w:tc>
          <w:tcPr>
            <w:tcW w:w="3970"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指标解释：是否建立监督检查制度并组织实施，对30亩以上规模经营主体的种植情况进行了重点现场核实。</w:t>
            </w:r>
          </w:p>
        </w:tc>
        <w:tc>
          <w:tcPr>
            <w:tcW w:w="3685"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未开展或无核实记录扣5分。</w:t>
            </w:r>
          </w:p>
        </w:tc>
        <w:tc>
          <w:tcPr>
            <w:tcW w:w="709"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 xml:space="preserve">5.00 </w:t>
            </w:r>
          </w:p>
        </w:tc>
        <w:tc>
          <w:tcPr>
            <w:tcW w:w="2155"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 xml:space="preserve">　</w:t>
            </w:r>
          </w:p>
        </w:tc>
      </w:tr>
      <w:tr w:rsidR="00B70354">
        <w:trPr>
          <w:trHeight w:val="520"/>
        </w:trPr>
        <w:tc>
          <w:tcPr>
            <w:tcW w:w="1134" w:type="dxa"/>
            <w:vMerge/>
            <w:vAlign w:val="center"/>
          </w:tcPr>
          <w:p w:rsidR="00B70354" w:rsidRDefault="00B70354">
            <w:pPr>
              <w:autoSpaceDE/>
              <w:autoSpaceDN/>
              <w:adjustRightInd/>
              <w:snapToGrid/>
              <w:spacing w:line="240" w:lineRule="auto"/>
              <w:ind w:firstLineChars="0" w:firstLine="0"/>
              <w:textAlignment w:val="auto"/>
              <w:rPr>
                <w:rFonts w:eastAsia="宋体"/>
                <w:snapToGrid/>
                <w:spacing w:val="0"/>
                <w:sz w:val="20"/>
                <w:szCs w:val="20"/>
              </w:rPr>
            </w:pPr>
          </w:p>
        </w:tc>
        <w:tc>
          <w:tcPr>
            <w:tcW w:w="1134" w:type="dxa"/>
            <w:vMerge/>
            <w:vAlign w:val="center"/>
          </w:tcPr>
          <w:p w:rsidR="00B70354" w:rsidRDefault="00B70354">
            <w:pPr>
              <w:autoSpaceDE/>
              <w:autoSpaceDN/>
              <w:adjustRightInd/>
              <w:snapToGrid/>
              <w:spacing w:line="240" w:lineRule="auto"/>
              <w:ind w:firstLineChars="0" w:firstLine="0"/>
              <w:textAlignment w:val="auto"/>
              <w:rPr>
                <w:rFonts w:eastAsia="宋体"/>
                <w:snapToGrid/>
                <w:spacing w:val="0"/>
                <w:sz w:val="20"/>
                <w:szCs w:val="20"/>
              </w:rPr>
            </w:pP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B22档案管理完备性（5分）</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充分</w:t>
            </w:r>
          </w:p>
        </w:tc>
        <w:tc>
          <w:tcPr>
            <w:tcW w:w="3970"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指标解释：街道是否建立完整的补贴档案，且在规定期限完成工作总结和系统填报上报。</w:t>
            </w:r>
          </w:p>
        </w:tc>
        <w:tc>
          <w:tcPr>
            <w:tcW w:w="3685"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档案缺失或逾期报送视情况扣1-5分。</w:t>
            </w:r>
          </w:p>
        </w:tc>
        <w:tc>
          <w:tcPr>
            <w:tcW w:w="709"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 xml:space="preserve">5.00 </w:t>
            </w:r>
          </w:p>
        </w:tc>
        <w:tc>
          <w:tcPr>
            <w:tcW w:w="2155"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 xml:space="preserve">　</w:t>
            </w:r>
          </w:p>
        </w:tc>
      </w:tr>
      <w:tr w:rsidR="00B70354">
        <w:trPr>
          <w:trHeight w:val="1300"/>
        </w:trPr>
        <w:tc>
          <w:tcPr>
            <w:tcW w:w="1134" w:type="dxa"/>
            <w:vMerge w:val="restart"/>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C</w:t>
            </w:r>
            <w:r>
              <w:rPr>
                <w:rFonts w:ascii="宋体" w:eastAsia="宋体" w:hAnsi="宋体"/>
                <w:snapToGrid/>
                <w:spacing w:val="0"/>
                <w:sz w:val="20"/>
                <w:szCs w:val="20"/>
              </w:rPr>
              <w:t>产出与效益</w:t>
            </w:r>
            <w:r>
              <w:rPr>
                <w:rFonts w:ascii="宋体" w:eastAsia="宋体" w:hAnsi="宋体"/>
                <w:snapToGrid/>
                <w:spacing w:val="0"/>
                <w:sz w:val="20"/>
                <w:szCs w:val="20"/>
              </w:rPr>
              <w:br/>
              <w:t>（60分）</w:t>
            </w:r>
          </w:p>
        </w:tc>
        <w:tc>
          <w:tcPr>
            <w:tcW w:w="1134" w:type="dxa"/>
            <w:vMerge w:val="restart"/>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C1执行与落实</w:t>
            </w:r>
            <w:r>
              <w:rPr>
                <w:rFonts w:ascii="宋体" w:eastAsia="宋体" w:hAnsi="宋体" w:cs="宋体"/>
                <w:snapToGrid/>
                <w:spacing w:val="0"/>
                <w:sz w:val="20"/>
                <w:szCs w:val="20"/>
              </w:rPr>
              <w:br/>
              <w:t>（30分）</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C11资金投向合</w:t>
            </w:r>
            <w:proofErr w:type="gramStart"/>
            <w:r>
              <w:rPr>
                <w:rFonts w:ascii="宋体" w:eastAsia="宋体" w:hAnsi="宋体" w:cs="宋体"/>
                <w:snapToGrid/>
                <w:spacing w:val="0"/>
                <w:sz w:val="20"/>
                <w:szCs w:val="20"/>
              </w:rPr>
              <w:t>规</w:t>
            </w:r>
            <w:proofErr w:type="gramEnd"/>
            <w:r>
              <w:rPr>
                <w:rFonts w:ascii="宋体" w:eastAsia="宋体" w:hAnsi="宋体" w:cs="宋体"/>
                <w:snapToGrid/>
                <w:spacing w:val="0"/>
                <w:sz w:val="20"/>
                <w:szCs w:val="20"/>
              </w:rPr>
              <w:t>率</w:t>
            </w:r>
            <w:r>
              <w:rPr>
                <w:rFonts w:ascii="宋体" w:eastAsia="宋体" w:hAnsi="宋体" w:cs="宋体"/>
                <w:snapToGrid/>
                <w:spacing w:val="0"/>
                <w:sz w:val="20"/>
                <w:szCs w:val="20"/>
              </w:rPr>
              <w:br/>
              <w:t>（10分）</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100%</w:t>
            </w:r>
          </w:p>
        </w:tc>
        <w:tc>
          <w:tcPr>
            <w:tcW w:w="3970"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指标解释：水稻生态补偿资金是否严格用于农田基础设施建设、生态修复、面源污染治理、保险/流转补贴等规定方向。</w:t>
            </w:r>
          </w:p>
        </w:tc>
        <w:tc>
          <w:tcPr>
            <w:tcW w:w="3685"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资金全额用于规定支持的5-6大类生态与设施方向，得10分；发现个别项目管理手续不完善、佐证材料不充分的，视情况扣0.5～2分；发现跨范围、改变资金用途的，扣3～10分；存在截留、挪用等重大违规的，本项不得分。</w:t>
            </w:r>
          </w:p>
        </w:tc>
        <w:tc>
          <w:tcPr>
            <w:tcW w:w="709" w:type="dxa"/>
            <w:noWrap/>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 xml:space="preserve">10.00 </w:t>
            </w:r>
          </w:p>
        </w:tc>
        <w:tc>
          <w:tcPr>
            <w:tcW w:w="2155"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 xml:space="preserve">　</w:t>
            </w:r>
          </w:p>
        </w:tc>
      </w:tr>
      <w:tr w:rsidR="00B70354">
        <w:trPr>
          <w:trHeight w:val="1300"/>
        </w:trPr>
        <w:tc>
          <w:tcPr>
            <w:tcW w:w="1134" w:type="dxa"/>
            <w:vMerge/>
            <w:vAlign w:val="center"/>
          </w:tcPr>
          <w:p w:rsidR="00B70354" w:rsidRDefault="00B70354">
            <w:pPr>
              <w:autoSpaceDE/>
              <w:autoSpaceDN/>
              <w:adjustRightInd/>
              <w:snapToGrid/>
              <w:spacing w:line="240" w:lineRule="auto"/>
              <w:ind w:firstLineChars="0" w:firstLine="0"/>
              <w:textAlignment w:val="auto"/>
              <w:rPr>
                <w:rFonts w:eastAsia="宋体"/>
                <w:snapToGrid/>
                <w:spacing w:val="0"/>
                <w:sz w:val="20"/>
                <w:szCs w:val="20"/>
              </w:rPr>
            </w:pPr>
          </w:p>
        </w:tc>
        <w:tc>
          <w:tcPr>
            <w:tcW w:w="1134" w:type="dxa"/>
            <w:vMerge/>
            <w:vAlign w:val="center"/>
          </w:tcPr>
          <w:p w:rsidR="00B70354" w:rsidRDefault="00B70354">
            <w:pPr>
              <w:autoSpaceDE/>
              <w:autoSpaceDN/>
              <w:adjustRightInd/>
              <w:snapToGrid/>
              <w:spacing w:line="240" w:lineRule="auto"/>
              <w:ind w:firstLineChars="0" w:firstLine="0"/>
              <w:textAlignment w:val="auto"/>
              <w:rPr>
                <w:rFonts w:ascii="宋体" w:eastAsia="宋体" w:hAnsi="宋体" w:cs="宋体"/>
                <w:snapToGrid/>
                <w:spacing w:val="0"/>
                <w:sz w:val="20"/>
                <w:szCs w:val="20"/>
              </w:rPr>
            </w:pP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C12计划任务合</w:t>
            </w:r>
            <w:proofErr w:type="gramStart"/>
            <w:r>
              <w:rPr>
                <w:rFonts w:ascii="宋体" w:eastAsia="宋体" w:hAnsi="宋体" w:cs="宋体"/>
                <w:snapToGrid/>
                <w:spacing w:val="0"/>
                <w:sz w:val="20"/>
                <w:szCs w:val="20"/>
              </w:rPr>
              <w:t>规</w:t>
            </w:r>
            <w:proofErr w:type="gramEnd"/>
            <w:r>
              <w:rPr>
                <w:rFonts w:ascii="宋体" w:eastAsia="宋体" w:hAnsi="宋体" w:cs="宋体"/>
                <w:snapToGrid/>
                <w:spacing w:val="0"/>
                <w:sz w:val="20"/>
                <w:szCs w:val="20"/>
              </w:rPr>
              <w:t>执行率</w:t>
            </w:r>
            <w:r>
              <w:rPr>
                <w:rFonts w:ascii="宋体" w:eastAsia="宋体" w:hAnsi="宋体" w:cs="宋体"/>
                <w:snapToGrid/>
                <w:spacing w:val="0"/>
                <w:sz w:val="20"/>
                <w:szCs w:val="20"/>
              </w:rPr>
              <w:br/>
              <w:t>（10分）</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100%</w:t>
            </w:r>
          </w:p>
        </w:tc>
        <w:tc>
          <w:tcPr>
            <w:tcW w:w="3970"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指标解释：各区实际实施的项目内容与批复的实施方案的一致性，以及变更手续的合</w:t>
            </w:r>
            <w:proofErr w:type="gramStart"/>
            <w:r>
              <w:rPr>
                <w:rFonts w:ascii="宋体" w:eastAsia="宋体" w:hAnsi="宋体" w:cs="宋体"/>
                <w:snapToGrid/>
                <w:spacing w:val="0"/>
                <w:sz w:val="20"/>
                <w:szCs w:val="20"/>
              </w:rPr>
              <w:t>规</w:t>
            </w:r>
            <w:proofErr w:type="gramEnd"/>
            <w:r>
              <w:rPr>
                <w:rFonts w:ascii="宋体" w:eastAsia="宋体" w:hAnsi="宋体" w:cs="宋体"/>
                <w:snapToGrid/>
                <w:spacing w:val="0"/>
                <w:sz w:val="20"/>
                <w:szCs w:val="20"/>
              </w:rPr>
              <w:t>性。</w:t>
            </w:r>
          </w:p>
        </w:tc>
        <w:tc>
          <w:tcPr>
            <w:tcW w:w="3685"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严格按照方案实施，或确需调整的项目均按规定履行了变更批复手续，得10分；发现擅自调整建设内容、随意变更资金用途且未履行任何变更审批手续的，每发现一处扣2～3分；实际建设内容与方案严重背离、视同未执行方案的，本项不得分。</w:t>
            </w:r>
          </w:p>
        </w:tc>
        <w:tc>
          <w:tcPr>
            <w:tcW w:w="709" w:type="dxa"/>
            <w:noWrap/>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 xml:space="preserve">10.00 </w:t>
            </w:r>
          </w:p>
        </w:tc>
        <w:tc>
          <w:tcPr>
            <w:tcW w:w="2155"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 xml:space="preserve">　</w:t>
            </w:r>
          </w:p>
        </w:tc>
      </w:tr>
      <w:tr w:rsidR="00B70354">
        <w:trPr>
          <w:trHeight w:val="1040"/>
        </w:trPr>
        <w:tc>
          <w:tcPr>
            <w:tcW w:w="1134" w:type="dxa"/>
            <w:vMerge/>
            <w:vAlign w:val="center"/>
          </w:tcPr>
          <w:p w:rsidR="00B70354" w:rsidRDefault="00B70354">
            <w:pPr>
              <w:autoSpaceDE/>
              <w:autoSpaceDN/>
              <w:adjustRightInd/>
              <w:snapToGrid/>
              <w:spacing w:line="240" w:lineRule="auto"/>
              <w:ind w:firstLineChars="0" w:firstLine="0"/>
              <w:textAlignment w:val="auto"/>
              <w:rPr>
                <w:rFonts w:eastAsia="宋体"/>
                <w:snapToGrid/>
                <w:spacing w:val="0"/>
                <w:sz w:val="20"/>
                <w:szCs w:val="20"/>
              </w:rPr>
            </w:pPr>
          </w:p>
        </w:tc>
        <w:tc>
          <w:tcPr>
            <w:tcW w:w="1134" w:type="dxa"/>
            <w:vMerge/>
            <w:vAlign w:val="center"/>
          </w:tcPr>
          <w:p w:rsidR="00B70354" w:rsidRDefault="00B70354">
            <w:pPr>
              <w:autoSpaceDE/>
              <w:autoSpaceDN/>
              <w:adjustRightInd/>
              <w:snapToGrid/>
              <w:spacing w:line="240" w:lineRule="auto"/>
              <w:ind w:firstLineChars="0" w:firstLine="0"/>
              <w:textAlignment w:val="auto"/>
              <w:rPr>
                <w:rFonts w:ascii="宋体" w:eastAsia="宋体" w:hAnsi="宋体" w:cs="宋体"/>
                <w:snapToGrid/>
                <w:spacing w:val="0"/>
                <w:sz w:val="20"/>
                <w:szCs w:val="20"/>
              </w:rPr>
            </w:pP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C13方案编制与报批时效</w:t>
            </w:r>
            <w:r>
              <w:rPr>
                <w:rFonts w:ascii="宋体" w:eastAsia="宋体" w:hAnsi="宋体" w:cs="宋体"/>
                <w:snapToGrid/>
                <w:spacing w:val="0"/>
                <w:sz w:val="20"/>
                <w:szCs w:val="20"/>
              </w:rPr>
              <w:br/>
              <w:t>（10分）</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及时</w:t>
            </w:r>
          </w:p>
        </w:tc>
        <w:tc>
          <w:tcPr>
            <w:tcW w:w="3970"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指标解释：各区生态补偿实施方案的编制、审核及报批是否及时，是否影响项目整体启动进度。</w:t>
            </w:r>
          </w:p>
        </w:tc>
        <w:tc>
          <w:tcPr>
            <w:tcW w:w="3685"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方案编制、审核、批复及时，未影响项目启动，得10分；方案编制及报批时间相对靠后、影响部分项目启动进度的，扣0.5～2分；因组织实施原因导致大面积项目无法开展的，扣3～10分。</w:t>
            </w:r>
          </w:p>
        </w:tc>
        <w:tc>
          <w:tcPr>
            <w:tcW w:w="709" w:type="dxa"/>
            <w:noWrap/>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 xml:space="preserve">8.00 </w:t>
            </w:r>
          </w:p>
        </w:tc>
        <w:tc>
          <w:tcPr>
            <w:tcW w:w="2155"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江宁区安排资金1543.614万元，受工作进程影响，实施方案暂未获批复，影响后续项目启动，扣2分</w:t>
            </w:r>
          </w:p>
        </w:tc>
      </w:tr>
      <w:tr w:rsidR="00B70354">
        <w:trPr>
          <w:trHeight w:val="1040"/>
        </w:trPr>
        <w:tc>
          <w:tcPr>
            <w:tcW w:w="1134" w:type="dxa"/>
            <w:vMerge/>
            <w:vAlign w:val="center"/>
          </w:tcPr>
          <w:p w:rsidR="00B70354" w:rsidRDefault="00B70354">
            <w:pPr>
              <w:autoSpaceDE/>
              <w:autoSpaceDN/>
              <w:adjustRightInd/>
              <w:snapToGrid/>
              <w:spacing w:line="240" w:lineRule="auto"/>
              <w:ind w:firstLineChars="0" w:firstLine="0"/>
              <w:textAlignment w:val="auto"/>
              <w:rPr>
                <w:rFonts w:eastAsia="宋体"/>
                <w:snapToGrid/>
                <w:spacing w:val="0"/>
                <w:sz w:val="20"/>
                <w:szCs w:val="20"/>
              </w:rPr>
            </w:pPr>
          </w:p>
        </w:tc>
        <w:tc>
          <w:tcPr>
            <w:tcW w:w="1134" w:type="dxa"/>
            <w:vMerge w:val="restart"/>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C2效益</w:t>
            </w:r>
            <w:r>
              <w:rPr>
                <w:rFonts w:ascii="宋体" w:eastAsia="宋体" w:hAnsi="宋体" w:cs="宋体"/>
                <w:snapToGrid/>
                <w:spacing w:val="0"/>
                <w:sz w:val="20"/>
                <w:szCs w:val="20"/>
              </w:rPr>
              <w:br/>
              <w:t>（30分）</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C21农田基础设施改善效益</w:t>
            </w:r>
            <w:r>
              <w:rPr>
                <w:rFonts w:ascii="宋体" w:eastAsia="宋体" w:hAnsi="宋体" w:cs="宋体"/>
                <w:snapToGrid/>
                <w:spacing w:val="0"/>
                <w:sz w:val="20"/>
                <w:szCs w:val="20"/>
              </w:rPr>
              <w:br/>
              <w:t>（10分）</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显著</w:t>
            </w:r>
          </w:p>
        </w:tc>
        <w:tc>
          <w:tcPr>
            <w:tcW w:w="3970"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指标解释：通过生态补偿资金支持，是否有效改善了农田灌溉排水条件，提升了综合生产保障水平。</w:t>
            </w:r>
          </w:p>
        </w:tc>
        <w:tc>
          <w:tcPr>
            <w:tcW w:w="3685"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显著改善了农田排涝抗旱能力和机械化作业效率，佐证充分，得10分；设施建设缺乏长期管护机制或部分设施运行效果不佳的，扣1～3分；设施建设流于形式，未达到改善生产条件目的的，扣5～10分。</w:t>
            </w:r>
          </w:p>
        </w:tc>
        <w:tc>
          <w:tcPr>
            <w:tcW w:w="709" w:type="dxa"/>
            <w:noWrap/>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 xml:space="preserve">10.00 </w:t>
            </w:r>
          </w:p>
        </w:tc>
        <w:tc>
          <w:tcPr>
            <w:tcW w:w="2155"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 xml:space="preserve">　</w:t>
            </w:r>
          </w:p>
        </w:tc>
      </w:tr>
      <w:tr w:rsidR="00B70354">
        <w:trPr>
          <w:trHeight w:val="1300"/>
        </w:trPr>
        <w:tc>
          <w:tcPr>
            <w:tcW w:w="1134" w:type="dxa"/>
            <w:vMerge/>
            <w:vAlign w:val="center"/>
          </w:tcPr>
          <w:p w:rsidR="00B70354" w:rsidRDefault="00B70354">
            <w:pPr>
              <w:autoSpaceDE/>
              <w:autoSpaceDN/>
              <w:adjustRightInd/>
              <w:snapToGrid/>
              <w:spacing w:line="240" w:lineRule="auto"/>
              <w:ind w:firstLineChars="0" w:firstLine="0"/>
              <w:textAlignment w:val="auto"/>
              <w:rPr>
                <w:rFonts w:eastAsia="宋体"/>
                <w:snapToGrid/>
                <w:spacing w:val="0"/>
                <w:sz w:val="20"/>
                <w:szCs w:val="20"/>
              </w:rPr>
            </w:pPr>
          </w:p>
        </w:tc>
        <w:tc>
          <w:tcPr>
            <w:tcW w:w="1134" w:type="dxa"/>
            <w:vMerge/>
            <w:vAlign w:val="center"/>
          </w:tcPr>
          <w:p w:rsidR="00B70354" w:rsidRDefault="00B70354">
            <w:pPr>
              <w:autoSpaceDE/>
              <w:autoSpaceDN/>
              <w:adjustRightInd/>
              <w:snapToGrid/>
              <w:spacing w:line="240" w:lineRule="auto"/>
              <w:ind w:firstLineChars="0" w:firstLine="0"/>
              <w:textAlignment w:val="auto"/>
              <w:rPr>
                <w:rFonts w:ascii="宋体" w:eastAsia="宋体" w:hAnsi="宋体" w:cs="宋体"/>
                <w:snapToGrid/>
                <w:spacing w:val="0"/>
                <w:sz w:val="20"/>
                <w:szCs w:val="20"/>
              </w:rPr>
            </w:pP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C22农业生态环境优化效益</w:t>
            </w:r>
            <w:r>
              <w:rPr>
                <w:rFonts w:ascii="宋体" w:eastAsia="宋体" w:hAnsi="宋体" w:cs="宋体"/>
                <w:snapToGrid/>
                <w:spacing w:val="0"/>
                <w:sz w:val="20"/>
                <w:szCs w:val="20"/>
              </w:rPr>
              <w:br/>
              <w:t>（10分）</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显著</w:t>
            </w:r>
          </w:p>
        </w:tc>
        <w:tc>
          <w:tcPr>
            <w:tcW w:w="3970"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指标解释：在面源污染治理、农药包装及废旧农膜回收利用、稻田生态修复等方面的实际成效。</w:t>
            </w:r>
          </w:p>
        </w:tc>
        <w:tc>
          <w:tcPr>
            <w:tcW w:w="3685"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农业废弃物回收体系运转良好，面源污染得到有效控制，稻田生态环境持续改善，得10分；环保项目推进力度不足、长效治理成效或相关佐证不充分的，扣1～3分；未能开展任何生态修复或面源污染治理工作的，不得分。</w:t>
            </w:r>
          </w:p>
        </w:tc>
        <w:tc>
          <w:tcPr>
            <w:tcW w:w="709" w:type="dxa"/>
            <w:noWrap/>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 xml:space="preserve">10.00 </w:t>
            </w:r>
          </w:p>
        </w:tc>
        <w:tc>
          <w:tcPr>
            <w:tcW w:w="2155"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 xml:space="preserve">　</w:t>
            </w:r>
          </w:p>
        </w:tc>
      </w:tr>
      <w:tr w:rsidR="00B70354">
        <w:trPr>
          <w:trHeight w:val="1040"/>
        </w:trPr>
        <w:tc>
          <w:tcPr>
            <w:tcW w:w="1134" w:type="dxa"/>
            <w:vMerge/>
            <w:vAlign w:val="center"/>
          </w:tcPr>
          <w:p w:rsidR="00B70354" w:rsidRDefault="00B70354">
            <w:pPr>
              <w:autoSpaceDE/>
              <w:autoSpaceDN/>
              <w:adjustRightInd/>
              <w:snapToGrid/>
              <w:spacing w:line="240" w:lineRule="auto"/>
              <w:ind w:firstLineChars="0" w:firstLine="0"/>
              <w:textAlignment w:val="auto"/>
              <w:rPr>
                <w:rFonts w:eastAsia="宋体"/>
                <w:snapToGrid/>
                <w:spacing w:val="0"/>
                <w:sz w:val="20"/>
                <w:szCs w:val="20"/>
              </w:rPr>
            </w:pPr>
          </w:p>
        </w:tc>
        <w:tc>
          <w:tcPr>
            <w:tcW w:w="1134" w:type="dxa"/>
            <w:vMerge/>
            <w:vAlign w:val="center"/>
          </w:tcPr>
          <w:p w:rsidR="00B70354" w:rsidRDefault="00B70354">
            <w:pPr>
              <w:autoSpaceDE/>
              <w:autoSpaceDN/>
              <w:adjustRightInd/>
              <w:snapToGrid/>
              <w:spacing w:line="240" w:lineRule="auto"/>
              <w:ind w:firstLineChars="0" w:firstLine="0"/>
              <w:textAlignment w:val="auto"/>
              <w:rPr>
                <w:rFonts w:ascii="宋体" w:eastAsia="宋体" w:hAnsi="宋体" w:cs="宋体"/>
                <w:snapToGrid/>
                <w:spacing w:val="0"/>
                <w:sz w:val="20"/>
                <w:szCs w:val="20"/>
              </w:rPr>
            </w:pP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C23粮食稳产保供与种粮效益</w:t>
            </w:r>
            <w:r>
              <w:rPr>
                <w:rFonts w:ascii="宋体" w:eastAsia="宋体" w:hAnsi="宋体" w:cs="宋体"/>
                <w:snapToGrid/>
                <w:spacing w:val="0"/>
                <w:sz w:val="20"/>
                <w:szCs w:val="20"/>
              </w:rPr>
              <w:br/>
              <w:t>（10分）</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显著</w:t>
            </w:r>
          </w:p>
        </w:tc>
        <w:tc>
          <w:tcPr>
            <w:tcW w:w="3970"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指标解释：通过土地流转补贴和农业保险补助，稳定水稻种植面积、减轻种植主体负担的成效。</w:t>
            </w:r>
          </w:p>
        </w:tc>
        <w:tc>
          <w:tcPr>
            <w:tcW w:w="3685"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全市水稻种植面积保持稳定或较上年增长，农户生产风险有效降低，得10分；补贴兑现不及时或保险覆盖面不足，对种植主体持续种粮信心造成一定影响的，</w:t>
            </w:r>
            <w:proofErr w:type="gramStart"/>
            <w:r>
              <w:rPr>
                <w:rFonts w:ascii="宋体" w:eastAsia="宋体" w:hAnsi="宋体" w:cs="宋体"/>
                <w:snapToGrid/>
                <w:spacing w:val="0"/>
                <w:sz w:val="20"/>
                <w:szCs w:val="20"/>
              </w:rPr>
              <w:t>视比例</w:t>
            </w:r>
            <w:proofErr w:type="gramEnd"/>
            <w:r>
              <w:rPr>
                <w:rFonts w:ascii="宋体" w:eastAsia="宋体" w:hAnsi="宋体" w:cs="宋体"/>
                <w:snapToGrid/>
                <w:spacing w:val="0"/>
                <w:sz w:val="20"/>
                <w:szCs w:val="20"/>
              </w:rPr>
              <w:t>扣分。</w:t>
            </w:r>
          </w:p>
        </w:tc>
        <w:tc>
          <w:tcPr>
            <w:tcW w:w="709" w:type="dxa"/>
            <w:noWrap/>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 xml:space="preserve">10.00 </w:t>
            </w:r>
          </w:p>
        </w:tc>
        <w:tc>
          <w:tcPr>
            <w:tcW w:w="2155"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 xml:space="preserve">　</w:t>
            </w:r>
          </w:p>
        </w:tc>
      </w:tr>
      <w:tr w:rsidR="00B70354">
        <w:trPr>
          <w:trHeight w:val="780"/>
        </w:trPr>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D种植主体满意度</w:t>
            </w:r>
            <w:r>
              <w:rPr>
                <w:rFonts w:ascii="宋体" w:eastAsia="宋体" w:hAnsi="宋体" w:cs="宋体"/>
                <w:snapToGrid/>
                <w:spacing w:val="0"/>
                <w:sz w:val="20"/>
                <w:szCs w:val="20"/>
              </w:rPr>
              <w:br/>
              <w:t>（10分）</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D1种植主体满意度</w:t>
            </w:r>
            <w:r>
              <w:rPr>
                <w:rFonts w:ascii="宋体" w:eastAsia="宋体" w:hAnsi="宋体" w:cs="宋体"/>
                <w:snapToGrid/>
                <w:spacing w:val="0"/>
                <w:sz w:val="20"/>
                <w:szCs w:val="20"/>
              </w:rPr>
              <w:br/>
              <w:t>（10分）</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D11种植主体满意度</w:t>
            </w:r>
            <w:r>
              <w:rPr>
                <w:rFonts w:ascii="宋体" w:eastAsia="宋体" w:hAnsi="宋体" w:cs="宋体"/>
                <w:snapToGrid/>
                <w:spacing w:val="0"/>
                <w:sz w:val="20"/>
                <w:szCs w:val="20"/>
              </w:rPr>
              <w:br/>
              <w:t>（10分）</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snapToGrid/>
                <w:spacing w:val="0"/>
                <w:sz w:val="20"/>
                <w:szCs w:val="20"/>
              </w:rPr>
            </w:pPr>
            <w:r>
              <w:rPr>
                <w:rFonts w:ascii="宋体" w:eastAsia="宋体" w:hAnsi="宋体" w:cs="宋体"/>
                <w:snapToGrid/>
                <w:spacing w:val="0"/>
                <w:sz w:val="20"/>
                <w:szCs w:val="20"/>
              </w:rPr>
              <w:t>≥90%</w:t>
            </w:r>
          </w:p>
        </w:tc>
        <w:tc>
          <w:tcPr>
            <w:tcW w:w="3970"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指标解释：规模粮食种植者等补贴对象满意度</w:t>
            </w:r>
          </w:p>
        </w:tc>
        <w:tc>
          <w:tcPr>
            <w:tcW w:w="3685" w:type="dxa"/>
            <w:vAlign w:val="center"/>
          </w:tcPr>
          <w:p w:rsidR="00B70354" w:rsidRDefault="0006100D">
            <w:pPr>
              <w:autoSpaceDE/>
              <w:autoSpaceDN/>
              <w:adjustRightInd/>
              <w:snapToGrid/>
              <w:spacing w:line="240" w:lineRule="auto"/>
              <w:ind w:firstLineChars="0" w:firstLine="0"/>
              <w:jc w:val="both"/>
              <w:textAlignment w:val="auto"/>
              <w:rPr>
                <w:rFonts w:ascii="宋体" w:eastAsia="宋体" w:hAnsi="宋体" w:cs="宋体"/>
                <w:snapToGrid/>
                <w:spacing w:val="0"/>
                <w:sz w:val="20"/>
                <w:szCs w:val="20"/>
              </w:rPr>
            </w:pPr>
            <w:r>
              <w:rPr>
                <w:rFonts w:ascii="宋体" w:eastAsia="宋体" w:hAnsi="宋体" w:cs="宋体"/>
                <w:snapToGrid/>
                <w:spacing w:val="0"/>
                <w:sz w:val="20"/>
                <w:szCs w:val="20"/>
              </w:rPr>
              <w:t>低于90%的，</w:t>
            </w:r>
            <w:proofErr w:type="gramStart"/>
            <w:r>
              <w:rPr>
                <w:rFonts w:ascii="宋体" w:eastAsia="宋体" w:hAnsi="宋体" w:cs="宋体"/>
                <w:snapToGrid/>
                <w:spacing w:val="0"/>
                <w:sz w:val="20"/>
                <w:szCs w:val="20"/>
              </w:rPr>
              <w:t>视比例</w:t>
            </w:r>
            <w:proofErr w:type="gramEnd"/>
            <w:r>
              <w:rPr>
                <w:rFonts w:ascii="宋体" w:eastAsia="宋体" w:hAnsi="宋体" w:cs="宋体"/>
                <w:snapToGrid/>
                <w:spacing w:val="0"/>
                <w:sz w:val="20"/>
                <w:szCs w:val="20"/>
              </w:rPr>
              <w:t>扣分。</w:t>
            </w:r>
          </w:p>
        </w:tc>
        <w:tc>
          <w:tcPr>
            <w:tcW w:w="709" w:type="dxa"/>
            <w:noWrap/>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 xml:space="preserve">10.00 </w:t>
            </w:r>
          </w:p>
        </w:tc>
        <w:tc>
          <w:tcPr>
            <w:tcW w:w="2155"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spacing w:val="0"/>
                <w:sz w:val="20"/>
                <w:szCs w:val="20"/>
              </w:rPr>
            </w:pPr>
            <w:r>
              <w:rPr>
                <w:rFonts w:eastAsia="宋体"/>
                <w:snapToGrid/>
                <w:spacing w:val="0"/>
                <w:sz w:val="20"/>
                <w:szCs w:val="20"/>
              </w:rPr>
              <w:t xml:space="preserve">　</w:t>
            </w:r>
          </w:p>
        </w:tc>
      </w:tr>
      <w:tr w:rsidR="00B70354">
        <w:trPr>
          <w:trHeight w:val="310"/>
        </w:trPr>
        <w:tc>
          <w:tcPr>
            <w:tcW w:w="1134" w:type="dxa"/>
            <w:vAlign w:val="center"/>
          </w:tcPr>
          <w:p w:rsidR="00B70354" w:rsidRDefault="0006100D">
            <w:pPr>
              <w:autoSpaceDE/>
              <w:autoSpaceDN/>
              <w:adjustRightInd/>
              <w:snapToGrid/>
              <w:spacing w:line="240" w:lineRule="auto"/>
              <w:ind w:firstLineChars="0" w:firstLine="0"/>
              <w:jc w:val="center"/>
              <w:textAlignment w:val="auto"/>
              <w:rPr>
                <w:rFonts w:ascii="宋体" w:eastAsia="宋体" w:hAnsi="宋体" w:cs="宋体"/>
                <w:b/>
                <w:bCs/>
                <w:snapToGrid/>
                <w:spacing w:val="0"/>
                <w:sz w:val="20"/>
                <w:szCs w:val="20"/>
              </w:rPr>
            </w:pPr>
            <w:r>
              <w:rPr>
                <w:rFonts w:ascii="宋体" w:eastAsia="宋体" w:hAnsi="宋体" w:cs="宋体"/>
                <w:b/>
                <w:bCs/>
                <w:snapToGrid/>
                <w:spacing w:val="0"/>
                <w:sz w:val="20"/>
                <w:szCs w:val="20"/>
              </w:rPr>
              <w:t>合计</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eastAsia="宋体"/>
                <w:b/>
                <w:bCs/>
                <w:snapToGrid/>
                <w:spacing w:val="0"/>
                <w:sz w:val="20"/>
                <w:szCs w:val="20"/>
              </w:rPr>
            </w:pPr>
            <w:r>
              <w:rPr>
                <w:rFonts w:eastAsia="宋体"/>
                <w:b/>
                <w:bCs/>
                <w:snapToGrid/>
                <w:spacing w:val="0"/>
                <w:sz w:val="20"/>
                <w:szCs w:val="20"/>
              </w:rPr>
              <w:t>100</w:t>
            </w:r>
          </w:p>
        </w:tc>
        <w:tc>
          <w:tcPr>
            <w:tcW w:w="1134" w:type="dxa"/>
            <w:noWrap/>
            <w:vAlign w:val="center"/>
          </w:tcPr>
          <w:p w:rsidR="00B70354" w:rsidRDefault="0006100D">
            <w:pPr>
              <w:autoSpaceDE/>
              <w:autoSpaceDN/>
              <w:adjustRightInd/>
              <w:snapToGrid/>
              <w:spacing w:line="240" w:lineRule="auto"/>
              <w:ind w:firstLineChars="0" w:firstLine="0"/>
              <w:jc w:val="center"/>
              <w:textAlignment w:val="auto"/>
              <w:rPr>
                <w:rFonts w:eastAsia="宋体"/>
                <w:snapToGrid/>
                <w:color w:val="auto"/>
                <w:spacing w:val="0"/>
                <w:sz w:val="24"/>
                <w:szCs w:val="24"/>
              </w:rPr>
            </w:pPr>
            <w:r>
              <w:rPr>
                <w:rFonts w:eastAsia="宋体"/>
                <w:snapToGrid/>
                <w:color w:val="auto"/>
                <w:spacing w:val="0"/>
                <w:sz w:val="24"/>
                <w:szCs w:val="24"/>
              </w:rPr>
              <w:t xml:space="preserve">　</w:t>
            </w:r>
          </w:p>
        </w:tc>
        <w:tc>
          <w:tcPr>
            <w:tcW w:w="1134"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color w:val="auto"/>
                <w:spacing w:val="0"/>
                <w:sz w:val="24"/>
                <w:szCs w:val="24"/>
              </w:rPr>
            </w:pPr>
            <w:r>
              <w:rPr>
                <w:rFonts w:eastAsia="宋体"/>
                <w:snapToGrid/>
                <w:color w:val="auto"/>
                <w:spacing w:val="0"/>
                <w:sz w:val="24"/>
                <w:szCs w:val="24"/>
              </w:rPr>
              <w:t xml:space="preserve">　</w:t>
            </w:r>
          </w:p>
        </w:tc>
        <w:tc>
          <w:tcPr>
            <w:tcW w:w="3970" w:type="dxa"/>
            <w:noWrap/>
            <w:vAlign w:val="center"/>
          </w:tcPr>
          <w:p w:rsidR="00B70354" w:rsidRDefault="0006100D">
            <w:pPr>
              <w:autoSpaceDE/>
              <w:autoSpaceDN/>
              <w:adjustRightInd/>
              <w:snapToGrid/>
              <w:spacing w:line="240" w:lineRule="auto"/>
              <w:ind w:firstLineChars="0" w:firstLine="0"/>
              <w:textAlignment w:val="auto"/>
              <w:rPr>
                <w:rFonts w:eastAsia="宋体"/>
                <w:snapToGrid/>
                <w:color w:val="auto"/>
                <w:spacing w:val="0"/>
                <w:sz w:val="24"/>
                <w:szCs w:val="24"/>
              </w:rPr>
            </w:pPr>
            <w:r>
              <w:rPr>
                <w:rFonts w:eastAsia="宋体"/>
                <w:snapToGrid/>
                <w:color w:val="auto"/>
                <w:spacing w:val="0"/>
                <w:sz w:val="24"/>
                <w:szCs w:val="24"/>
              </w:rPr>
              <w:t xml:space="preserve">　</w:t>
            </w:r>
          </w:p>
        </w:tc>
        <w:tc>
          <w:tcPr>
            <w:tcW w:w="3685" w:type="dxa"/>
            <w:noWrap/>
            <w:vAlign w:val="center"/>
          </w:tcPr>
          <w:p w:rsidR="00B70354" w:rsidRDefault="0006100D">
            <w:pPr>
              <w:autoSpaceDE/>
              <w:autoSpaceDN/>
              <w:adjustRightInd/>
              <w:snapToGrid/>
              <w:spacing w:line="240" w:lineRule="auto"/>
              <w:ind w:firstLineChars="0" w:firstLine="0"/>
              <w:textAlignment w:val="auto"/>
              <w:rPr>
                <w:rFonts w:eastAsia="宋体"/>
                <w:snapToGrid/>
                <w:color w:val="auto"/>
                <w:spacing w:val="0"/>
                <w:sz w:val="24"/>
                <w:szCs w:val="24"/>
              </w:rPr>
            </w:pPr>
            <w:r>
              <w:rPr>
                <w:rFonts w:eastAsia="宋体"/>
                <w:snapToGrid/>
                <w:color w:val="auto"/>
                <w:spacing w:val="0"/>
                <w:sz w:val="24"/>
                <w:szCs w:val="24"/>
              </w:rPr>
              <w:t xml:space="preserve">　</w:t>
            </w:r>
          </w:p>
        </w:tc>
        <w:tc>
          <w:tcPr>
            <w:tcW w:w="709" w:type="dxa"/>
            <w:noWrap/>
            <w:vAlign w:val="center"/>
          </w:tcPr>
          <w:p w:rsidR="00B70354" w:rsidRDefault="0006100D">
            <w:pPr>
              <w:autoSpaceDE/>
              <w:autoSpaceDN/>
              <w:adjustRightInd/>
              <w:snapToGrid/>
              <w:spacing w:line="240" w:lineRule="auto"/>
              <w:ind w:firstLineChars="0" w:firstLine="0"/>
              <w:jc w:val="center"/>
              <w:textAlignment w:val="auto"/>
              <w:rPr>
                <w:rFonts w:eastAsia="宋体"/>
                <w:snapToGrid/>
                <w:color w:val="auto"/>
                <w:spacing w:val="0"/>
                <w:sz w:val="20"/>
                <w:szCs w:val="20"/>
              </w:rPr>
            </w:pPr>
            <w:r>
              <w:rPr>
                <w:rFonts w:eastAsia="宋体"/>
                <w:snapToGrid/>
                <w:color w:val="auto"/>
                <w:spacing w:val="0"/>
                <w:sz w:val="20"/>
                <w:szCs w:val="20"/>
              </w:rPr>
              <w:t xml:space="preserve">98.00 </w:t>
            </w:r>
          </w:p>
        </w:tc>
        <w:tc>
          <w:tcPr>
            <w:tcW w:w="2155" w:type="dxa"/>
            <w:vAlign w:val="center"/>
          </w:tcPr>
          <w:p w:rsidR="00B70354" w:rsidRDefault="0006100D">
            <w:pPr>
              <w:autoSpaceDE/>
              <w:autoSpaceDN/>
              <w:adjustRightInd/>
              <w:snapToGrid/>
              <w:spacing w:line="240" w:lineRule="auto"/>
              <w:ind w:firstLineChars="0" w:firstLine="0"/>
              <w:jc w:val="center"/>
              <w:textAlignment w:val="auto"/>
              <w:rPr>
                <w:rFonts w:eastAsia="宋体"/>
                <w:snapToGrid/>
                <w:color w:val="auto"/>
                <w:spacing w:val="0"/>
                <w:sz w:val="24"/>
                <w:szCs w:val="24"/>
              </w:rPr>
            </w:pPr>
            <w:r>
              <w:rPr>
                <w:rFonts w:eastAsia="宋体"/>
                <w:snapToGrid/>
                <w:color w:val="auto"/>
                <w:spacing w:val="0"/>
                <w:sz w:val="24"/>
                <w:szCs w:val="24"/>
              </w:rPr>
              <w:t xml:space="preserve">　</w:t>
            </w:r>
          </w:p>
        </w:tc>
      </w:tr>
    </w:tbl>
    <w:p w:rsidR="00B70354" w:rsidRDefault="00B70354">
      <w:pPr>
        <w:ind w:firstLineChars="0" w:firstLine="0"/>
      </w:pPr>
    </w:p>
    <w:sectPr w:rsidR="00B70354">
      <w:pgSz w:w="16839" w:h="11907" w:orient="landscape"/>
      <w:pgMar w:top="1588" w:right="1588" w:bottom="1588" w:left="1701" w:header="885" w:footer="1213" w:gutter="0"/>
      <w:cols w:space="720"/>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515" w:rsidRDefault="00690515" w:rsidP="00580CC9">
      <w:pPr>
        <w:spacing w:line="240" w:lineRule="auto"/>
        <w:ind w:firstLine="640"/>
      </w:pPr>
      <w:r>
        <w:separator/>
      </w:r>
    </w:p>
  </w:endnote>
  <w:endnote w:type="continuationSeparator" w:id="0">
    <w:p w:rsidR="00690515" w:rsidRDefault="00690515" w:rsidP="00580CC9">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Arial Unicode MS"/>
    <w:panose1 w:val="03000509000000000000"/>
    <w:charset w:val="86"/>
    <w:family w:val="script"/>
    <w:pitch w:val="fixed"/>
    <w:sig w:usb0="00000001" w:usb1="080E0000" w:usb2="00000010" w:usb3="00000000" w:csb0="00040000" w:csb1="00000000"/>
    <w:embedRegular r:id="rId1" w:subsetted="1" w:fontKey="{14F5CE4A-1D8E-4EC0-AF42-8EDC068881C6}"/>
    <w:embedBold r:id="rId2" w:subsetted="1" w:fontKey="{A76094CB-01C9-41F8-8098-525D02EAC708}"/>
  </w:font>
  <w:font w:name="方正黑体_GBK">
    <w:altName w:val="Arial Unicode MS"/>
    <w:panose1 w:val="03000509000000000000"/>
    <w:charset w:val="86"/>
    <w:family w:val="script"/>
    <w:pitch w:val="fixed"/>
    <w:sig w:usb0="00000001" w:usb1="080E0000" w:usb2="00000010" w:usb3="00000000" w:csb0="00040000" w:csb1="00000000"/>
    <w:embedRegular r:id="rId3" w:subsetted="1" w:fontKey="{96890B49-86F7-44B9-80AD-4759CE096322}"/>
  </w:font>
  <w:font w:name="等线 Light">
    <w:panose1 w:val="02010600030101010101"/>
    <w:charset w:val="86"/>
    <w:family w:val="auto"/>
    <w:pitch w:val="variable"/>
    <w:sig w:usb0="A00002BF" w:usb1="38CF7CFA" w:usb2="00000016" w:usb3="00000000" w:csb0="0004000F" w:csb1="00000000"/>
  </w:font>
  <w:font w:name="方正楷体_GBK">
    <w:altName w:val="Arial Unicode MS"/>
    <w:panose1 w:val="03000509000000000000"/>
    <w:charset w:val="86"/>
    <w:family w:val="script"/>
    <w:pitch w:val="fixed"/>
    <w:sig w:usb0="00000001" w:usb1="080E0000" w:usb2="00000010" w:usb3="00000000" w:csb0="00040000" w:csb1="00000000"/>
    <w:embedRegular r:id="rId4" w:subsetted="1" w:fontKey="{2EC815A5-6647-4F63-8CB0-B7A8E896E980}"/>
  </w:font>
  <w:font w:name="方正小标宋_GBK">
    <w:panose1 w:val="03000509000000000000"/>
    <w:charset w:val="86"/>
    <w:family w:val="script"/>
    <w:pitch w:val="fixed"/>
    <w:sig w:usb0="00000001" w:usb1="080E0000" w:usb2="00000010" w:usb3="00000000" w:csb0="00040000" w:csb1="00000000"/>
    <w:embedRegular r:id="rId5" w:subsetted="1" w:fontKey="{99117C69-3684-4EEF-A2EF-4247C748A49E}"/>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embedRegular r:id="rId6" w:fontKey="{582985F4-CC9D-49F8-84E2-64DE632A9D1A}"/>
  </w:font>
  <w:font w:name="黑体">
    <w:altName w:val="SimHei"/>
    <w:panose1 w:val="02010609060101010101"/>
    <w:charset w:val="86"/>
    <w:family w:val="modern"/>
    <w:pitch w:val="fixed"/>
    <w:sig w:usb0="800002BF" w:usb1="38CF7CFA" w:usb2="00000016" w:usb3="00000000" w:csb0="00040001" w:csb1="00000000"/>
    <w:embedRegular r:id="rId7" w:subsetted="1" w:fontKey="{C52EB58B-179F-42F7-877D-5CD1861EC7EE}"/>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354" w:rsidRDefault="00B70354">
    <w:pPr>
      <w:pStyle w:val="a5"/>
      <w:ind w:firstLine="38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354" w:rsidRDefault="00B70354">
    <w:pPr>
      <w:pStyle w:val="a5"/>
      <w:ind w:firstLineChars="0" w:firstLine="0"/>
      <w:jc w:val="center"/>
      <w:rPr>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354" w:rsidRDefault="00B70354">
    <w:pPr>
      <w:pStyle w:val="a5"/>
      <w:ind w:firstLine="38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354" w:rsidRDefault="0006100D">
    <w:pPr>
      <w:pStyle w:val="a5"/>
      <w:ind w:firstLineChars="0" w:firstLine="0"/>
      <w:jc w:val="center"/>
      <w:rPr>
        <w:sz w:val="24"/>
        <w:szCs w:val="24"/>
      </w:rPr>
    </w:pPr>
    <w:r>
      <w:rPr>
        <w:rFonts w:hint="eastAsia"/>
        <w:sz w:val="24"/>
        <w:szCs w:val="24"/>
      </w:rPr>
      <w:t>—</w:t>
    </w:r>
    <w:sdt>
      <w:sdtPr>
        <w:rPr>
          <w:sz w:val="24"/>
          <w:szCs w:val="24"/>
        </w:rPr>
        <w:id w:val="1152795997"/>
      </w:sdtPr>
      <w:sdtEndPr/>
      <w:sdtContent>
        <w:r>
          <w:rPr>
            <w:sz w:val="24"/>
            <w:szCs w:val="24"/>
          </w:rPr>
          <w:fldChar w:fldCharType="begin"/>
        </w:r>
        <w:r>
          <w:rPr>
            <w:sz w:val="24"/>
            <w:szCs w:val="24"/>
          </w:rPr>
          <w:instrText>PAGE   \* MERGEFORMAT</w:instrText>
        </w:r>
        <w:r>
          <w:rPr>
            <w:sz w:val="24"/>
            <w:szCs w:val="24"/>
          </w:rPr>
          <w:fldChar w:fldCharType="separate"/>
        </w:r>
        <w:r w:rsidR="0054591A" w:rsidRPr="0054591A">
          <w:rPr>
            <w:noProof/>
            <w:sz w:val="24"/>
            <w:szCs w:val="24"/>
            <w:lang w:val="zh-CN"/>
          </w:rPr>
          <w:t>3</w:t>
        </w:r>
        <w:r>
          <w:rPr>
            <w:sz w:val="24"/>
            <w:szCs w:val="24"/>
          </w:rPr>
          <w:fldChar w:fldCharType="end"/>
        </w:r>
        <w:r>
          <w:rPr>
            <w:rFonts w:hint="eastAsia"/>
            <w:sz w:val="24"/>
            <w:szCs w:val="24"/>
          </w:rPr>
          <w:t>—</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515" w:rsidRDefault="00690515" w:rsidP="00580CC9">
      <w:pPr>
        <w:ind w:firstLine="640"/>
      </w:pPr>
      <w:r>
        <w:separator/>
      </w:r>
    </w:p>
  </w:footnote>
  <w:footnote w:type="continuationSeparator" w:id="0">
    <w:p w:rsidR="00690515" w:rsidRDefault="00690515" w:rsidP="00580CC9">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354" w:rsidRDefault="00B70354">
    <w:pPr>
      <w:pStyle w:val="a6"/>
      <w:ind w:firstLine="3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354" w:rsidRDefault="00B70354">
    <w:pPr>
      <w:ind w:left="664" w:firstLineChars="0"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354" w:rsidRDefault="00B70354">
    <w:pPr>
      <w:pStyle w:val="a6"/>
      <w:ind w:firstLine="38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displayBackgroundShape/>
  <w:embedTrueTypeFonts/>
  <w:bordersDoNotSurroundHeader/>
  <w:bordersDoNotSurroundFooter/>
  <w:proofState w:spelling="clean" w:grammar="clean"/>
  <w:defaultTabStop w:val="420"/>
  <w:drawingGridHorizontalSpacing w:val="166"/>
  <w:drawingGridVerticalSpacing w:val="435"/>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zYTA1YjIzOGQ2YmQ0NjI0MDliYTg3OTVjYTgwNDYifQ=="/>
  </w:docVars>
  <w:rsids>
    <w:rsidRoot w:val="00172A27"/>
    <w:rsid w:val="0000162A"/>
    <w:rsid w:val="000037EA"/>
    <w:rsid w:val="000109B6"/>
    <w:rsid w:val="00020DC1"/>
    <w:rsid w:val="00025DD1"/>
    <w:rsid w:val="00050AA7"/>
    <w:rsid w:val="000521F6"/>
    <w:rsid w:val="0005248E"/>
    <w:rsid w:val="00057482"/>
    <w:rsid w:val="0006100D"/>
    <w:rsid w:val="00061FA1"/>
    <w:rsid w:val="000656FD"/>
    <w:rsid w:val="00085BDB"/>
    <w:rsid w:val="000A30DE"/>
    <w:rsid w:val="000B36EB"/>
    <w:rsid w:val="000B61D2"/>
    <w:rsid w:val="000B7683"/>
    <w:rsid w:val="000C3B80"/>
    <w:rsid w:val="000E6095"/>
    <w:rsid w:val="000F3E40"/>
    <w:rsid w:val="000F7663"/>
    <w:rsid w:val="001253D5"/>
    <w:rsid w:val="00131E4E"/>
    <w:rsid w:val="001342BA"/>
    <w:rsid w:val="00165DFF"/>
    <w:rsid w:val="001723B8"/>
    <w:rsid w:val="00172A27"/>
    <w:rsid w:val="00180FD5"/>
    <w:rsid w:val="0018439E"/>
    <w:rsid w:val="00190059"/>
    <w:rsid w:val="00191C76"/>
    <w:rsid w:val="001A0DBF"/>
    <w:rsid w:val="001A7B9E"/>
    <w:rsid w:val="001C055D"/>
    <w:rsid w:val="001D0050"/>
    <w:rsid w:val="001D198F"/>
    <w:rsid w:val="001D5E28"/>
    <w:rsid w:val="001E6C71"/>
    <w:rsid w:val="001F026D"/>
    <w:rsid w:val="001F425C"/>
    <w:rsid w:val="00203A0F"/>
    <w:rsid w:val="00233C5B"/>
    <w:rsid w:val="00244889"/>
    <w:rsid w:val="00260BBD"/>
    <w:rsid w:val="00261B98"/>
    <w:rsid w:val="00270F56"/>
    <w:rsid w:val="00272871"/>
    <w:rsid w:val="00277BD0"/>
    <w:rsid w:val="00277F9D"/>
    <w:rsid w:val="00282C3A"/>
    <w:rsid w:val="002A2479"/>
    <w:rsid w:val="002A60CA"/>
    <w:rsid w:val="002C0157"/>
    <w:rsid w:val="002F30A2"/>
    <w:rsid w:val="002F3CA0"/>
    <w:rsid w:val="0030121E"/>
    <w:rsid w:val="00302195"/>
    <w:rsid w:val="00322ECB"/>
    <w:rsid w:val="00334419"/>
    <w:rsid w:val="00336D09"/>
    <w:rsid w:val="00340E78"/>
    <w:rsid w:val="003436B6"/>
    <w:rsid w:val="00343EF2"/>
    <w:rsid w:val="003542F5"/>
    <w:rsid w:val="0035742E"/>
    <w:rsid w:val="00360199"/>
    <w:rsid w:val="00364FE2"/>
    <w:rsid w:val="00377CD1"/>
    <w:rsid w:val="00380144"/>
    <w:rsid w:val="00382995"/>
    <w:rsid w:val="00384B8E"/>
    <w:rsid w:val="003A1D0A"/>
    <w:rsid w:val="003A7BAD"/>
    <w:rsid w:val="003B2090"/>
    <w:rsid w:val="003B4164"/>
    <w:rsid w:val="003C6D49"/>
    <w:rsid w:val="003E0892"/>
    <w:rsid w:val="003F46AF"/>
    <w:rsid w:val="003F7E10"/>
    <w:rsid w:val="0040693C"/>
    <w:rsid w:val="00426434"/>
    <w:rsid w:val="00426C97"/>
    <w:rsid w:val="00430329"/>
    <w:rsid w:val="00432631"/>
    <w:rsid w:val="00442DF7"/>
    <w:rsid w:val="00443F02"/>
    <w:rsid w:val="004560CC"/>
    <w:rsid w:val="00465069"/>
    <w:rsid w:val="00470B7A"/>
    <w:rsid w:val="00471FA7"/>
    <w:rsid w:val="004736E5"/>
    <w:rsid w:val="00475600"/>
    <w:rsid w:val="00477689"/>
    <w:rsid w:val="00482949"/>
    <w:rsid w:val="0049045A"/>
    <w:rsid w:val="00491A86"/>
    <w:rsid w:val="004A0D95"/>
    <w:rsid w:val="004B1EC3"/>
    <w:rsid w:val="004B2AEB"/>
    <w:rsid w:val="004B3D5A"/>
    <w:rsid w:val="004B4B81"/>
    <w:rsid w:val="004B5848"/>
    <w:rsid w:val="004B6831"/>
    <w:rsid w:val="004C21A0"/>
    <w:rsid w:val="004C49FC"/>
    <w:rsid w:val="004E63FB"/>
    <w:rsid w:val="00500B56"/>
    <w:rsid w:val="0051404E"/>
    <w:rsid w:val="0053248D"/>
    <w:rsid w:val="0054527A"/>
    <w:rsid w:val="0054591A"/>
    <w:rsid w:val="00552DA1"/>
    <w:rsid w:val="00564A4C"/>
    <w:rsid w:val="00572A75"/>
    <w:rsid w:val="00576AD2"/>
    <w:rsid w:val="00580CC9"/>
    <w:rsid w:val="00583704"/>
    <w:rsid w:val="00586796"/>
    <w:rsid w:val="005A153E"/>
    <w:rsid w:val="005C605E"/>
    <w:rsid w:val="005D0181"/>
    <w:rsid w:val="005D428E"/>
    <w:rsid w:val="005D6272"/>
    <w:rsid w:val="005D6922"/>
    <w:rsid w:val="00606C2F"/>
    <w:rsid w:val="00607407"/>
    <w:rsid w:val="00610D0C"/>
    <w:rsid w:val="00612391"/>
    <w:rsid w:val="00617C9E"/>
    <w:rsid w:val="00623049"/>
    <w:rsid w:val="006311FD"/>
    <w:rsid w:val="0064316B"/>
    <w:rsid w:val="0064785F"/>
    <w:rsid w:val="006509F8"/>
    <w:rsid w:val="006521DD"/>
    <w:rsid w:val="00654EC1"/>
    <w:rsid w:val="00674F58"/>
    <w:rsid w:val="00685A22"/>
    <w:rsid w:val="00690515"/>
    <w:rsid w:val="0069121E"/>
    <w:rsid w:val="006975EA"/>
    <w:rsid w:val="006A55BE"/>
    <w:rsid w:val="006A65BB"/>
    <w:rsid w:val="006B7D2E"/>
    <w:rsid w:val="006C1BF4"/>
    <w:rsid w:val="006C256C"/>
    <w:rsid w:val="006C2DF0"/>
    <w:rsid w:val="006D1D78"/>
    <w:rsid w:val="006D2628"/>
    <w:rsid w:val="006D342C"/>
    <w:rsid w:val="006D78CA"/>
    <w:rsid w:val="006E2EF7"/>
    <w:rsid w:val="006E3F2B"/>
    <w:rsid w:val="006E3FE4"/>
    <w:rsid w:val="006F4A0F"/>
    <w:rsid w:val="00701A7E"/>
    <w:rsid w:val="00706A30"/>
    <w:rsid w:val="00721070"/>
    <w:rsid w:val="00724A44"/>
    <w:rsid w:val="00736E39"/>
    <w:rsid w:val="00761478"/>
    <w:rsid w:val="007820AE"/>
    <w:rsid w:val="007832A7"/>
    <w:rsid w:val="00784E81"/>
    <w:rsid w:val="007855A6"/>
    <w:rsid w:val="00790C47"/>
    <w:rsid w:val="007B6337"/>
    <w:rsid w:val="007C111A"/>
    <w:rsid w:val="007D26C1"/>
    <w:rsid w:val="007D53BF"/>
    <w:rsid w:val="00807685"/>
    <w:rsid w:val="00817701"/>
    <w:rsid w:val="008248FF"/>
    <w:rsid w:val="00831C1D"/>
    <w:rsid w:val="008439C4"/>
    <w:rsid w:val="0085274D"/>
    <w:rsid w:val="00864D39"/>
    <w:rsid w:val="00873611"/>
    <w:rsid w:val="00877BBF"/>
    <w:rsid w:val="0088633E"/>
    <w:rsid w:val="008A0287"/>
    <w:rsid w:val="008B2229"/>
    <w:rsid w:val="008B26C4"/>
    <w:rsid w:val="008B3DC2"/>
    <w:rsid w:val="008E2008"/>
    <w:rsid w:val="009030BE"/>
    <w:rsid w:val="009062F4"/>
    <w:rsid w:val="00913F20"/>
    <w:rsid w:val="00925AF5"/>
    <w:rsid w:val="00936CE0"/>
    <w:rsid w:val="00941C01"/>
    <w:rsid w:val="00945BB4"/>
    <w:rsid w:val="00951618"/>
    <w:rsid w:val="009518CF"/>
    <w:rsid w:val="009528A4"/>
    <w:rsid w:val="00960832"/>
    <w:rsid w:val="009670A8"/>
    <w:rsid w:val="009A21AA"/>
    <w:rsid w:val="009A249E"/>
    <w:rsid w:val="009A2F68"/>
    <w:rsid w:val="009A653A"/>
    <w:rsid w:val="009B04C9"/>
    <w:rsid w:val="009C2C3C"/>
    <w:rsid w:val="009C306E"/>
    <w:rsid w:val="009D2BE2"/>
    <w:rsid w:val="009D5580"/>
    <w:rsid w:val="009D6B82"/>
    <w:rsid w:val="009E1590"/>
    <w:rsid w:val="009F02B6"/>
    <w:rsid w:val="009F4B68"/>
    <w:rsid w:val="009F7360"/>
    <w:rsid w:val="00A01635"/>
    <w:rsid w:val="00A05046"/>
    <w:rsid w:val="00A05119"/>
    <w:rsid w:val="00A15BAC"/>
    <w:rsid w:val="00A2201F"/>
    <w:rsid w:val="00A32493"/>
    <w:rsid w:val="00A360B0"/>
    <w:rsid w:val="00A42394"/>
    <w:rsid w:val="00A45C12"/>
    <w:rsid w:val="00A53D35"/>
    <w:rsid w:val="00A66F6E"/>
    <w:rsid w:val="00A7636E"/>
    <w:rsid w:val="00A76975"/>
    <w:rsid w:val="00A83A7F"/>
    <w:rsid w:val="00A84CD2"/>
    <w:rsid w:val="00A90027"/>
    <w:rsid w:val="00AB7F1F"/>
    <w:rsid w:val="00AC6E85"/>
    <w:rsid w:val="00AD02D3"/>
    <w:rsid w:val="00AE19AC"/>
    <w:rsid w:val="00AF0B40"/>
    <w:rsid w:val="00B00083"/>
    <w:rsid w:val="00B0443F"/>
    <w:rsid w:val="00B05CA0"/>
    <w:rsid w:val="00B31520"/>
    <w:rsid w:val="00B31E75"/>
    <w:rsid w:val="00B402CA"/>
    <w:rsid w:val="00B40F81"/>
    <w:rsid w:val="00B4687D"/>
    <w:rsid w:val="00B520B4"/>
    <w:rsid w:val="00B60ABC"/>
    <w:rsid w:val="00B65011"/>
    <w:rsid w:val="00B70354"/>
    <w:rsid w:val="00B84CFC"/>
    <w:rsid w:val="00B87CBB"/>
    <w:rsid w:val="00B9569D"/>
    <w:rsid w:val="00B959D6"/>
    <w:rsid w:val="00BA0698"/>
    <w:rsid w:val="00BA3718"/>
    <w:rsid w:val="00BA63AA"/>
    <w:rsid w:val="00BB1E82"/>
    <w:rsid w:val="00BB452E"/>
    <w:rsid w:val="00BD64D9"/>
    <w:rsid w:val="00BD6569"/>
    <w:rsid w:val="00BE057B"/>
    <w:rsid w:val="00BE336B"/>
    <w:rsid w:val="00BE3A59"/>
    <w:rsid w:val="00BF4C15"/>
    <w:rsid w:val="00C031D7"/>
    <w:rsid w:val="00C053D4"/>
    <w:rsid w:val="00C07594"/>
    <w:rsid w:val="00C1709F"/>
    <w:rsid w:val="00C22CAD"/>
    <w:rsid w:val="00C24F9B"/>
    <w:rsid w:val="00C27BDD"/>
    <w:rsid w:val="00C30B45"/>
    <w:rsid w:val="00C331E6"/>
    <w:rsid w:val="00C4011A"/>
    <w:rsid w:val="00C42957"/>
    <w:rsid w:val="00C45B58"/>
    <w:rsid w:val="00C546A3"/>
    <w:rsid w:val="00C700DC"/>
    <w:rsid w:val="00C70E4C"/>
    <w:rsid w:val="00C73881"/>
    <w:rsid w:val="00C76687"/>
    <w:rsid w:val="00C7749D"/>
    <w:rsid w:val="00C83322"/>
    <w:rsid w:val="00C86DD6"/>
    <w:rsid w:val="00C92070"/>
    <w:rsid w:val="00C92B49"/>
    <w:rsid w:val="00CA5BB6"/>
    <w:rsid w:val="00CB6273"/>
    <w:rsid w:val="00CB6E1A"/>
    <w:rsid w:val="00CC327A"/>
    <w:rsid w:val="00CC742F"/>
    <w:rsid w:val="00CC7E24"/>
    <w:rsid w:val="00CD46BC"/>
    <w:rsid w:val="00CD4932"/>
    <w:rsid w:val="00CD4D47"/>
    <w:rsid w:val="00D02C53"/>
    <w:rsid w:val="00D10497"/>
    <w:rsid w:val="00D22BF8"/>
    <w:rsid w:val="00D335DB"/>
    <w:rsid w:val="00D4675E"/>
    <w:rsid w:val="00D53FB3"/>
    <w:rsid w:val="00D63A9B"/>
    <w:rsid w:val="00D679A9"/>
    <w:rsid w:val="00D90199"/>
    <w:rsid w:val="00D932F7"/>
    <w:rsid w:val="00D94FD8"/>
    <w:rsid w:val="00DA2800"/>
    <w:rsid w:val="00DA65A8"/>
    <w:rsid w:val="00DB24D7"/>
    <w:rsid w:val="00DB381E"/>
    <w:rsid w:val="00DB7373"/>
    <w:rsid w:val="00DC011D"/>
    <w:rsid w:val="00DC27CB"/>
    <w:rsid w:val="00DE6CE8"/>
    <w:rsid w:val="00DF07A6"/>
    <w:rsid w:val="00E06481"/>
    <w:rsid w:val="00E06918"/>
    <w:rsid w:val="00E13244"/>
    <w:rsid w:val="00E27086"/>
    <w:rsid w:val="00E3096C"/>
    <w:rsid w:val="00E423EE"/>
    <w:rsid w:val="00E45DA5"/>
    <w:rsid w:val="00E46802"/>
    <w:rsid w:val="00E64E12"/>
    <w:rsid w:val="00E71962"/>
    <w:rsid w:val="00E80AA3"/>
    <w:rsid w:val="00ED152A"/>
    <w:rsid w:val="00EE5B90"/>
    <w:rsid w:val="00EF25F5"/>
    <w:rsid w:val="00EF4E0B"/>
    <w:rsid w:val="00F039EC"/>
    <w:rsid w:val="00F1234A"/>
    <w:rsid w:val="00F17F5C"/>
    <w:rsid w:val="00F24C04"/>
    <w:rsid w:val="00F33C2C"/>
    <w:rsid w:val="00F353E5"/>
    <w:rsid w:val="00F432BF"/>
    <w:rsid w:val="00F50CD8"/>
    <w:rsid w:val="00F57719"/>
    <w:rsid w:val="00F61B38"/>
    <w:rsid w:val="00F64AD6"/>
    <w:rsid w:val="00F72ECD"/>
    <w:rsid w:val="00F84CA4"/>
    <w:rsid w:val="00F92881"/>
    <w:rsid w:val="00FA6B68"/>
    <w:rsid w:val="00FA71D2"/>
    <w:rsid w:val="00FB4F18"/>
    <w:rsid w:val="00FC3B99"/>
    <w:rsid w:val="00FC428D"/>
    <w:rsid w:val="00FC4375"/>
    <w:rsid w:val="00FC43BD"/>
    <w:rsid w:val="00FD0ED0"/>
    <w:rsid w:val="00FE49F3"/>
    <w:rsid w:val="0106102C"/>
    <w:rsid w:val="01100FE8"/>
    <w:rsid w:val="011D4008"/>
    <w:rsid w:val="01215492"/>
    <w:rsid w:val="0128023C"/>
    <w:rsid w:val="012F6A30"/>
    <w:rsid w:val="013D1076"/>
    <w:rsid w:val="01436D7C"/>
    <w:rsid w:val="015841E7"/>
    <w:rsid w:val="015948D9"/>
    <w:rsid w:val="015E022F"/>
    <w:rsid w:val="0168750A"/>
    <w:rsid w:val="01725237"/>
    <w:rsid w:val="01A15BCB"/>
    <w:rsid w:val="01AD18B5"/>
    <w:rsid w:val="01B80E54"/>
    <w:rsid w:val="01C97FE5"/>
    <w:rsid w:val="01D2479A"/>
    <w:rsid w:val="01D27F69"/>
    <w:rsid w:val="01D96067"/>
    <w:rsid w:val="01DC6084"/>
    <w:rsid w:val="01E449C4"/>
    <w:rsid w:val="01EB0296"/>
    <w:rsid w:val="01FE2BED"/>
    <w:rsid w:val="02072CEA"/>
    <w:rsid w:val="02074FFF"/>
    <w:rsid w:val="021517CF"/>
    <w:rsid w:val="02183CFB"/>
    <w:rsid w:val="02214623"/>
    <w:rsid w:val="02350F9C"/>
    <w:rsid w:val="0238511D"/>
    <w:rsid w:val="02396781"/>
    <w:rsid w:val="023C661E"/>
    <w:rsid w:val="025A5B76"/>
    <w:rsid w:val="025B56CD"/>
    <w:rsid w:val="025D3F0B"/>
    <w:rsid w:val="02683B2D"/>
    <w:rsid w:val="027436BE"/>
    <w:rsid w:val="028354F4"/>
    <w:rsid w:val="02852F68"/>
    <w:rsid w:val="028F3CF4"/>
    <w:rsid w:val="029A7D67"/>
    <w:rsid w:val="02A17D2D"/>
    <w:rsid w:val="02AD6580"/>
    <w:rsid w:val="02AE79FF"/>
    <w:rsid w:val="02B57882"/>
    <w:rsid w:val="02C10192"/>
    <w:rsid w:val="02C70879"/>
    <w:rsid w:val="02CE1A53"/>
    <w:rsid w:val="02D04C6B"/>
    <w:rsid w:val="02DB6A95"/>
    <w:rsid w:val="02E4513C"/>
    <w:rsid w:val="02F33980"/>
    <w:rsid w:val="02F37673"/>
    <w:rsid w:val="02FE14DD"/>
    <w:rsid w:val="03061D34"/>
    <w:rsid w:val="030A0868"/>
    <w:rsid w:val="0320527B"/>
    <w:rsid w:val="033760D2"/>
    <w:rsid w:val="03552CE1"/>
    <w:rsid w:val="03554BE2"/>
    <w:rsid w:val="03607C2A"/>
    <w:rsid w:val="036233EC"/>
    <w:rsid w:val="03731A87"/>
    <w:rsid w:val="038B6395"/>
    <w:rsid w:val="039C6E1E"/>
    <w:rsid w:val="03C010FF"/>
    <w:rsid w:val="03C4025D"/>
    <w:rsid w:val="03C45BC6"/>
    <w:rsid w:val="03E01B17"/>
    <w:rsid w:val="03EB7814"/>
    <w:rsid w:val="04000C73"/>
    <w:rsid w:val="04122F43"/>
    <w:rsid w:val="04183AEC"/>
    <w:rsid w:val="041D2AF2"/>
    <w:rsid w:val="0424549F"/>
    <w:rsid w:val="042D337C"/>
    <w:rsid w:val="0431762A"/>
    <w:rsid w:val="043F3A8D"/>
    <w:rsid w:val="048743CB"/>
    <w:rsid w:val="048D238F"/>
    <w:rsid w:val="049438A7"/>
    <w:rsid w:val="04C136EA"/>
    <w:rsid w:val="04CA6007"/>
    <w:rsid w:val="04D538AD"/>
    <w:rsid w:val="04F46FC9"/>
    <w:rsid w:val="04FC35AD"/>
    <w:rsid w:val="050C416F"/>
    <w:rsid w:val="05191C2C"/>
    <w:rsid w:val="05343D2F"/>
    <w:rsid w:val="053617C5"/>
    <w:rsid w:val="053B3853"/>
    <w:rsid w:val="05457703"/>
    <w:rsid w:val="0569170D"/>
    <w:rsid w:val="05773551"/>
    <w:rsid w:val="05A82521"/>
    <w:rsid w:val="05CB5A50"/>
    <w:rsid w:val="05DB5F61"/>
    <w:rsid w:val="05E95098"/>
    <w:rsid w:val="05EF6DAF"/>
    <w:rsid w:val="06225ECF"/>
    <w:rsid w:val="062C3510"/>
    <w:rsid w:val="0641528E"/>
    <w:rsid w:val="06433EE6"/>
    <w:rsid w:val="065B395F"/>
    <w:rsid w:val="06807174"/>
    <w:rsid w:val="068849CC"/>
    <w:rsid w:val="068F0843"/>
    <w:rsid w:val="068F3EF4"/>
    <w:rsid w:val="06B71FC7"/>
    <w:rsid w:val="06BC5BCD"/>
    <w:rsid w:val="06C105CF"/>
    <w:rsid w:val="06CC1509"/>
    <w:rsid w:val="06DB7AB8"/>
    <w:rsid w:val="07052C0D"/>
    <w:rsid w:val="070A0F42"/>
    <w:rsid w:val="072B090F"/>
    <w:rsid w:val="073050E8"/>
    <w:rsid w:val="07357ADD"/>
    <w:rsid w:val="07492603"/>
    <w:rsid w:val="07567F65"/>
    <w:rsid w:val="077677DA"/>
    <w:rsid w:val="07836C63"/>
    <w:rsid w:val="078712C0"/>
    <w:rsid w:val="07943E60"/>
    <w:rsid w:val="07BA26EF"/>
    <w:rsid w:val="07C1263D"/>
    <w:rsid w:val="07D80C4D"/>
    <w:rsid w:val="07EE0813"/>
    <w:rsid w:val="084139E2"/>
    <w:rsid w:val="08480BCA"/>
    <w:rsid w:val="08495721"/>
    <w:rsid w:val="0866565B"/>
    <w:rsid w:val="08735239"/>
    <w:rsid w:val="087777A6"/>
    <w:rsid w:val="088836CF"/>
    <w:rsid w:val="088E2EF5"/>
    <w:rsid w:val="089B1C43"/>
    <w:rsid w:val="08B97C29"/>
    <w:rsid w:val="08C906AC"/>
    <w:rsid w:val="08DC6783"/>
    <w:rsid w:val="08FC1B3B"/>
    <w:rsid w:val="09065AA3"/>
    <w:rsid w:val="090B1796"/>
    <w:rsid w:val="092E0609"/>
    <w:rsid w:val="09342677"/>
    <w:rsid w:val="09384621"/>
    <w:rsid w:val="093E72EA"/>
    <w:rsid w:val="09625A04"/>
    <w:rsid w:val="096A7A89"/>
    <w:rsid w:val="09707450"/>
    <w:rsid w:val="09744604"/>
    <w:rsid w:val="09924425"/>
    <w:rsid w:val="0997262F"/>
    <w:rsid w:val="09A1716C"/>
    <w:rsid w:val="09A70B30"/>
    <w:rsid w:val="09B27A00"/>
    <w:rsid w:val="09B81429"/>
    <w:rsid w:val="09D1043D"/>
    <w:rsid w:val="09DE1E00"/>
    <w:rsid w:val="0A09657B"/>
    <w:rsid w:val="0A1D3AE8"/>
    <w:rsid w:val="0A27063E"/>
    <w:rsid w:val="0A366A34"/>
    <w:rsid w:val="0A3B3DD9"/>
    <w:rsid w:val="0A3E5AB9"/>
    <w:rsid w:val="0A6E2174"/>
    <w:rsid w:val="0A6E4804"/>
    <w:rsid w:val="0A6F2FA6"/>
    <w:rsid w:val="0A732699"/>
    <w:rsid w:val="0A8063F3"/>
    <w:rsid w:val="0A82676E"/>
    <w:rsid w:val="0A836F31"/>
    <w:rsid w:val="0A886004"/>
    <w:rsid w:val="0A8C6CEC"/>
    <w:rsid w:val="0A9F246D"/>
    <w:rsid w:val="0AA22699"/>
    <w:rsid w:val="0AC215D4"/>
    <w:rsid w:val="0ACD218E"/>
    <w:rsid w:val="0ACF3D1E"/>
    <w:rsid w:val="0ADE19B6"/>
    <w:rsid w:val="0AE61626"/>
    <w:rsid w:val="0AED7BCA"/>
    <w:rsid w:val="0AF864A0"/>
    <w:rsid w:val="0AFF494C"/>
    <w:rsid w:val="0B1655A1"/>
    <w:rsid w:val="0B212F38"/>
    <w:rsid w:val="0B244A0B"/>
    <w:rsid w:val="0B2855D3"/>
    <w:rsid w:val="0B2F5D89"/>
    <w:rsid w:val="0B4C2BCB"/>
    <w:rsid w:val="0B4F0084"/>
    <w:rsid w:val="0B74297B"/>
    <w:rsid w:val="0B80373B"/>
    <w:rsid w:val="0B8B3F05"/>
    <w:rsid w:val="0B8D0D76"/>
    <w:rsid w:val="0B937BB6"/>
    <w:rsid w:val="0BB60B29"/>
    <w:rsid w:val="0BC15B85"/>
    <w:rsid w:val="0BC64BBA"/>
    <w:rsid w:val="0BD715C7"/>
    <w:rsid w:val="0BD909B2"/>
    <w:rsid w:val="0BDE528E"/>
    <w:rsid w:val="0C100084"/>
    <w:rsid w:val="0C156731"/>
    <w:rsid w:val="0C2E48B8"/>
    <w:rsid w:val="0C2F1785"/>
    <w:rsid w:val="0C3114D9"/>
    <w:rsid w:val="0C48669B"/>
    <w:rsid w:val="0C5B5C3A"/>
    <w:rsid w:val="0C7E1881"/>
    <w:rsid w:val="0C7F3D6A"/>
    <w:rsid w:val="0C960BF1"/>
    <w:rsid w:val="0CA53993"/>
    <w:rsid w:val="0CDA6B5F"/>
    <w:rsid w:val="0CDD69E6"/>
    <w:rsid w:val="0CEF7694"/>
    <w:rsid w:val="0CF779EF"/>
    <w:rsid w:val="0CFB4D89"/>
    <w:rsid w:val="0D152F3B"/>
    <w:rsid w:val="0D185F81"/>
    <w:rsid w:val="0D2A502F"/>
    <w:rsid w:val="0D2D0F41"/>
    <w:rsid w:val="0D40437E"/>
    <w:rsid w:val="0D661242"/>
    <w:rsid w:val="0D6F076F"/>
    <w:rsid w:val="0D726439"/>
    <w:rsid w:val="0D8357AD"/>
    <w:rsid w:val="0D87045D"/>
    <w:rsid w:val="0D8E0F06"/>
    <w:rsid w:val="0D90401B"/>
    <w:rsid w:val="0DA029E5"/>
    <w:rsid w:val="0DBA3470"/>
    <w:rsid w:val="0DBE710C"/>
    <w:rsid w:val="0DC72172"/>
    <w:rsid w:val="0DD94CC1"/>
    <w:rsid w:val="0DED6B56"/>
    <w:rsid w:val="0E07153C"/>
    <w:rsid w:val="0E0D6702"/>
    <w:rsid w:val="0E1477CC"/>
    <w:rsid w:val="0E18099C"/>
    <w:rsid w:val="0E270A68"/>
    <w:rsid w:val="0E2F2BB6"/>
    <w:rsid w:val="0E315650"/>
    <w:rsid w:val="0E32668D"/>
    <w:rsid w:val="0E3C091F"/>
    <w:rsid w:val="0E5C5192"/>
    <w:rsid w:val="0E6C6C8D"/>
    <w:rsid w:val="0E8A1BBC"/>
    <w:rsid w:val="0E965109"/>
    <w:rsid w:val="0EB92F6A"/>
    <w:rsid w:val="0EC07D7F"/>
    <w:rsid w:val="0EC14E2F"/>
    <w:rsid w:val="0EC35AE8"/>
    <w:rsid w:val="0EE15996"/>
    <w:rsid w:val="0EEC7ACC"/>
    <w:rsid w:val="0F275EE1"/>
    <w:rsid w:val="0F2E6865"/>
    <w:rsid w:val="0F3B4BEB"/>
    <w:rsid w:val="0F745496"/>
    <w:rsid w:val="0F793E0B"/>
    <w:rsid w:val="0F900932"/>
    <w:rsid w:val="0F9D3030"/>
    <w:rsid w:val="0FA741C1"/>
    <w:rsid w:val="0FAC41EC"/>
    <w:rsid w:val="0FAD4498"/>
    <w:rsid w:val="0FDA6AF3"/>
    <w:rsid w:val="0FDB5D8F"/>
    <w:rsid w:val="0FE95E8F"/>
    <w:rsid w:val="0FF7678E"/>
    <w:rsid w:val="10027A5C"/>
    <w:rsid w:val="10371550"/>
    <w:rsid w:val="105C4675"/>
    <w:rsid w:val="10852081"/>
    <w:rsid w:val="10914525"/>
    <w:rsid w:val="10981681"/>
    <w:rsid w:val="10A50600"/>
    <w:rsid w:val="10BD5822"/>
    <w:rsid w:val="10C06437"/>
    <w:rsid w:val="10C534DC"/>
    <w:rsid w:val="10DD401E"/>
    <w:rsid w:val="10E339D0"/>
    <w:rsid w:val="10F34350"/>
    <w:rsid w:val="110134C5"/>
    <w:rsid w:val="11185132"/>
    <w:rsid w:val="111C758C"/>
    <w:rsid w:val="111E5E1A"/>
    <w:rsid w:val="113D4B93"/>
    <w:rsid w:val="115425A4"/>
    <w:rsid w:val="11680D3A"/>
    <w:rsid w:val="1172187C"/>
    <w:rsid w:val="11842FDC"/>
    <w:rsid w:val="119602C3"/>
    <w:rsid w:val="11A216E9"/>
    <w:rsid w:val="11A4008D"/>
    <w:rsid w:val="11A75090"/>
    <w:rsid w:val="11B471DE"/>
    <w:rsid w:val="11B56317"/>
    <w:rsid w:val="11C32EF2"/>
    <w:rsid w:val="11C43559"/>
    <w:rsid w:val="11C72099"/>
    <w:rsid w:val="11D77B3D"/>
    <w:rsid w:val="11E540BC"/>
    <w:rsid w:val="11F576EA"/>
    <w:rsid w:val="120B03D4"/>
    <w:rsid w:val="120B085A"/>
    <w:rsid w:val="120D7534"/>
    <w:rsid w:val="121530D8"/>
    <w:rsid w:val="12265FE9"/>
    <w:rsid w:val="12313547"/>
    <w:rsid w:val="124D5909"/>
    <w:rsid w:val="12515633"/>
    <w:rsid w:val="126246E9"/>
    <w:rsid w:val="127029C6"/>
    <w:rsid w:val="127A57F1"/>
    <w:rsid w:val="127D7D4D"/>
    <w:rsid w:val="128105AC"/>
    <w:rsid w:val="1283173D"/>
    <w:rsid w:val="128C7B08"/>
    <w:rsid w:val="12944314"/>
    <w:rsid w:val="129869D5"/>
    <w:rsid w:val="12A20F72"/>
    <w:rsid w:val="12BF0E57"/>
    <w:rsid w:val="12CB03ED"/>
    <w:rsid w:val="12EF740A"/>
    <w:rsid w:val="130761DC"/>
    <w:rsid w:val="130E5B78"/>
    <w:rsid w:val="13161AB3"/>
    <w:rsid w:val="131A4E6F"/>
    <w:rsid w:val="131E2A71"/>
    <w:rsid w:val="132E48F0"/>
    <w:rsid w:val="135A75BD"/>
    <w:rsid w:val="135D26A9"/>
    <w:rsid w:val="137F06C3"/>
    <w:rsid w:val="138B2C7E"/>
    <w:rsid w:val="139902FA"/>
    <w:rsid w:val="139F3675"/>
    <w:rsid w:val="13A439D3"/>
    <w:rsid w:val="13BC2304"/>
    <w:rsid w:val="13BF0661"/>
    <w:rsid w:val="13FE3388"/>
    <w:rsid w:val="14012980"/>
    <w:rsid w:val="14013982"/>
    <w:rsid w:val="141020CF"/>
    <w:rsid w:val="142B0762"/>
    <w:rsid w:val="1447109F"/>
    <w:rsid w:val="144B6359"/>
    <w:rsid w:val="144E4917"/>
    <w:rsid w:val="145235E2"/>
    <w:rsid w:val="14541F62"/>
    <w:rsid w:val="146109AC"/>
    <w:rsid w:val="14647554"/>
    <w:rsid w:val="146F235F"/>
    <w:rsid w:val="148D1F08"/>
    <w:rsid w:val="1496219D"/>
    <w:rsid w:val="149D2C8D"/>
    <w:rsid w:val="14AC0ECD"/>
    <w:rsid w:val="14C84CB6"/>
    <w:rsid w:val="14E069E6"/>
    <w:rsid w:val="14EA3594"/>
    <w:rsid w:val="14F93DFD"/>
    <w:rsid w:val="14FE6C64"/>
    <w:rsid w:val="15073AB4"/>
    <w:rsid w:val="150B0835"/>
    <w:rsid w:val="15110EB2"/>
    <w:rsid w:val="15120F87"/>
    <w:rsid w:val="151C630E"/>
    <w:rsid w:val="15450045"/>
    <w:rsid w:val="15454B84"/>
    <w:rsid w:val="154567F8"/>
    <w:rsid w:val="1553564D"/>
    <w:rsid w:val="1563509A"/>
    <w:rsid w:val="156770E4"/>
    <w:rsid w:val="15876135"/>
    <w:rsid w:val="15887E5A"/>
    <w:rsid w:val="158E7371"/>
    <w:rsid w:val="15945F0F"/>
    <w:rsid w:val="15B240F2"/>
    <w:rsid w:val="15BF724B"/>
    <w:rsid w:val="15D253A4"/>
    <w:rsid w:val="15D35025"/>
    <w:rsid w:val="15DF260C"/>
    <w:rsid w:val="15ED24E8"/>
    <w:rsid w:val="15F04960"/>
    <w:rsid w:val="16062474"/>
    <w:rsid w:val="161E0106"/>
    <w:rsid w:val="162049D2"/>
    <w:rsid w:val="16206A19"/>
    <w:rsid w:val="162174C2"/>
    <w:rsid w:val="162C20FF"/>
    <w:rsid w:val="162C6C2A"/>
    <w:rsid w:val="16363C20"/>
    <w:rsid w:val="16365980"/>
    <w:rsid w:val="16447A80"/>
    <w:rsid w:val="165C2BD3"/>
    <w:rsid w:val="166D4C9E"/>
    <w:rsid w:val="166F1107"/>
    <w:rsid w:val="16787712"/>
    <w:rsid w:val="168D4B43"/>
    <w:rsid w:val="16925B8F"/>
    <w:rsid w:val="1696374F"/>
    <w:rsid w:val="16A20353"/>
    <w:rsid w:val="16A50DC0"/>
    <w:rsid w:val="16B02350"/>
    <w:rsid w:val="16B814E1"/>
    <w:rsid w:val="16C361FD"/>
    <w:rsid w:val="16D957B0"/>
    <w:rsid w:val="16DC49FD"/>
    <w:rsid w:val="16E806CA"/>
    <w:rsid w:val="16E8357D"/>
    <w:rsid w:val="16F55B85"/>
    <w:rsid w:val="17000B44"/>
    <w:rsid w:val="170D1881"/>
    <w:rsid w:val="17302CB4"/>
    <w:rsid w:val="174F6237"/>
    <w:rsid w:val="178F4F5C"/>
    <w:rsid w:val="17AF359B"/>
    <w:rsid w:val="17BC2FCC"/>
    <w:rsid w:val="17C205A9"/>
    <w:rsid w:val="17C5741F"/>
    <w:rsid w:val="17C81A7B"/>
    <w:rsid w:val="17CC453A"/>
    <w:rsid w:val="17CE3AA2"/>
    <w:rsid w:val="17CF7FF4"/>
    <w:rsid w:val="17E50DA1"/>
    <w:rsid w:val="18007963"/>
    <w:rsid w:val="1801201E"/>
    <w:rsid w:val="18087FB8"/>
    <w:rsid w:val="18097700"/>
    <w:rsid w:val="180D2C7E"/>
    <w:rsid w:val="181110CF"/>
    <w:rsid w:val="18215B76"/>
    <w:rsid w:val="18277AA5"/>
    <w:rsid w:val="184A2DA6"/>
    <w:rsid w:val="184E5FDB"/>
    <w:rsid w:val="185B1551"/>
    <w:rsid w:val="185F4D04"/>
    <w:rsid w:val="18746CF2"/>
    <w:rsid w:val="187C2165"/>
    <w:rsid w:val="18851F71"/>
    <w:rsid w:val="188C1E7C"/>
    <w:rsid w:val="18930C80"/>
    <w:rsid w:val="18A872E2"/>
    <w:rsid w:val="18CE2363"/>
    <w:rsid w:val="18EE51E2"/>
    <w:rsid w:val="18F8437B"/>
    <w:rsid w:val="19103D4F"/>
    <w:rsid w:val="19243A4D"/>
    <w:rsid w:val="19381838"/>
    <w:rsid w:val="194B686D"/>
    <w:rsid w:val="194D559E"/>
    <w:rsid w:val="197C7859"/>
    <w:rsid w:val="198A0E91"/>
    <w:rsid w:val="198C6145"/>
    <w:rsid w:val="199272A5"/>
    <w:rsid w:val="19952ADD"/>
    <w:rsid w:val="199674E5"/>
    <w:rsid w:val="19A00162"/>
    <w:rsid w:val="19A367D0"/>
    <w:rsid w:val="19AF5F05"/>
    <w:rsid w:val="19BA0968"/>
    <w:rsid w:val="19C262C4"/>
    <w:rsid w:val="1A085A3E"/>
    <w:rsid w:val="1A106709"/>
    <w:rsid w:val="1A107F27"/>
    <w:rsid w:val="1A122728"/>
    <w:rsid w:val="1A176B34"/>
    <w:rsid w:val="1A223C83"/>
    <w:rsid w:val="1A254305"/>
    <w:rsid w:val="1AA63036"/>
    <w:rsid w:val="1AA97608"/>
    <w:rsid w:val="1AAD6AF7"/>
    <w:rsid w:val="1ACA2A6B"/>
    <w:rsid w:val="1AE15C54"/>
    <w:rsid w:val="1B0158B3"/>
    <w:rsid w:val="1B0F626C"/>
    <w:rsid w:val="1B1F1822"/>
    <w:rsid w:val="1B2B35FF"/>
    <w:rsid w:val="1B2F7ADA"/>
    <w:rsid w:val="1B370C46"/>
    <w:rsid w:val="1B4662BC"/>
    <w:rsid w:val="1B5345D7"/>
    <w:rsid w:val="1B5B66DD"/>
    <w:rsid w:val="1B5C5CE2"/>
    <w:rsid w:val="1B706F9D"/>
    <w:rsid w:val="1B7D24F7"/>
    <w:rsid w:val="1B961578"/>
    <w:rsid w:val="1B995A5B"/>
    <w:rsid w:val="1BB748CE"/>
    <w:rsid w:val="1BCB43D4"/>
    <w:rsid w:val="1BE4302F"/>
    <w:rsid w:val="1BFB42C9"/>
    <w:rsid w:val="1BFD4EA4"/>
    <w:rsid w:val="1BFD78BB"/>
    <w:rsid w:val="1C0F6C23"/>
    <w:rsid w:val="1C16087F"/>
    <w:rsid w:val="1C24454F"/>
    <w:rsid w:val="1C290580"/>
    <w:rsid w:val="1C43249D"/>
    <w:rsid w:val="1C5140F2"/>
    <w:rsid w:val="1C6F5E8E"/>
    <w:rsid w:val="1C7F75D8"/>
    <w:rsid w:val="1C8E25CF"/>
    <w:rsid w:val="1C976A8F"/>
    <w:rsid w:val="1CA4113D"/>
    <w:rsid w:val="1CA6770B"/>
    <w:rsid w:val="1CC219EC"/>
    <w:rsid w:val="1CC32281"/>
    <w:rsid w:val="1CC434BF"/>
    <w:rsid w:val="1CC870AD"/>
    <w:rsid w:val="1CCA1EEE"/>
    <w:rsid w:val="1CCA420A"/>
    <w:rsid w:val="1CD20BD4"/>
    <w:rsid w:val="1CDB2023"/>
    <w:rsid w:val="1CE129DB"/>
    <w:rsid w:val="1CE154B5"/>
    <w:rsid w:val="1CEB4806"/>
    <w:rsid w:val="1D18313D"/>
    <w:rsid w:val="1D1E365B"/>
    <w:rsid w:val="1D275667"/>
    <w:rsid w:val="1D40148C"/>
    <w:rsid w:val="1D447011"/>
    <w:rsid w:val="1D5B0DFF"/>
    <w:rsid w:val="1D634786"/>
    <w:rsid w:val="1D6F4CAC"/>
    <w:rsid w:val="1D743A7D"/>
    <w:rsid w:val="1D7A3940"/>
    <w:rsid w:val="1D835CF9"/>
    <w:rsid w:val="1DA367D6"/>
    <w:rsid w:val="1DAE662E"/>
    <w:rsid w:val="1DAF2733"/>
    <w:rsid w:val="1DBB2E23"/>
    <w:rsid w:val="1DC54ABF"/>
    <w:rsid w:val="1DEB2C33"/>
    <w:rsid w:val="1DF13A9A"/>
    <w:rsid w:val="1E033CA2"/>
    <w:rsid w:val="1E0E06A5"/>
    <w:rsid w:val="1E123992"/>
    <w:rsid w:val="1E22019A"/>
    <w:rsid w:val="1E3B6ACF"/>
    <w:rsid w:val="1E422507"/>
    <w:rsid w:val="1E4467FF"/>
    <w:rsid w:val="1E4F12EB"/>
    <w:rsid w:val="1E5A1A69"/>
    <w:rsid w:val="1E6855E3"/>
    <w:rsid w:val="1E6B3E70"/>
    <w:rsid w:val="1E6F58FB"/>
    <w:rsid w:val="1E710373"/>
    <w:rsid w:val="1E7759EA"/>
    <w:rsid w:val="1E7B6525"/>
    <w:rsid w:val="1EA12E45"/>
    <w:rsid w:val="1EA4143C"/>
    <w:rsid w:val="1EB65D34"/>
    <w:rsid w:val="1EC926B1"/>
    <w:rsid w:val="1ED16702"/>
    <w:rsid w:val="1EF3374B"/>
    <w:rsid w:val="1F0044E4"/>
    <w:rsid w:val="1F02309F"/>
    <w:rsid w:val="1F156154"/>
    <w:rsid w:val="1F1A12D7"/>
    <w:rsid w:val="1F1B1A4A"/>
    <w:rsid w:val="1F307A8B"/>
    <w:rsid w:val="1F582780"/>
    <w:rsid w:val="1F925C19"/>
    <w:rsid w:val="1FA0036A"/>
    <w:rsid w:val="1FA4406A"/>
    <w:rsid w:val="1FAB278F"/>
    <w:rsid w:val="1FB72CF1"/>
    <w:rsid w:val="1FC921AE"/>
    <w:rsid w:val="200C64A3"/>
    <w:rsid w:val="201A21C3"/>
    <w:rsid w:val="202C4B7A"/>
    <w:rsid w:val="20314D37"/>
    <w:rsid w:val="20320B68"/>
    <w:rsid w:val="203C4FD3"/>
    <w:rsid w:val="20420B5C"/>
    <w:rsid w:val="204647D6"/>
    <w:rsid w:val="20532DD3"/>
    <w:rsid w:val="20556E1E"/>
    <w:rsid w:val="20635FA1"/>
    <w:rsid w:val="207709DF"/>
    <w:rsid w:val="207A53B1"/>
    <w:rsid w:val="20863E39"/>
    <w:rsid w:val="208D0732"/>
    <w:rsid w:val="208F52DE"/>
    <w:rsid w:val="20905318"/>
    <w:rsid w:val="209C6555"/>
    <w:rsid w:val="20A15517"/>
    <w:rsid w:val="20BD56E9"/>
    <w:rsid w:val="20C63216"/>
    <w:rsid w:val="20E56EF2"/>
    <w:rsid w:val="20E572B1"/>
    <w:rsid w:val="20EB173E"/>
    <w:rsid w:val="20F14429"/>
    <w:rsid w:val="20FE52EF"/>
    <w:rsid w:val="21056C30"/>
    <w:rsid w:val="210921E5"/>
    <w:rsid w:val="210D3A7F"/>
    <w:rsid w:val="211148DE"/>
    <w:rsid w:val="2113494B"/>
    <w:rsid w:val="212D0129"/>
    <w:rsid w:val="213A6B55"/>
    <w:rsid w:val="21461C75"/>
    <w:rsid w:val="214A6A56"/>
    <w:rsid w:val="215A6E45"/>
    <w:rsid w:val="215C4A63"/>
    <w:rsid w:val="21605AF1"/>
    <w:rsid w:val="21620A68"/>
    <w:rsid w:val="2167294E"/>
    <w:rsid w:val="2172260F"/>
    <w:rsid w:val="217D5CD2"/>
    <w:rsid w:val="218D13E4"/>
    <w:rsid w:val="219A3729"/>
    <w:rsid w:val="21A74407"/>
    <w:rsid w:val="21D75BCC"/>
    <w:rsid w:val="21FC5BEE"/>
    <w:rsid w:val="220A22C8"/>
    <w:rsid w:val="22100363"/>
    <w:rsid w:val="222549B3"/>
    <w:rsid w:val="222D3227"/>
    <w:rsid w:val="223A4DB0"/>
    <w:rsid w:val="22544006"/>
    <w:rsid w:val="22901E9A"/>
    <w:rsid w:val="22E31245"/>
    <w:rsid w:val="22E771A4"/>
    <w:rsid w:val="22ED652E"/>
    <w:rsid w:val="22F06C07"/>
    <w:rsid w:val="22F83070"/>
    <w:rsid w:val="230F2EE3"/>
    <w:rsid w:val="231418E5"/>
    <w:rsid w:val="23257C42"/>
    <w:rsid w:val="232C521F"/>
    <w:rsid w:val="232E4284"/>
    <w:rsid w:val="23356478"/>
    <w:rsid w:val="23370EBE"/>
    <w:rsid w:val="236F2D64"/>
    <w:rsid w:val="238340BF"/>
    <w:rsid w:val="23904AB1"/>
    <w:rsid w:val="23A20DAC"/>
    <w:rsid w:val="23BD25B8"/>
    <w:rsid w:val="23BE4F9D"/>
    <w:rsid w:val="23DA01D7"/>
    <w:rsid w:val="23ED0C8C"/>
    <w:rsid w:val="24035524"/>
    <w:rsid w:val="240531AE"/>
    <w:rsid w:val="240B4F82"/>
    <w:rsid w:val="2417703B"/>
    <w:rsid w:val="24442623"/>
    <w:rsid w:val="2457542A"/>
    <w:rsid w:val="245B4BAD"/>
    <w:rsid w:val="246D57EC"/>
    <w:rsid w:val="24761881"/>
    <w:rsid w:val="24876746"/>
    <w:rsid w:val="248F2F9C"/>
    <w:rsid w:val="24A92ACD"/>
    <w:rsid w:val="24B54AF9"/>
    <w:rsid w:val="24B56BF6"/>
    <w:rsid w:val="24BB7600"/>
    <w:rsid w:val="24C32C33"/>
    <w:rsid w:val="24C734A3"/>
    <w:rsid w:val="24CB526C"/>
    <w:rsid w:val="24DA1DCF"/>
    <w:rsid w:val="24DA3846"/>
    <w:rsid w:val="24EF47EF"/>
    <w:rsid w:val="25013BF3"/>
    <w:rsid w:val="2511341F"/>
    <w:rsid w:val="25375DF5"/>
    <w:rsid w:val="25401E1E"/>
    <w:rsid w:val="25456AF0"/>
    <w:rsid w:val="2567732D"/>
    <w:rsid w:val="256D08D5"/>
    <w:rsid w:val="258A579E"/>
    <w:rsid w:val="25914625"/>
    <w:rsid w:val="259C24B6"/>
    <w:rsid w:val="259E31B7"/>
    <w:rsid w:val="25A34387"/>
    <w:rsid w:val="25AC5B63"/>
    <w:rsid w:val="25D56264"/>
    <w:rsid w:val="260F4DD0"/>
    <w:rsid w:val="26107C4C"/>
    <w:rsid w:val="261C7C20"/>
    <w:rsid w:val="262E77CD"/>
    <w:rsid w:val="26310097"/>
    <w:rsid w:val="263843FF"/>
    <w:rsid w:val="264074B9"/>
    <w:rsid w:val="26413914"/>
    <w:rsid w:val="264C7698"/>
    <w:rsid w:val="2656201E"/>
    <w:rsid w:val="266B544B"/>
    <w:rsid w:val="2672488A"/>
    <w:rsid w:val="26841AE6"/>
    <w:rsid w:val="268910DC"/>
    <w:rsid w:val="26B66CCE"/>
    <w:rsid w:val="26C03567"/>
    <w:rsid w:val="26C27751"/>
    <w:rsid w:val="26CE7ED1"/>
    <w:rsid w:val="27001481"/>
    <w:rsid w:val="27041DA9"/>
    <w:rsid w:val="2724495E"/>
    <w:rsid w:val="27354227"/>
    <w:rsid w:val="273F6FA2"/>
    <w:rsid w:val="27402A70"/>
    <w:rsid w:val="274410CC"/>
    <w:rsid w:val="276F527B"/>
    <w:rsid w:val="27700116"/>
    <w:rsid w:val="27856476"/>
    <w:rsid w:val="279E19F6"/>
    <w:rsid w:val="279F6569"/>
    <w:rsid w:val="27C816A3"/>
    <w:rsid w:val="27C97B72"/>
    <w:rsid w:val="27D8592A"/>
    <w:rsid w:val="27E022AB"/>
    <w:rsid w:val="27E53C67"/>
    <w:rsid w:val="27FD7183"/>
    <w:rsid w:val="28004728"/>
    <w:rsid w:val="28016410"/>
    <w:rsid w:val="281B308C"/>
    <w:rsid w:val="282C208E"/>
    <w:rsid w:val="282D30CF"/>
    <w:rsid w:val="28325AB0"/>
    <w:rsid w:val="284C2854"/>
    <w:rsid w:val="285E29C0"/>
    <w:rsid w:val="286C6D8A"/>
    <w:rsid w:val="286F5248"/>
    <w:rsid w:val="287E639B"/>
    <w:rsid w:val="28813E32"/>
    <w:rsid w:val="288A132F"/>
    <w:rsid w:val="28992931"/>
    <w:rsid w:val="28AF3BDE"/>
    <w:rsid w:val="28B42E4C"/>
    <w:rsid w:val="28B9413F"/>
    <w:rsid w:val="28BC576A"/>
    <w:rsid w:val="28BE4BC2"/>
    <w:rsid w:val="28C4493A"/>
    <w:rsid w:val="28DA450E"/>
    <w:rsid w:val="28EB3CB8"/>
    <w:rsid w:val="28FA7FFF"/>
    <w:rsid w:val="28FB643E"/>
    <w:rsid w:val="29040CF7"/>
    <w:rsid w:val="290D7F26"/>
    <w:rsid w:val="29103BB5"/>
    <w:rsid w:val="29235E4F"/>
    <w:rsid w:val="293B58D2"/>
    <w:rsid w:val="294A478E"/>
    <w:rsid w:val="294D7BFA"/>
    <w:rsid w:val="29653997"/>
    <w:rsid w:val="296B78F2"/>
    <w:rsid w:val="2975600F"/>
    <w:rsid w:val="29785E8E"/>
    <w:rsid w:val="298D0C98"/>
    <w:rsid w:val="29BD687D"/>
    <w:rsid w:val="29CB10E9"/>
    <w:rsid w:val="29D4314C"/>
    <w:rsid w:val="29D85129"/>
    <w:rsid w:val="2A030EEB"/>
    <w:rsid w:val="2A0742FA"/>
    <w:rsid w:val="2A160FD7"/>
    <w:rsid w:val="2A1C1331"/>
    <w:rsid w:val="2A2A6B4D"/>
    <w:rsid w:val="2A5C1906"/>
    <w:rsid w:val="2A5F27CC"/>
    <w:rsid w:val="2A677504"/>
    <w:rsid w:val="2A6941BD"/>
    <w:rsid w:val="2A6B1A74"/>
    <w:rsid w:val="2A866474"/>
    <w:rsid w:val="2A866BEA"/>
    <w:rsid w:val="2AA94CC3"/>
    <w:rsid w:val="2AAD2883"/>
    <w:rsid w:val="2AC65C01"/>
    <w:rsid w:val="2AE125EB"/>
    <w:rsid w:val="2B047751"/>
    <w:rsid w:val="2B144607"/>
    <w:rsid w:val="2B687097"/>
    <w:rsid w:val="2BB94018"/>
    <w:rsid w:val="2BCB5497"/>
    <w:rsid w:val="2BCD4C55"/>
    <w:rsid w:val="2BD61B78"/>
    <w:rsid w:val="2BD93162"/>
    <w:rsid w:val="2BDA7537"/>
    <w:rsid w:val="2BDC4686"/>
    <w:rsid w:val="2BE12B9F"/>
    <w:rsid w:val="2BE30B65"/>
    <w:rsid w:val="2C071862"/>
    <w:rsid w:val="2C171004"/>
    <w:rsid w:val="2C1E7A0C"/>
    <w:rsid w:val="2C3043EF"/>
    <w:rsid w:val="2C3A4BA7"/>
    <w:rsid w:val="2C3F6DBD"/>
    <w:rsid w:val="2C440729"/>
    <w:rsid w:val="2C5A3868"/>
    <w:rsid w:val="2C5A4BF4"/>
    <w:rsid w:val="2C5B4117"/>
    <w:rsid w:val="2C693EF8"/>
    <w:rsid w:val="2C722616"/>
    <w:rsid w:val="2C80198B"/>
    <w:rsid w:val="2C961F25"/>
    <w:rsid w:val="2C974718"/>
    <w:rsid w:val="2CB1585A"/>
    <w:rsid w:val="2CC11864"/>
    <w:rsid w:val="2CC53A18"/>
    <w:rsid w:val="2CDE474F"/>
    <w:rsid w:val="2D313EBA"/>
    <w:rsid w:val="2D532FCD"/>
    <w:rsid w:val="2D5912A3"/>
    <w:rsid w:val="2D6C2A58"/>
    <w:rsid w:val="2D7577A6"/>
    <w:rsid w:val="2D8A49BC"/>
    <w:rsid w:val="2D8A5AF3"/>
    <w:rsid w:val="2D8B1864"/>
    <w:rsid w:val="2D900456"/>
    <w:rsid w:val="2D9B2C7E"/>
    <w:rsid w:val="2DAB34F9"/>
    <w:rsid w:val="2DBA38FB"/>
    <w:rsid w:val="2DD46259"/>
    <w:rsid w:val="2DDD5E78"/>
    <w:rsid w:val="2DE6020E"/>
    <w:rsid w:val="2DF679D8"/>
    <w:rsid w:val="2DFB4021"/>
    <w:rsid w:val="2E0352F9"/>
    <w:rsid w:val="2E0B12C2"/>
    <w:rsid w:val="2E171C96"/>
    <w:rsid w:val="2E2E3922"/>
    <w:rsid w:val="2E3D6051"/>
    <w:rsid w:val="2E5B35DF"/>
    <w:rsid w:val="2E5B6549"/>
    <w:rsid w:val="2E63395A"/>
    <w:rsid w:val="2E6D2E7A"/>
    <w:rsid w:val="2E757978"/>
    <w:rsid w:val="2E7D1C7D"/>
    <w:rsid w:val="2E934362"/>
    <w:rsid w:val="2E9C065E"/>
    <w:rsid w:val="2EAD7135"/>
    <w:rsid w:val="2EB50380"/>
    <w:rsid w:val="2EB84B77"/>
    <w:rsid w:val="2EBC710D"/>
    <w:rsid w:val="2EE155C8"/>
    <w:rsid w:val="2EE67105"/>
    <w:rsid w:val="2EF45C7C"/>
    <w:rsid w:val="2F0852C3"/>
    <w:rsid w:val="2F0C47B2"/>
    <w:rsid w:val="2F0F5669"/>
    <w:rsid w:val="2F117F28"/>
    <w:rsid w:val="2F2B1901"/>
    <w:rsid w:val="2F36002D"/>
    <w:rsid w:val="2F49002F"/>
    <w:rsid w:val="2F4B0ACE"/>
    <w:rsid w:val="2F553A64"/>
    <w:rsid w:val="2F5F5AC5"/>
    <w:rsid w:val="2F675B95"/>
    <w:rsid w:val="2F6A1BBB"/>
    <w:rsid w:val="2F7C6CB4"/>
    <w:rsid w:val="2F7D7E56"/>
    <w:rsid w:val="2F9215EC"/>
    <w:rsid w:val="2F961763"/>
    <w:rsid w:val="2FA24A3C"/>
    <w:rsid w:val="2FA94673"/>
    <w:rsid w:val="2FBA2A3A"/>
    <w:rsid w:val="2FCB5228"/>
    <w:rsid w:val="2FCF60D6"/>
    <w:rsid w:val="30084F8F"/>
    <w:rsid w:val="300B44AC"/>
    <w:rsid w:val="300F0C65"/>
    <w:rsid w:val="30197770"/>
    <w:rsid w:val="303B4B0B"/>
    <w:rsid w:val="303F6E3A"/>
    <w:rsid w:val="304470AB"/>
    <w:rsid w:val="305D4BED"/>
    <w:rsid w:val="30624CB6"/>
    <w:rsid w:val="308E3B0F"/>
    <w:rsid w:val="309B05C8"/>
    <w:rsid w:val="30AE4DDF"/>
    <w:rsid w:val="30B7669D"/>
    <w:rsid w:val="30BF78EC"/>
    <w:rsid w:val="30C92A18"/>
    <w:rsid w:val="30D0137E"/>
    <w:rsid w:val="30D50099"/>
    <w:rsid w:val="30D61424"/>
    <w:rsid w:val="30D723BE"/>
    <w:rsid w:val="30E27BFE"/>
    <w:rsid w:val="30E45B6F"/>
    <w:rsid w:val="30E9776A"/>
    <w:rsid w:val="30F734B3"/>
    <w:rsid w:val="31037101"/>
    <w:rsid w:val="312C5779"/>
    <w:rsid w:val="31525042"/>
    <w:rsid w:val="31542053"/>
    <w:rsid w:val="31550EC4"/>
    <w:rsid w:val="315A2242"/>
    <w:rsid w:val="315B0E27"/>
    <w:rsid w:val="31617B3B"/>
    <w:rsid w:val="316C7F2D"/>
    <w:rsid w:val="318607F0"/>
    <w:rsid w:val="31930ADA"/>
    <w:rsid w:val="31A07A84"/>
    <w:rsid w:val="31A13DE8"/>
    <w:rsid w:val="31A83A03"/>
    <w:rsid w:val="31AF408D"/>
    <w:rsid w:val="31D47DC3"/>
    <w:rsid w:val="31E14B3B"/>
    <w:rsid w:val="31E3602B"/>
    <w:rsid w:val="31E61143"/>
    <w:rsid w:val="31F531BA"/>
    <w:rsid w:val="31F62FB2"/>
    <w:rsid w:val="32092BFD"/>
    <w:rsid w:val="3215637D"/>
    <w:rsid w:val="321D5833"/>
    <w:rsid w:val="3226286D"/>
    <w:rsid w:val="32462651"/>
    <w:rsid w:val="329349E2"/>
    <w:rsid w:val="32B92AF7"/>
    <w:rsid w:val="32BA6699"/>
    <w:rsid w:val="32DA41E3"/>
    <w:rsid w:val="32E21552"/>
    <w:rsid w:val="32E24754"/>
    <w:rsid w:val="32EC31AA"/>
    <w:rsid w:val="330C03D1"/>
    <w:rsid w:val="331F4544"/>
    <w:rsid w:val="33257173"/>
    <w:rsid w:val="332A18DF"/>
    <w:rsid w:val="334F7E91"/>
    <w:rsid w:val="3352120C"/>
    <w:rsid w:val="33545947"/>
    <w:rsid w:val="33667CCE"/>
    <w:rsid w:val="33706CBC"/>
    <w:rsid w:val="33741F73"/>
    <w:rsid w:val="337476F9"/>
    <w:rsid w:val="33900BFC"/>
    <w:rsid w:val="339251F0"/>
    <w:rsid w:val="33AC2C5E"/>
    <w:rsid w:val="33BE5941"/>
    <w:rsid w:val="33C36C62"/>
    <w:rsid w:val="33CA4333"/>
    <w:rsid w:val="33CF0921"/>
    <w:rsid w:val="33DD6C37"/>
    <w:rsid w:val="33E523E3"/>
    <w:rsid w:val="33E57E56"/>
    <w:rsid w:val="33F427D1"/>
    <w:rsid w:val="33F9072F"/>
    <w:rsid w:val="34084A19"/>
    <w:rsid w:val="340D399F"/>
    <w:rsid w:val="34173862"/>
    <w:rsid w:val="341B0F94"/>
    <w:rsid w:val="342C513E"/>
    <w:rsid w:val="343578A1"/>
    <w:rsid w:val="343B0EF9"/>
    <w:rsid w:val="343B4F52"/>
    <w:rsid w:val="345855B9"/>
    <w:rsid w:val="346051DA"/>
    <w:rsid w:val="346E456C"/>
    <w:rsid w:val="34704632"/>
    <w:rsid w:val="34714E04"/>
    <w:rsid w:val="348A7D38"/>
    <w:rsid w:val="349558D2"/>
    <w:rsid w:val="34A7102C"/>
    <w:rsid w:val="34AE4D63"/>
    <w:rsid w:val="34DE5F02"/>
    <w:rsid w:val="34FF5304"/>
    <w:rsid w:val="35007DAB"/>
    <w:rsid w:val="35043035"/>
    <w:rsid w:val="35150959"/>
    <w:rsid w:val="35192361"/>
    <w:rsid w:val="35296017"/>
    <w:rsid w:val="353E38E9"/>
    <w:rsid w:val="3549263F"/>
    <w:rsid w:val="354955EC"/>
    <w:rsid w:val="3569068E"/>
    <w:rsid w:val="357C3C69"/>
    <w:rsid w:val="357D5959"/>
    <w:rsid w:val="35867EEC"/>
    <w:rsid w:val="35884255"/>
    <w:rsid w:val="35933BEB"/>
    <w:rsid w:val="359806BD"/>
    <w:rsid w:val="35B8027E"/>
    <w:rsid w:val="35BC1909"/>
    <w:rsid w:val="35D47433"/>
    <w:rsid w:val="35E81F71"/>
    <w:rsid w:val="360840EA"/>
    <w:rsid w:val="360D75DC"/>
    <w:rsid w:val="36246F79"/>
    <w:rsid w:val="3631612D"/>
    <w:rsid w:val="368B248E"/>
    <w:rsid w:val="36D00218"/>
    <w:rsid w:val="36FF7705"/>
    <w:rsid w:val="371823C8"/>
    <w:rsid w:val="37205336"/>
    <w:rsid w:val="37444F51"/>
    <w:rsid w:val="377A54F3"/>
    <w:rsid w:val="37804117"/>
    <w:rsid w:val="37881786"/>
    <w:rsid w:val="378C012A"/>
    <w:rsid w:val="378C70A5"/>
    <w:rsid w:val="37A26564"/>
    <w:rsid w:val="37B430F9"/>
    <w:rsid w:val="37C00867"/>
    <w:rsid w:val="37D61788"/>
    <w:rsid w:val="37E40B8A"/>
    <w:rsid w:val="37E97CD7"/>
    <w:rsid w:val="37F93A2F"/>
    <w:rsid w:val="37FB11F4"/>
    <w:rsid w:val="381A4A49"/>
    <w:rsid w:val="382617CE"/>
    <w:rsid w:val="38707D2F"/>
    <w:rsid w:val="387C1872"/>
    <w:rsid w:val="387F0312"/>
    <w:rsid w:val="38875910"/>
    <w:rsid w:val="388876B3"/>
    <w:rsid w:val="388F1110"/>
    <w:rsid w:val="3892519B"/>
    <w:rsid w:val="38991C88"/>
    <w:rsid w:val="389E4C2D"/>
    <w:rsid w:val="389F2215"/>
    <w:rsid w:val="38A220DE"/>
    <w:rsid w:val="38A745D1"/>
    <w:rsid w:val="38C44780"/>
    <w:rsid w:val="38C646CB"/>
    <w:rsid w:val="38D63849"/>
    <w:rsid w:val="38D64E73"/>
    <w:rsid w:val="38D97E2A"/>
    <w:rsid w:val="38E52D95"/>
    <w:rsid w:val="38EC65D7"/>
    <w:rsid w:val="38F2103A"/>
    <w:rsid w:val="38F37C44"/>
    <w:rsid w:val="38F82CB3"/>
    <w:rsid w:val="390815FF"/>
    <w:rsid w:val="391164CD"/>
    <w:rsid w:val="39234DE9"/>
    <w:rsid w:val="39262EC5"/>
    <w:rsid w:val="39380893"/>
    <w:rsid w:val="393C0E14"/>
    <w:rsid w:val="39460C1A"/>
    <w:rsid w:val="39601BFF"/>
    <w:rsid w:val="397E3B0A"/>
    <w:rsid w:val="398609DE"/>
    <w:rsid w:val="39AD0FCE"/>
    <w:rsid w:val="39B064F0"/>
    <w:rsid w:val="39BC47DE"/>
    <w:rsid w:val="39CC5355"/>
    <w:rsid w:val="39D20457"/>
    <w:rsid w:val="39E71593"/>
    <w:rsid w:val="39FB0304"/>
    <w:rsid w:val="39FC4BDB"/>
    <w:rsid w:val="3A0036E5"/>
    <w:rsid w:val="3A007A4A"/>
    <w:rsid w:val="3A043421"/>
    <w:rsid w:val="3A047A4D"/>
    <w:rsid w:val="3A1604F9"/>
    <w:rsid w:val="3A1C1D60"/>
    <w:rsid w:val="3A3C6566"/>
    <w:rsid w:val="3A3E1151"/>
    <w:rsid w:val="3A406637"/>
    <w:rsid w:val="3A435209"/>
    <w:rsid w:val="3A505687"/>
    <w:rsid w:val="3A652FD8"/>
    <w:rsid w:val="3A795EF2"/>
    <w:rsid w:val="3A79715D"/>
    <w:rsid w:val="3AB34807"/>
    <w:rsid w:val="3AB44D9F"/>
    <w:rsid w:val="3AB7224F"/>
    <w:rsid w:val="3AC256CA"/>
    <w:rsid w:val="3AD0376D"/>
    <w:rsid w:val="3AD425D4"/>
    <w:rsid w:val="3AD86CC5"/>
    <w:rsid w:val="3AE33CC2"/>
    <w:rsid w:val="3AFA3F2C"/>
    <w:rsid w:val="3B0A2BCA"/>
    <w:rsid w:val="3B141F57"/>
    <w:rsid w:val="3B3F4D17"/>
    <w:rsid w:val="3B527B36"/>
    <w:rsid w:val="3B550A78"/>
    <w:rsid w:val="3B8D631D"/>
    <w:rsid w:val="3B921E03"/>
    <w:rsid w:val="3BA30663"/>
    <w:rsid w:val="3BA45174"/>
    <w:rsid w:val="3BA7258D"/>
    <w:rsid w:val="3BAC6DE0"/>
    <w:rsid w:val="3BAD76D7"/>
    <w:rsid w:val="3BB57F4A"/>
    <w:rsid w:val="3BBD0D41"/>
    <w:rsid w:val="3BBF2650"/>
    <w:rsid w:val="3BC566F3"/>
    <w:rsid w:val="3BCA5C70"/>
    <w:rsid w:val="3BCC512A"/>
    <w:rsid w:val="3BE63E32"/>
    <w:rsid w:val="3BE76458"/>
    <w:rsid w:val="3BED295C"/>
    <w:rsid w:val="3BF90960"/>
    <w:rsid w:val="3C08330A"/>
    <w:rsid w:val="3C20752B"/>
    <w:rsid w:val="3C3667C6"/>
    <w:rsid w:val="3C426BE7"/>
    <w:rsid w:val="3C7564F3"/>
    <w:rsid w:val="3C8B308A"/>
    <w:rsid w:val="3C8C3AFC"/>
    <w:rsid w:val="3C8D738C"/>
    <w:rsid w:val="3C9074F7"/>
    <w:rsid w:val="3C9108C5"/>
    <w:rsid w:val="3CA4696D"/>
    <w:rsid w:val="3CBE35B1"/>
    <w:rsid w:val="3CCB559A"/>
    <w:rsid w:val="3CDF15DC"/>
    <w:rsid w:val="3CFC05C3"/>
    <w:rsid w:val="3CFD5DD1"/>
    <w:rsid w:val="3D0F2484"/>
    <w:rsid w:val="3D1636D6"/>
    <w:rsid w:val="3D1659C4"/>
    <w:rsid w:val="3D393D9E"/>
    <w:rsid w:val="3D432919"/>
    <w:rsid w:val="3D50335D"/>
    <w:rsid w:val="3D653885"/>
    <w:rsid w:val="3D661FD7"/>
    <w:rsid w:val="3DAF53F2"/>
    <w:rsid w:val="3DB23537"/>
    <w:rsid w:val="3DB5252A"/>
    <w:rsid w:val="3DB62CFF"/>
    <w:rsid w:val="3DC660D6"/>
    <w:rsid w:val="3DF20F48"/>
    <w:rsid w:val="3DF26549"/>
    <w:rsid w:val="3DF43E62"/>
    <w:rsid w:val="3E0C7999"/>
    <w:rsid w:val="3E0D1D77"/>
    <w:rsid w:val="3E260987"/>
    <w:rsid w:val="3E3549EF"/>
    <w:rsid w:val="3E526523"/>
    <w:rsid w:val="3E606F1C"/>
    <w:rsid w:val="3E68703F"/>
    <w:rsid w:val="3E8B5B1A"/>
    <w:rsid w:val="3E9542D3"/>
    <w:rsid w:val="3E973B2F"/>
    <w:rsid w:val="3EA2614E"/>
    <w:rsid w:val="3EA620CF"/>
    <w:rsid w:val="3EAE1E36"/>
    <w:rsid w:val="3EBA207E"/>
    <w:rsid w:val="3EC4535F"/>
    <w:rsid w:val="3ECD7F32"/>
    <w:rsid w:val="3ED07323"/>
    <w:rsid w:val="3EDA2474"/>
    <w:rsid w:val="3EE75A70"/>
    <w:rsid w:val="3EF008DF"/>
    <w:rsid w:val="3EF008FD"/>
    <w:rsid w:val="3EFB21C7"/>
    <w:rsid w:val="3F01495F"/>
    <w:rsid w:val="3F2C43A3"/>
    <w:rsid w:val="3F371571"/>
    <w:rsid w:val="3F687722"/>
    <w:rsid w:val="3F7D6325"/>
    <w:rsid w:val="3F823602"/>
    <w:rsid w:val="3FAD147D"/>
    <w:rsid w:val="3FC738CB"/>
    <w:rsid w:val="3FDF5BBA"/>
    <w:rsid w:val="3FE4233F"/>
    <w:rsid w:val="401351FA"/>
    <w:rsid w:val="40187435"/>
    <w:rsid w:val="40257FE1"/>
    <w:rsid w:val="403204AA"/>
    <w:rsid w:val="40390D7D"/>
    <w:rsid w:val="40467DFE"/>
    <w:rsid w:val="404B02A2"/>
    <w:rsid w:val="404B24A9"/>
    <w:rsid w:val="404B5C4E"/>
    <w:rsid w:val="4052684F"/>
    <w:rsid w:val="40611470"/>
    <w:rsid w:val="40777ED2"/>
    <w:rsid w:val="40834A20"/>
    <w:rsid w:val="409A274D"/>
    <w:rsid w:val="40AD740D"/>
    <w:rsid w:val="40C040FE"/>
    <w:rsid w:val="40E32CA5"/>
    <w:rsid w:val="40E3506A"/>
    <w:rsid w:val="40F16313"/>
    <w:rsid w:val="40FE7ED4"/>
    <w:rsid w:val="410A6054"/>
    <w:rsid w:val="410B6A0B"/>
    <w:rsid w:val="410E330F"/>
    <w:rsid w:val="411F5EDD"/>
    <w:rsid w:val="4121528E"/>
    <w:rsid w:val="41226F17"/>
    <w:rsid w:val="41310210"/>
    <w:rsid w:val="41351AE9"/>
    <w:rsid w:val="41614DCD"/>
    <w:rsid w:val="41636D25"/>
    <w:rsid w:val="416778DF"/>
    <w:rsid w:val="416C7AA7"/>
    <w:rsid w:val="418140DD"/>
    <w:rsid w:val="41834F96"/>
    <w:rsid w:val="418E1DEF"/>
    <w:rsid w:val="419A53F8"/>
    <w:rsid w:val="41A46C4D"/>
    <w:rsid w:val="41A9164F"/>
    <w:rsid w:val="41AD0115"/>
    <w:rsid w:val="41C400A0"/>
    <w:rsid w:val="41CC7281"/>
    <w:rsid w:val="41CE3000"/>
    <w:rsid w:val="41D33103"/>
    <w:rsid w:val="41E72866"/>
    <w:rsid w:val="41EC7D01"/>
    <w:rsid w:val="41F525AE"/>
    <w:rsid w:val="41F61375"/>
    <w:rsid w:val="41FF788D"/>
    <w:rsid w:val="4234031A"/>
    <w:rsid w:val="42467FA7"/>
    <w:rsid w:val="424C099D"/>
    <w:rsid w:val="424D54A5"/>
    <w:rsid w:val="42566BDA"/>
    <w:rsid w:val="425E3B50"/>
    <w:rsid w:val="42876C3B"/>
    <w:rsid w:val="428A10D0"/>
    <w:rsid w:val="428A57F6"/>
    <w:rsid w:val="428C6B6C"/>
    <w:rsid w:val="428D1737"/>
    <w:rsid w:val="428F6C39"/>
    <w:rsid w:val="429E4DA2"/>
    <w:rsid w:val="42BE406F"/>
    <w:rsid w:val="42C839EF"/>
    <w:rsid w:val="42E04A7E"/>
    <w:rsid w:val="42E851EB"/>
    <w:rsid w:val="42EC6342"/>
    <w:rsid w:val="42F37BAA"/>
    <w:rsid w:val="42FA723B"/>
    <w:rsid w:val="43011D50"/>
    <w:rsid w:val="430C22D3"/>
    <w:rsid w:val="43184824"/>
    <w:rsid w:val="432279E9"/>
    <w:rsid w:val="43292D5C"/>
    <w:rsid w:val="432A55AB"/>
    <w:rsid w:val="433711BB"/>
    <w:rsid w:val="433D166C"/>
    <w:rsid w:val="433D21AD"/>
    <w:rsid w:val="43472B3F"/>
    <w:rsid w:val="435719D1"/>
    <w:rsid w:val="437172EF"/>
    <w:rsid w:val="43A22FFE"/>
    <w:rsid w:val="43A614F7"/>
    <w:rsid w:val="43BC55D8"/>
    <w:rsid w:val="43BD43DE"/>
    <w:rsid w:val="43DB7C61"/>
    <w:rsid w:val="43EF2796"/>
    <w:rsid w:val="441351AF"/>
    <w:rsid w:val="44206004"/>
    <w:rsid w:val="44231CBB"/>
    <w:rsid w:val="443847F7"/>
    <w:rsid w:val="44464287"/>
    <w:rsid w:val="444D3E9A"/>
    <w:rsid w:val="4454248D"/>
    <w:rsid w:val="446C102C"/>
    <w:rsid w:val="446F586B"/>
    <w:rsid w:val="44A7517E"/>
    <w:rsid w:val="44A94C36"/>
    <w:rsid w:val="44CD76BC"/>
    <w:rsid w:val="44D311B5"/>
    <w:rsid w:val="44ED1A22"/>
    <w:rsid w:val="45173111"/>
    <w:rsid w:val="452C3823"/>
    <w:rsid w:val="452C40C1"/>
    <w:rsid w:val="452C5836"/>
    <w:rsid w:val="45355156"/>
    <w:rsid w:val="453779AA"/>
    <w:rsid w:val="453F08E3"/>
    <w:rsid w:val="45406C18"/>
    <w:rsid w:val="45674BCD"/>
    <w:rsid w:val="456C49B8"/>
    <w:rsid w:val="45755847"/>
    <w:rsid w:val="45771128"/>
    <w:rsid w:val="457A056B"/>
    <w:rsid w:val="459348F5"/>
    <w:rsid w:val="45A77567"/>
    <w:rsid w:val="45A860F3"/>
    <w:rsid w:val="45DA3C66"/>
    <w:rsid w:val="45E50938"/>
    <w:rsid w:val="45E8038E"/>
    <w:rsid w:val="45FB3B59"/>
    <w:rsid w:val="46003BD2"/>
    <w:rsid w:val="46291C5E"/>
    <w:rsid w:val="462D1F63"/>
    <w:rsid w:val="46404058"/>
    <w:rsid w:val="464C2ED5"/>
    <w:rsid w:val="46501596"/>
    <w:rsid w:val="465335E3"/>
    <w:rsid w:val="465C54D9"/>
    <w:rsid w:val="4661492C"/>
    <w:rsid w:val="46683F0C"/>
    <w:rsid w:val="466F11D8"/>
    <w:rsid w:val="46793CE9"/>
    <w:rsid w:val="468F03C1"/>
    <w:rsid w:val="46C9068B"/>
    <w:rsid w:val="46D87E5E"/>
    <w:rsid w:val="46FD629D"/>
    <w:rsid w:val="47023DFE"/>
    <w:rsid w:val="470719C4"/>
    <w:rsid w:val="470D72CD"/>
    <w:rsid w:val="470E0C8B"/>
    <w:rsid w:val="471031BF"/>
    <w:rsid w:val="4715054B"/>
    <w:rsid w:val="472D4DB1"/>
    <w:rsid w:val="473C7C2B"/>
    <w:rsid w:val="47463528"/>
    <w:rsid w:val="474832B5"/>
    <w:rsid w:val="475E09A2"/>
    <w:rsid w:val="476379FC"/>
    <w:rsid w:val="47654034"/>
    <w:rsid w:val="4783183B"/>
    <w:rsid w:val="478411A9"/>
    <w:rsid w:val="478C79BF"/>
    <w:rsid w:val="47931507"/>
    <w:rsid w:val="47956DDF"/>
    <w:rsid w:val="47B14A28"/>
    <w:rsid w:val="47B52616"/>
    <w:rsid w:val="47C668AF"/>
    <w:rsid w:val="47D96D84"/>
    <w:rsid w:val="47DC0922"/>
    <w:rsid w:val="47EE27EB"/>
    <w:rsid w:val="47FB017E"/>
    <w:rsid w:val="48001D29"/>
    <w:rsid w:val="480477F6"/>
    <w:rsid w:val="4817781E"/>
    <w:rsid w:val="482618F8"/>
    <w:rsid w:val="483278A2"/>
    <w:rsid w:val="48334CA0"/>
    <w:rsid w:val="48342D88"/>
    <w:rsid w:val="48382CA7"/>
    <w:rsid w:val="485851D1"/>
    <w:rsid w:val="48591361"/>
    <w:rsid w:val="48736EB5"/>
    <w:rsid w:val="48983A4F"/>
    <w:rsid w:val="489847A8"/>
    <w:rsid w:val="489F5988"/>
    <w:rsid w:val="48AE5BB0"/>
    <w:rsid w:val="48CC7BFA"/>
    <w:rsid w:val="48CD1135"/>
    <w:rsid w:val="48F25961"/>
    <w:rsid w:val="48F51C0A"/>
    <w:rsid w:val="4908530C"/>
    <w:rsid w:val="491C0295"/>
    <w:rsid w:val="492027F2"/>
    <w:rsid w:val="49290514"/>
    <w:rsid w:val="492C264C"/>
    <w:rsid w:val="495A159C"/>
    <w:rsid w:val="496E6A71"/>
    <w:rsid w:val="4972010B"/>
    <w:rsid w:val="49787154"/>
    <w:rsid w:val="498F570C"/>
    <w:rsid w:val="499238E3"/>
    <w:rsid w:val="4999502B"/>
    <w:rsid w:val="49A73360"/>
    <w:rsid w:val="49A96361"/>
    <w:rsid w:val="49AD366E"/>
    <w:rsid w:val="49AE2DD7"/>
    <w:rsid w:val="49B66DE9"/>
    <w:rsid w:val="49B6770E"/>
    <w:rsid w:val="49BB603A"/>
    <w:rsid w:val="49CD05D5"/>
    <w:rsid w:val="49D2527D"/>
    <w:rsid w:val="49F1091F"/>
    <w:rsid w:val="49FA1FBB"/>
    <w:rsid w:val="49FD1A5F"/>
    <w:rsid w:val="4A01389F"/>
    <w:rsid w:val="4A07304F"/>
    <w:rsid w:val="4A0E3B8B"/>
    <w:rsid w:val="4A0F6C88"/>
    <w:rsid w:val="4A113F04"/>
    <w:rsid w:val="4A264FAF"/>
    <w:rsid w:val="4A282331"/>
    <w:rsid w:val="4A3602BF"/>
    <w:rsid w:val="4A38012E"/>
    <w:rsid w:val="4A4851E6"/>
    <w:rsid w:val="4A491A9D"/>
    <w:rsid w:val="4A577F60"/>
    <w:rsid w:val="4A7903A0"/>
    <w:rsid w:val="4A7E5FB2"/>
    <w:rsid w:val="4A8149D7"/>
    <w:rsid w:val="4A873424"/>
    <w:rsid w:val="4A9C2807"/>
    <w:rsid w:val="4AA35D9E"/>
    <w:rsid w:val="4ABC49CE"/>
    <w:rsid w:val="4AD70BFF"/>
    <w:rsid w:val="4AF36A92"/>
    <w:rsid w:val="4B0626B2"/>
    <w:rsid w:val="4B0C6CB1"/>
    <w:rsid w:val="4B0F74BB"/>
    <w:rsid w:val="4B27402E"/>
    <w:rsid w:val="4B2871D9"/>
    <w:rsid w:val="4B4764FE"/>
    <w:rsid w:val="4B496C43"/>
    <w:rsid w:val="4B4A00B5"/>
    <w:rsid w:val="4B4E2573"/>
    <w:rsid w:val="4B755CCC"/>
    <w:rsid w:val="4B8C426D"/>
    <w:rsid w:val="4B95789A"/>
    <w:rsid w:val="4BAE24C7"/>
    <w:rsid w:val="4BB37899"/>
    <w:rsid w:val="4BD414E1"/>
    <w:rsid w:val="4BE67A2E"/>
    <w:rsid w:val="4BEA7ED5"/>
    <w:rsid w:val="4BF455A0"/>
    <w:rsid w:val="4C0310CB"/>
    <w:rsid w:val="4C045DB5"/>
    <w:rsid w:val="4C115873"/>
    <w:rsid w:val="4C1B166A"/>
    <w:rsid w:val="4C1B1782"/>
    <w:rsid w:val="4C2A0460"/>
    <w:rsid w:val="4C2C11EC"/>
    <w:rsid w:val="4C371213"/>
    <w:rsid w:val="4C4E3237"/>
    <w:rsid w:val="4C614FD6"/>
    <w:rsid w:val="4C6B626F"/>
    <w:rsid w:val="4C6F7D30"/>
    <w:rsid w:val="4C763137"/>
    <w:rsid w:val="4C9F221F"/>
    <w:rsid w:val="4CAC08DA"/>
    <w:rsid w:val="4CBD414F"/>
    <w:rsid w:val="4CC275F9"/>
    <w:rsid w:val="4CCD77CE"/>
    <w:rsid w:val="4CD46F36"/>
    <w:rsid w:val="4CE868B4"/>
    <w:rsid w:val="4CEE1604"/>
    <w:rsid w:val="4CFB6A4D"/>
    <w:rsid w:val="4D2B2094"/>
    <w:rsid w:val="4D2C13AB"/>
    <w:rsid w:val="4D3C47E8"/>
    <w:rsid w:val="4D45429F"/>
    <w:rsid w:val="4D7237E3"/>
    <w:rsid w:val="4D8678E6"/>
    <w:rsid w:val="4D9C77B0"/>
    <w:rsid w:val="4DA14B29"/>
    <w:rsid w:val="4DD10F44"/>
    <w:rsid w:val="4DE171A5"/>
    <w:rsid w:val="4E00135E"/>
    <w:rsid w:val="4E0627FD"/>
    <w:rsid w:val="4E1743AB"/>
    <w:rsid w:val="4E1B20D1"/>
    <w:rsid w:val="4E2854F6"/>
    <w:rsid w:val="4E2B7044"/>
    <w:rsid w:val="4E3018B5"/>
    <w:rsid w:val="4E306AC4"/>
    <w:rsid w:val="4E736775"/>
    <w:rsid w:val="4E7E3F8F"/>
    <w:rsid w:val="4E8859DF"/>
    <w:rsid w:val="4E997105"/>
    <w:rsid w:val="4EA458BB"/>
    <w:rsid w:val="4EA552F7"/>
    <w:rsid w:val="4EA956A1"/>
    <w:rsid w:val="4EB17800"/>
    <w:rsid w:val="4EBC7C16"/>
    <w:rsid w:val="4EC00BBD"/>
    <w:rsid w:val="4EC644F8"/>
    <w:rsid w:val="4EF07049"/>
    <w:rsid w:val="4EFD7008"/>
    <w:rsid w:val="4F0246E4"/>
    <w:rsid w:val="4F123A0B"/>
    <w:rsid w:val="4F166BFC"/>
    <w:rsid w:val="4F1D4129"/>
    <w:rsid w:val="4F336375"/>
    <w:rsid w:val="4F3B3DB9"/>
    <w:rsid w:val="4F4646CC"/>
    <w:rsid w:val="4F523432"/>
    <w:rsid w:val="4F5B4647"/>
    <w:rsid w:val="4F652D6B"/>
    <w:rsid w:val="4F7B41CD"/>
    <w:rsid w:val="4F851A1B"/>
    <w:rsid w:val="4FA32701"/>
    <w:rsid w:val="4FC11A00"/>
    <w:rsid w:val="4FD33019"/>
    <w:rsid w:val="4FDB461A"/>
    <w:rsid w:val="4FF20AC5"/>
    <w:rsid w:val="4FF247C7"/>
    <w:rsid w:val="4FF71488"/>
    <w:rsid w:val="4FF94A59"/>
    <w:rsid w:val="4FFD18A1"/>
    <w:rsid w:val="50085E2D"/>
    <w:rsid w:val="503C0B96"/>
    <w:rsid w:val="50490B3C"/>
    <w:rsid w:val="506B22FA"/>
    <w:rsid w:val="506D3E8B"/>
    <w:rsid w:val="5095446F"/>
    <w:rsid w:val="509F2198"/>
    <w:rsid w:val="50C1047A"/>
    <w:rsid w:val="50CD02E1"/>
    <w:rsid w:val="50D67EBD"/>
    <w:rsid w:val="50DD0A91"/>
    <w:rsid w:val="50DD2C0A"/>
    <w:rsid w:val="50DD4D3C"/>
    <w:rsid w:val="50ED00F5"/>
    <w:rsid w:val="50F7622C"/>
    <w:rsid w:val="50F87AF1"/>
    <w:rsid w:val="51074E7E"/>
    <w:rsid w:val="510B34DA"/>
    <w:rsid w:val="511702B7"/>
    <w:rsid w:val="512F545A"/>
    <w:rsid w:val="51775673"/>
    <w:rsid w:val="517877E2"/>
    <w:rsid w:val="51975789"/>
    <w:rsid w:val="519A6AC6"/>
    <w:rsid w:val="519E60F0"/>
    <w:rsid w:val="51A37F95"/>
    <w:rsid w:val="51AB33B6"/>
    <w:rsid w:val="51AF410F"/>
    <w:rsid w:val="51D16E16"/>
    <w:rsid w:val="51E91AD3"/>
    <w:rsid w:val="51F005C7"/>
    <w:rsid w:val="51F55A16"/>
    <w:rsid w:val="51FA4B2D"/>
    <w:rsid w:val="521871DA"/>
    <w:rsid w:val="52243F89"/>
    <w:rsid w:val="52246DDD"/>
    <w:rsid w:val="52461CEB"/>
    <w:rsid w:val="52507E55"/>
    <w:rsid w:val="52AE1B61"/>
    <w:rsid w:val="52AE52A2"/>
    <w:rsid w:val="52B422DF"/>
    <w:rsid w:val="52DE736C"/>
    <w:rsid w:val="52E67265"/>
    <w:rsid w:val="52F876DF"/>
    <w:rsid w:val="531A6753"/>
    <w:rsid w:val="53253777"/>
    <w:rsid w:val="53291E4F"/>
    <w:rsid w:val="532F7DA4"/>
    <w:rsid w:val="53354365"/>
    <w:rsid w:val="533C5B80"/>
    <w:rsid w:val="53546DB6"/>
    <w:rsid w:val="5365244A"/>
    <w:rsid w:val="538E72AE"/>
    <w:rsid w:val="538F569F"/>
    <w:rsid w:val="53B3551F"/>
    <w:rsid w:val="540F4DB7"/>
    <w:rsid w:val="54292020"/>
    <w:rsid w:val="543537B6"/>
    <w:rsid w:val="543B73FF"/>
    <w:rsid w:val="544F47AF"/>
    <w:rsid w:val="54564520"/>
    <w:rsid w:val="545F2CE2"/>
    <w:rsid w:val="546D2553"/>
    <w:rsid w:val="548018AF"/>
    <w:rsid w:val="54A628C2"/>
    <w:rsid w:val="54B02C99"/>
    <w:rsid w:val="54C07E98"/>
    <w:rsid w:val="54D010B8"/>
    <w:rsid w:val="54D82494"/>
    <w:rsid w:val="54F247F6"/>
    <w:rsid w:val="54F91966"/>
    <w:rsid w:val="55093E7F"/>
    <w:rsid w:val="551210EE"/>
    <w:rsid w:val="55263527"/>
    <w:rsid w:val="5527333E"/>
    <w:rsid w:val="552A7FFF"/>
    <w:rsid w:val="55311AAA"/>
    <w:rsid w:val="55342799"/>
    <w:rsid w:val="553C6B91"/>
    <w:rsid w:val="55591A75"/>
    <w:rsid w:val="55684CCA"/>
    <w:rsid w:val="55953A7F"/>
    <w:rsid w:val="559E166D"/>
    <w:rsid w:val="55A044BA"/>
    <w:rsid w:val="55A55524"/>
    <w:rsid w:val="55DC7651"/>
    <w:rsid w:val="560C7FB6"/>
    <w:rsid w:val="56165A50"/>
    <w:rsid w:val="561C1E8D"/>
    <w:rsid w:val="56200534"/>
    <w:rsid w:val="563155ED"/>
    <w:rsid w:val="563E1441"/>
    <w:rsid w:val="56461894"/>
    <w:rsid w:val="56525711"/>
    <w:rsid w:val="566C6BDF"/>
    <w:rsid w:val="5681500D"/>
    <w:rsid w:val="56894EB2"/>
    <w:rsid w:val="56961EC4"/>
    <w:rsid w:val="569B5FFB"/>
    <w:rsid w:val="56A818CF"/>
    <w:rsid w:val="56AC3705"/>
    <w:rsid w:val="56C52BFF"/>
    <w:rsid w:val="56F51EFC"/>
    <w:rsid w:val="56FD52B9"/>
    <w:rsid w:val="572244C6"/>
    <w:rsid w:val="572605B5"/>
    <w:rsid w:val="573635F1"/>
    <w:rsid w:val="574D5269"/>
    <w:rsid w:val="57515EC1"/>
    <w:rsid w:val="575273F1"/>
    <w:rsid w:val="576D3AE8"/>
    <w:rsid w:val="57741E22"/>
    <w:rsid w:val="57750793"/>
    <w:rsid w:val="57800EC3"/>
    <w:rsid w:val="579E5299"/>
    <w:rsid w:val="57B108CB"/>
    <w:rsid w:val="57B16209"/>
    <w:rsid w:val="57B41685"/>
    <w:rsid w:val="57D537F8"/>
    <w:rsid w:val="57DA66EC"/>
    <w:rsid w:val="57DD096E"/>
    <w:rsid w:val="57E00F5E"/>
    <w:rsid w:val="57EF3A8A"/>
    <w:rsid w:val="57F0730A"/>
    <w:rsid w:val="57F14A72"/>
    <w:rsid w:val="57F67455"/>
    <w:rsid w:val="58046837"/>
    <w:rsid w:val="58091229"/>
    <w:rsid w:val="580E51CE"/>
    <w:rsid w:val="58134BE3"/>
    <w:rsid w:val="58215EFF"/>
    <w:rsid w:val="58216420"/>
    <w:rsid w:val="58335CCA"/>
    <w:rsid w:val="5835364A"/>
    <w:rsid w:val="58406925"/>
    <w:rsid w:val="586D1DEB"/>
    <w:rsid w:val="5877052A"/>
    <w:rsid w:val="588D1F9A"/>
    <w:rsid w:val="58A35DAB"/>
    <w:rsid w:val="58AF6EA9"/>
    <w:rsid w:val="58B45A53"/>
    <w:rsid w:val="58B543E7"/>
    <w:rsid w:val="58B83F64"/>
    <w:rsid w:val="58BF1A22"/>
    <w:rsid w:val="58D670E2"/>
    <w:rsid w:val="58EB27E9"/>
    <w:rsid w:val="58FC51BF"/>
    <w:rsid w:val="59013BC0"/>
    <w:rsid w:val="59016843"/>
    <w:rsid w:val="59556CA8"/>
    <w:rsid w:val="595B727A"/>
    <w:rsid w:val="5980540C"/>
    <w:rsid w:val="598614A7"/>
    <w:rsid w:val="598A22F0"/>
    <w:rsid w:val="59AF58C5"/>
    <w:rsid w:val="59BE4520"/>
    <w:rsid w:val="59E0794E"/>
    <w:rsid w:val="59EA731A"/>
    <w:rsid w:val="59F85BA4"/>
    <w:rsid w:val="59FA5E9D"/>
    <w:rsid w:val="5A071F80"/>
    <w:rsid w:val="5A4432A9"/>
    <w:rsid w:val="5A4C375F"/>
    <w:rsid w:val="5A505603"/>
    <w:rsid w:val="5A5B5849"/>
    <w:rsid w:val="5A634393"/>
    <w:rsid w:val="5A9703CB"/>
    <w:rsid w:val="5AB07E24"/>
    <w:rsid w:val="5AB948E9"/>
    <w:rsid w:val="5AC82F08"/>
    <w:rsid w:val="5ACC7466"/>
    <w:rsid w:val="5ADD0524"/>
    <w:rsid w:val="5B0A4118"/>
    <w:rsid w:val="5B186630"/>
    <w:rsid w:val="5B45545F"/>
    <w:rsid w:val="5B5236A8"/>
    <w:rsid w:val="5B590370"/>
    <w:rsid w:val="5B62086F"/>
    <w:rsid w:val="5B7122A9"/>
    <w:rsid w:val="5B74215D"/>
    <w:rsid w:val="5B8673B3"/>
    <w:rsid w:val="5B887510"/>
    <w:rsid w:val="5B8968F7"/>
    <w:rsid w:val="5B896D6F"/>
    <w:rsid w:val="5B8C2387"/>
    <w:rsid w:val="5B913F04"/>
    <w:rsid w:val="5B953E97"/>
    <w:rsid w:val="5B9856D7"/>
    <w:rsid w:val="5B9C6E6D"/>
    <w:rsid w:val="5BAB1A17"/>
    <w:rsid w:val="5BB84C8E"/>
    <w:rsid w:val="5BC55361"/>
    <w:rsid w:val="5BD44A8A"/>
    <w:rsid w:val="5BDB04FD"/>
    <w:rsid w:val="5BE718BB"/>
    <w:rsid w:val="5BEF5309"/>
    <w:rsid w:val="5BF12FEC"/>
    <w:rsid w:val="5BFD0206"/>
    <w:rsid w:val="5C1327C0"/>
    <w:rsid w:val="5C371AB5"/>
    <w:rsid w:val="5C413239"/>
    <w:rsid w:val="5C4E6006"/>
    <w:rsid w:val="5C610030"/>
    <w:rsid w:val="5C7D79B2"/>
    <w:rsid w:val="5C8F6AEC"/>
    <w:rsid w:val="5C9A3059"/>
    <w:rsid w:val="5C9B0176"/>
    <w:rsid w:val="5CA15F5E"/>
    <w:rsid w:val="5CC13B9D"/>
    <w:rsid w:val="5CCF19E3"/>
    <w:rsid w:val="5CD7667C"/>
    <w:rsid w:val="5CDA0EC2"/>
    <w:rsid w:val="5CE11B20"/>
    <w:rsid w:val="5CF3330E"/>
    <w:rsid w:val="5CF458C1"/>
    <w:rsid w:val="5CF46B0A"/>
    <w:rsid w:val="5CF6769C"/>
    <w:rsid w:val="5D1112FB"/>
    <w:rsid w:val="5D2C5361"/>
    <w:rsid w:val="5D3B636D"/>
    <w:rsid w:val="5D4209EB"/>
    <w:rsid w:val="5D561395"/>
    <w:rsid w:val="5D5A1F7F"/>
    <w:rsid w:val="5D6B75C5"/>
    <w:rsid w:val="5D6F21EB"/>
    <w:rsid w:val="5D712C05"/>
    <w:rsid w:val="5D792A8E"/>
    <w:rsid w:val="5D7B445A"/>
    <w:rsid w:val="5D7F3E23"/>
    <w:rsid w:val="5D8E708D"/>
    <w:rsid w:val="5DCA5346"/>
    <w:rsid w:val="5DCF60DB"/>
    <w:rsid w:val="5DD97525"/>
    <w:rsid w:val="5DDA097A"/>
    <w:rsid w:val="5E062561"/>
    <w:rsid w:val="5E0A020B"/>
    <w:rsid w:val="5E274F73"/>
    <w:rsid w:val="5E3030EE"/>
    <w:rsid w:val="5E30491B"/>
    <w:rsid w:val="5E3704FF"/>
    <w:rsid w:val="5E3B4946"/>
    <w:rsid w:val="5E5B6A0F"/>
    <w:rsid w:val="5E5C50CA"/>
    <w:rsid w:val="5E6500AB"/>
    <w:rsid w:val="5E70383E"/>
    <w:rsid w:val="5E7C5FC4"/>
    <w:rsid w:val="5E8B4795"/>
    <w:rsid w:val="5E8D6178"/>
    <w:rsid w:val="5EB350A6"/>
    <w:rsid w:val="5EB518F3"/>
    <w:rsid w:val="5EB8640B"/>
    <w:rsid w:val="5EBA1F45"/>
    <w:rsid w:val="5EC74F7E"/>
    <w:rsid w:val="5ECC1C78"/>
    <w:rsid w:val="5ECD3905"/>
    <w:rsid w:val="5ED14C14"/>
    <w:rsid w:val="5ED2646E"/>
    <w:rsid w:val="5EE2557B"/>
    <w:rsid w:val="5EE9736F"/>
    <w:rsid w:val="5EFC4C8D"/>
    <w:rsid w:val="5F061165"/>
    <w:rsid w:val="5F081EBB"/>
    <w:rsid w:val="5F220598"/>
    <w:rsid w:val="5F2C0090"/>
    <w:rsid w:val="5F380FA5"/>
    <w:rsid w:val="5F462C30"/>
    <w:rsid w:val="5F4E0567"/>
    <w:rsid w:val="5F5477A5"/>
    <w:rsid w:val="5F5D72BB"/>
    <w:rsid w:val="5F6E72FF"/>
    <w:rsid w:val="5F7579ED"/>
    <w:rsid w:val="5F8A2F63"/>
    <w:rsid w:val="5FA6617E"/>
    <w:rsid w:val="5FEF7BA6"/>
    <w:rsid w:val="601E784A"/>
    <w:rsid w:val="603B7036"/>
    <w:rsid w:val="6046605A"/>
    <w:rsid w:val="604F729C"/>
    <w:rsid w:val="60615DC5"/>
    <w:rsid w:val="607052AD"/>
    <w:rsid w:val="60747C66"/>
    <w:rsid w:val="60773F75"/>
    <w:rsid w:val="608A6AB0"/>
    <w:rsid w:val="6098251A"/>
    <w:rsid w:val="609B5DD7"/>
    <w:rsid w:val="60A05723"/>
    <w:rsid w:val="60C332FA"/>
    <w:rsid w:val="60C53955"/>
    <w:rsid w:val="60C8311C"/>
    <w:rsid w:val="60CE26AA"/>
    <w:rsid w:val="60DB51CD"/>
    <w:rsid w:val="60E4698B"/>
    <w:rsid w:val="60EB414D"/>
    <w:rsid w:val="60F15015"/>
    <w:rsid w:val="61080993"/>
    <w:rsid w:val="611F6D20"/>
    <w:rsid w:val="612B7C43"/>
    <w:rsid w:val="61411350"/>
    <w:rsid w:val="614601E0"/>
    <w:rsid w:val="61666E0D"/>
    <w:rsid w:val="617E36E8"/>
    <w:rsid w:val="6195144A"/>
    <w:rsid w:val="61A32102"/>
    <w:rsid w:val="61A34B03"/>
    <w:rsid w:val="61BE51CF"/>
    <w:rsid w:val="61C74CEE"/>
    <w:rsid w:val="61EB7DB0"/>
    <w:rsid w:val="61F07950"/>
    <w:rsid w:val="62165513"/>
    <w:rsid w:val="62181EED"/>
    <w:rsid w:val="621E5770"/>
    <w:rsid w:val="62295D43"/>
    <w:rsid w:val="623512FD"/>
    <w:rsid w:val="623779BF"/>
    <w:rsid w:val="62390BA4"/>
    <w:rsid w:val="62545F7B"/>
    <w:rsid w:val="62610DF2"/>
    <w:rsid w:val="626D14B8"/>
    <w:rsid w:val="626E2910"/>
    <w:rsid w:val="62837D08"/>
    <w:rsid w:val="62923889"/>
    <w:rsid w:val="62A37FA0"/>
    <w:rsid w:val="62AA0B3F"/>
    <w:rsid w:val="62BB520D"/>
    <w:rsid w:val="62CF23D6"/>
    <w:rsid w:val="62D436DB"/>
    <w:rsid w:val="62E0673F"/>
    <w:rsid w:val="62E476B8"/>
    <w:rsid w:val="62E65C20"/>
    <w:rsid w:val="62E771BC"/>
    <w:rsid w:val="62F76907"/>
    <w:rsid w:val="630401E6"/>
    <w:rsid w:val="632A1D2A"/>
    <w:rsid w:val="63361359"/>
    <w:rsid w:val="633C685C"/>
    <w:rsid w:val="63405972"/>
    <w:rsid w:val="63487EEB"/>
    <w:rsid w:val="634D5BD8"/>
    <w:rsid w:val="634E53CC"/>
    <w:rsid w:val="636A2DF1"/>
    <w:rsid w:val="637148BC"/>
    <w:rsid w:val="63A12B8D"/>
    <w:rsid w:val="63A6192B"/>
    <w:rsid w:val="63C17644"/>
    <w:rsid w:val="63D94868"/>
    <w:rsid w:val="63E220AD"/>
    <w:rsid w:val="63E46C57"/>
    <w:rsid w:val="63E85219"/>
    <w:rsid w:val="63EF216A"/>
    <w:rsid w:val="63FD1A20"/>
    <w:rsid w:val="642A6EDD"/>
    <w:rsid w:val="642F235B"/>
    <w:rsid w:val="642F75EA"/>
    <w:rsid w:val="64301458"/>
    <w:rsid w:val="64323CD8"/>
    <w:rsid w:val="6441774E"/>
    <w:rsid w:val="6443439C"/>
    <w:rsid w:val="64552BDD"/>
    <w:rsid w:val="646307DE"/>
    <w:rsid w:val="6478091F"/>
    <w:rsid w:val="64800367"/>
    <w:rsid w:val="64992FD7"/>
    <w:rsid w:val="64B202DB"/>
    <w:rsid w:val="64B33608"/>
    <w:rsid w:val="64B6309F"/>
    <w:rsid w:val="64C10D5D"/>
    <w:rsid w:val="64C60AD1"/>
    <w:rsid w:val="64D50A59"/>
    <w:rsid w:val="64E0073A"/>
    <w:rsid w:val="64E91227"/>
    <w:rsid w:val="64F16CBE"/>
    <w:rsid w:val="6514387B"/>
    <w:rsid w:val="651C3648"/>
    <w:rsid w:val="652741AA"/>
    <w:rsid w:val="65354CA4"/>
    <w:rsid w:val="653C5E6E"/>
    <w:rsid w:val="653E7D3F"/>
    <w:rsid w:val="65451FFE"/>
    <w:rsid w:val="65560F1F"/>
    <w:rsid w:val="655D79B0"/>
    <w:rsid w:val="656150E7"/>
    <w:rsid w:val="656F4DFE"/>
    <w:rsid w:val="657352CD"/>
    <w:rsid w:val="65737BA3"/>
    <w:rsid w:val="65834A51"/>
    <w:rsid w:val="659944C8"/>
    <w:rsid w:val="65B33DBB"/>
    <w:rsid w:val="65BB6601"/>
    <w:rsid w:val="65C912AA"/>
    <w:rsid w:val="65C9602F"/>
    <w:rsid w:val="65D50EAF"/>
    <w:rsid w:val="65E027B1"/>
    <w:rsid w:val="65E472F5"/>
    <w:rsid w:val="65E90A9A"/>
    <w:rsid w:val="65EC6A83"/>
    <w:rsid w:val="661437AF"/>
    <w:rsid w:val="66266DA6"/>
    <w:rsid w:val="662C32F9"/>
    <w:rsid w:val="662D05AD"/>
    <w:rsid w:val="66393077"/>
    <w:rsid w:val="66433E98"/>
    <w:rsid w:val="664719F5"/>
    <w:rsid w:val="66591F20"/>
    <w:rsid w:val="666A49B8"/>
    <w:rsid w:val="6670238E"/>
    <w:rsid w:val="667D58AC"/>
    <w:rsid w:val="66947882"/>
    <w:rsid w:val="66A00FD3"/>
    <w:rsid w:val="66AA05E6"/>
    <w:rsid w:val="66D12FFD"/>
    <w:rsid w:val="66D9209C"/>
    <w:rsid w:val="66E255A8"/>
    <w:rsid w:val="66E37DCC"/>
    <w:rsid w:val="670C1FCE"/>
    <w:rsid w:val="671B23A4"/>
    <w:rsid w:val="672B3D03"/>
    <w:rsid w:val="672D2E91"/>
    <w:rsid w:val="673635CF"/>
    <w:rsid w:val="676C1948"/>
    <w:rsid w:val="67816652"/>
    <w:rsid w:val="679224B6"/>
    <w:rsid w:val="67997466"/>
    <w:rsid w:val="679B26BC"/>
    <w:rsid w:val="679E0E89"/>
    <w:rsid w:val="67AA3F55"/>
    <w:rsid w:val="67C00333"/>
    <w:rsid w:val="67C949BA"/>
    <w:rsid w:val="67D10B06"/>
    <w:rsid w:val="67FC18E4"/>
    <w:rsid w:val="6804032C"/>
    <w:rsid w:val="68415349"/>
    <w:rsid w:val="68571282"/>
    <w:rsid w:val="685F26EA"/>
    <w:rsid w:val="68616137"/>
    <w:rsid w:val="68624F12"/>
    <w:rsid w:val="686916A0"/>
    <w:rsid w:val="68726F6C"/>
    <w:rsid w:val="6879715E"/>
    <w:rsid w:val="688D1DE5"/>
    <w:rsid w:val="68A4375F"/>
    <w:rsid w:val="68A57BD8"/>
    <w:rsid w:val="68BA4887"/>
    <w:rsid w:val="68E136A1"/>
    <w:rsid w:val="68F33CA5"/>
    <w:rsid w:val="68F84335"/>
    <w:rsid w:val="691A29FB"/>
    <w:rsid w:val="692A300B"/>
    <w:rsid w:val="692D50A8"/>
    <w:rsid w:val="693C38FE"/>
    <w:rsid w:val="694B1C41"/>
    <w:rsid w:val="69537CCF"/>
    <w:rsid w:val="695951E6"/>
    <w:rsid w:val="695E31A8"/>
    <w:rsid w:val="696B7716"/>
    <w:rsid w:val="696C0312"/>
    <w:rsid w:val="69750424"/>
    <w:rsid w:val="698440FD"/>
    <w:rsid w:val="69B925A3"/>
    <w:rsid w:val="69C82691"/>
    <w:rsid w:val="69D372EF"/>
    <w:rsid w:val="69E751C0"/>
    <w:rsid w:val="69FD01A9"/>
    <w:rsid w:val="6A0063F5"/>
    <w:rsid w:val="6A144577"/>
    <w:rsid w:val="6A367806"/>
    <w:rsid w:val="6A4A0A8C"/>
    <w:rsid w:val="6A4D287A"/>
    <w:rsid w:val="6A61753B"/>
    <w:rsid w:val="6A6C5F06"/>
    <w:rsid w:val="6A7321B9"/>
    <w:rsid w:val="6A7D04C0"/>
    <w:rsid w:val="6A9403FD"/>
    <w:rsid w:val="6ABC52F6"/>
    <w:rsid w:val="6AC10436"/>
    <w:rsid w:val="6ACC3BFB"/>
    <w:rsid w:val="6ADD29F8"/>
    <w:rsid w:val="6AE229BC"/>
    <w:rsid w:val="6AF851D1"/>
    <w:rsid w:val="6AFA3BFE"/>
    <w:rsid w:val="6AFB1A98"/>
    <w:rsid w:val="6B016B52"/>
    <w:rsid w:val="6B0B1C3A"/>
    <w:rsid w:val="6B0C0A01"/>
    <w:rsid w:val="6B1A103E"/>
    <w:rsid w:val="6B26625F"/>
    <w:rsid w:val="6B4B300A"/>
    <w:rsid w:val="6B524C2D"/>
    <w:rsid w:val="6B573098"/>
    <w:rsid w:val="6B5B1951"/>
    <w:rsid w:val="6B741704"/>
    <w:rsid w:val="6B7E1C49"/>
    <w:rsid w:val="6B8E210E"/>
    <w:rsid w:val="6BA12A9B"/>
    <w:rsid w:val="6BAB1FA0"/>
    <w:rsid w:val="6BB1352D"/>
    <w:rsid w:val="6BCA27ED"/>
    <w:rsid w:val="6BD606AC"/>
    <w:rsid w:val="6C013911"/>
    <w:rsid w:val="6C142CFA"/>
    <w:rsid w:val="6C3335D0"/>
    <w:rsid w:val="6C3F0997"/>
    <w:rsid w:val="6C4A389A"/>
    <w:rsid w:val="6C4C4BC3"/>
    <w:rsid w:val="6C52149C"/>
    <w:rsid w:val="6C61463B"/>
    <w:rsid w:val="6C743368"/>
    <w:rsid w:val="6C75603F"/>
    <w:rsid w:val="6C76756C"/>
    <w:rsid w:val="6C84074E"/>
    <w:rsid w:val="6C9D09F1"/>
    <w:rsid w:val="6CA32EF5"/>
    <w:rsid w:val="6CC3625C"/>
    <w:rsid w:val="6CD76274"/>
    <w:rsid w:val="6CED6479"/>
    <w:rsid w:val="6CF24D70"/>
    <w:rsid w:val="6D025D9E"/>
    <w:rsid w:val="6D0A3FDE"/>
    <w:rsid w:val="6D1F2679"/>
    <w:rsid w:val="6D315EFD"/>
    <w:rsid w:val="6D534B4B"/>
    <w:rsid w:val="6D554327"/>
    <w:rsid w:val="6D5C125D"/>
    <w:rsid w:val="6D84197D"/>
    <w:rsid w:val="6D873A9E"/>
    <w:rsid w:val="6D996DE5"/>
    <w:rsid w:val="6DAA07D6"/>
    <w:rsid w:val="6DAB3F0F"/>
    <w:rsid w:val="6DB12CE5"/>
    <w:rsid w:val="6DB463D6"/>
    <w:rsid w:val="6DC065E7"/>
    <w:rsid w:val="6DC85DEF"/>
    <w:rsid w:val="6DDA5519"/>
    <w:rsid w:val="6DDF6F71"/>
    <w:rsid w:val="6DE942F9"/>
    <w:rsid w:val="6DF53800"/>
    <w:rsid w:val="6E142764"/>
    <w:rsid w:val="6E1725B9"/>
    <w:rsid w:val="6E1760C7"/>
    <w:rsid w:val="6E19215B"/>
    <w:rsid w:val="6E3068F4"/>
    <w:rsid w:val="6E39681D"/>
    <w:rsid w:val="6E532C85"/>
    <w:rsid w:val="6E7A1612"/>
    <w:rsid w:val="6E8150A8"/>
    <w:rsid w:val="6E872C5C"/>
    <w:rsid w:val="6EB76BFF"/>
    <w:rsid w:val="6F097739"/>
    <w:rsid w:val="6F3D645D"/>
    <w:rsid w:val="6F46272F"/>
    <w:rsid w:val="6F4731DF"/>
    <w:rsid w:val="6F553C21"/>
    <w:rsid w:val="6F5F6535"/>
    <w:rsid w:val="6F6226AE"/>
    <w:rsid w:val="6F6B324D"/>
    <w:rsid w:val="6F7D5B7D"/>
    <w:rsid w:val="6F824BF0"/>
    <w:rsid w:val="6F8355CF"/>
    <w:rsid w:val="6F925DF5"/>
    <w:rsid w:val="6F9517A7"/>
    <w:rsid w:val="6F9B2009"/>
    <w:rsid w:val="6FA905B8"/>
    <w:rsid w:val="6FAE472B"/>
    <w:rsid w:val="6FBB4DE3"/>
    <w:rsid w:val="6FBF6897"/>
    <w:rsid w:val="6FC52013"/>
    <w:rsid w:val="6FE25A0F"/>
    <w:rsid w:val="6FF56EE3"/>
    <w:rsid w:val="6FFD6A95"/>
    <w:rsid w:val="70125161"/>
    <w:rsid w:val="70385D48"/>
    <w:rsid w:val="703A5DEB"/>
    <w:rsid w:val="70573BA8"/>
    <w:rsid w:val="70601803"/>
    <w:rsid w:val="706579B1"/>
    <w:rsid w:val="70716421"/>
    <w:rsid w:val="707A4CB5"/>
    <w:rsid w:val="7085111A"/>
    <w:rsid w:val="70866497"/>
    <w:rsid w:val="708A3B54"/>
    <w:rsid w:val="708F52BB"/>
    <w:rsid w:val="709507AD"/>
    <w:rsid w:val="70AE0394"/>
    <w:rsid w:val="70BD1937"/>
    <w:rsid w:val="70DB7244"/>
    <w:rsid w:val="70EF3BBA"/>
    <w:rsid w:val="70F41196"/>
    <w:rsid w:val="70FF7395"/>
    <w:rsid w:val="71004989"/>
    <w:rsid w:val="71085A37"/>
    <w:rsid w:val="71134801"/>
    <w:rsid w:val="71292CC5"/>
    <w:rsid w:val="712B1A72"/>
    <w:rsid w:val="712C1563"/>
    <w:rsid w:val="712E743C"/>
    <w:rsid w:val="714205B7"/>
    <w:rsid w:val="7142418E"/>
    <w:rsid w:val="7173290A"/>
    <w:rsid w:val="717A328D"/>
    <w:rsid w:val="718B1DCA"/>
    <w:rsid w:val="7193164F"/>
    <w:rsid w:val="71977CAB"/>
    <w:rsid w:val="71B84480"/>
    <w:rsid w:val="71C36DD6"/>
    <w:rsid w:val="71D51A39"/>
    <w:rsid w:val="71EE0BDB"/>
    <w:rsid w:val="71F71F81"/>
    <w:rsid w:val="71F95978"/>
    <w:rsid w:val="72194E27"/>
    <w:rsid w:val="7229623F"/>
    <w:rsid w:val="7237755F"/>
    <w:rsid w:val="72410139"/>
    <w:rsid w:val="72425A02"/>
    <w:rsid w:val="724D49CB"/>
    <w:rsid w:val="724E2B88"/>
    <w:rsid w:val="72562C26"/>
    <w:rsid w:val="72A85F0E"/>
    <w:rsid w:val="72BA5541"/>
    <w:rsid w:val="72D56362"/>
    <w:rsid w:val="72D56582"/>
    <w:rsid w:val="72EE10E6"/>
    <w:rsid w:val="72F44BAE"/>
    <w:rsid w:val="72FB760A"/>
    <w:rsid w:val="72FD51FA"/>
    <w:rsid w:val="72FD5885"/>
    <w:rsid w:val="73110728"/>
    <w:rsid w:val="731110BA"/>
    <w:rsid w:val="732C5BE9"/>
    <w:rsid w:val="732F4F28"/>
    <w:rsid w:val="73333C0C"/>
    <w:rsid w:val="733E3807"/>
    <w:rsid w:val="734A22EC"/>
    <w:rsid w:val="73533FBC"/>
    <w:rsid w:val="7358743F"/>
    <w:rsid w:val="735A6CF5"/>
    <w:rsid w:val="736339B9"/>
    <w:rsid w:val="7366625A"/>
    <w:rsid w:val="73862872"/>
    <w:rsid w:val="739A4B38"/>
    <w:rsid w:val="73A75C65"/>
    <w:rsid w:val="73A82955"/>
    <w:rsid w:val="73AE0DEE"/>
    <w:rsid w:val="73BD4112"/>
    <w:rsid w:val="73C47B8F"/>
    <w:rsid w:val="73D778A1"/>
    <w:rsid w:val="73DB6857"/>
    <w:rsid w:val="73DE71B0"/>
    <w:rsid w:val="73F273B1"/>
    <w:rsid w:val="73FA7E6D"/>
    <w:rsid w:val="740339B7"/>
    <w:rsid w:val="741F19FB"/>
    <w:rsid w:val="74204620"/>
    <w:rsid w:val="74474D22"/>
    <w:rsid w:val="744E119C"/>
    <w:rsid w:val="74544AC1"/>
    <w:rsid w:val="745B6F26"/>
    <w:rsid w:val="745C3EF9"/>
    <w:rsid w:val="747A455B"/>
    <w:rsid w:val="74827BEE"/>
    <w:rsid w:val="74887D31"/>
    <w:rsid w:val="748D3C87"/>
    <w:rsid w:val="74AC102E"/>
    <w:rsid w:val="74B920C9"/>
    <w:rsid w:val="74C005DD"/>
    <w:rsid w:val="74CE4875"/>
    <w:rsid w:val="74DC6FF2"/>
    <w:rsid w:val="74E45519"/>
    <w:rsid w:val="74E60A9D"/>
    <w:rsid w:val="74E722DD"/>
    <w:rsid w:val="74F2255A"/>
    <w:rsid w:val="74FD276E"/>
    <w:rsid w:val="750D3F74"/>
    <w:rsid w:val="751056C5"/>
    <w:rsid w:val="75112CCB"/>
    <w:rsid w:val="7512581C"/>
    <w:rsid w:val="7522105C"/>
    <w:rsid w:val="75342F47"/>
    <w:rsid w:val="75393A78"/>
    <w:rsid w:val="754C12FB"/>
    <w:rsid w:val="754F1071"/>
    <w:rsid w:val="75626F7C"/>
    <w:rsid w:val="75664EFA"/>
    <w:rsid w:val="756B4AA1"/>
    <w:rsid w:val="756D4E0C"/>
    <w:rsid w:val="75777369"/>
    <w:rsid w:val="758A3C7F"/>
    <w:rsid w:val="75974792"/>
    <w:rsid w:val="759D0CAC"/>
    <w:rsid w:val="75C10B07"/>
    <w:rsid w:val="75C70895"/>
    <w:rsid w:val="75D424F4"/>
    <w:rsid w:val="75DB2754"/>
    <w:rsid w:val="75E15DB2"/>
    <w:rsid w:val="75EE188B"/>
    <w:rsid w:val="75F4532D"/>
    <w:rsid w:val="75FB6486"/>
    <w:rsid w:val="75FE046D"/>
    <w:rsid w:val="76113B94"/>
    <w:rsid w:val="765527EE"/>
    <w:rsid w:val="76660D1A"/>
    <w:rsid w:val="766A7D07"/>
    <w:rsid w:val="7688200E"/>
    <w:rsid w:val="769D0851"/>
    <w:rsid w:val="769E5EC3"/>
    <w:rsid w:val="76A15F1A"/>
    <w:rsid w:val="76AE228D"/>
    <w:rsid w:val="76B6393A"/>
    <w:rsid w:val="76C562F2"/>
    <w:rsid w:val="76CF0197"/>
    <w:rsid w:val="76D0240D"/>
    <w:rsid w:val="76D61FFF"/>
    <w:rsid w:val="76D90DA8"/>
    <w:rsid w:val="770215B0"/>
    <w:rsid w:val="77025D96"/>
    <w:rsid w:val="770F3B2F"/>
    <w:rsid w:val="771B47FA"/>
    <w:rsid w:val="773F726A"/>
    <w:rsid w:val="77705FB0"/>
    <w:rsid w:val="77752BDC"/>
    <w:rsid w:val="7785792E"/>
    <w:rsid w:val="77891FD7"/>
    <w:rsid w:val="7791376B"/>
    <w:rsid w:val="77990121"/>
    <w:rsid w:val="77AD422E"/>
    <w:rsid w:val="77C5603D"/>
    <w:rsid w:val="77CE5F1E"/>
    <w:rsid w:val="77D269BE"/>
    <w:rsid w:val="77D34B80"/>
    <w:rsid w:val="77DE33C4"/>
    <w:rsid w:val="78056EB5"/>
    <w:rsid w:val="78064F0A"/>
    <w:rsid w:val="78097CFE"/>
    <w:rsid w:val="780C1118"/>
    <w:rsid w:val="781F38F9"/>
    <w:rsid w:val="78253EB7"/>
    <w:rsid w:val="78413477"/>
    <w:rsid w:val="78423094"/>
    <w:rsid w:val="784551BC"/>
    <w:rsid w:val="784B5E62"/>
    <w:rsid w:val="785E50D0"/>
    <w:rsid w:val="788E1E7B"/>
    <w:rsid w:val="789D02C2"/>
    <w:rsid w:val="78A37429"/>
    <w:rsid w:val="78BC50A0"/>
    <w:rsid w:val="78BF0F37"/>
    <w:rsid w:val="78E15651"/>
    <w:rsid w:val="78F95D74"/>
    <w:rsid w:val="791A0059"/>
    <w:rsid w:val="791D4B01"/>
    <w:rsid w:val="7921770A"/>
    <w:rsid w:val="794B3D98"/>
    <w:rsid w:val="79524490"/>
    <w:rsid w:val="796977D9"/>
    <w:rsid w:val="79764A5C"/>
    <w:rsid w:val="797B4AFD"/>
    <w:rsid w:val="797C7616"/>
    <w:rsid w:val="79A134C9"/>
    <w:rsid w:val="79B5046C"/>
    <w:rsid w:val="79C73095"/>
    <w:rsid w:val="79E41AD5"/>
    <w:rsid w:val="79E42AA2"/>
    <w:rsid w:val="79E70FF5"/>
    <w:rsid w:val="79EF45D6"/>
    <w:rsid w:val="79F11B81"/>
    <w:rsid w:val="79F232A1"/>
    <w:rsid w:val="79FE51E4"/>
    <w:rsid w:val="7A0D01E4"/>
    <w:rsid w:val="7A146C6E"/>
    <w:rsid w:val="7A2D2754"/>
    <w:rsid w:val="7A327478"/>
    <w:rsid w:val="7A3C275C"/>
    <w:rsid w:val="7A624FD4"/>
    <w:rsid w:val="7A7721E0"/>
    <w:rsid w:val="7A805287"/>
    <w:rsid w:val="7A9B19BB"/>
    <w:rsid w:val="7AA907DD"/>
    <w:rsid w:val="7AAD3A04"/>
    <w:rsid w:val="7AB66E39"/>
    <w:rsid w:val="7ABF2BE9"/>
    <w:rsid w:val="7ADF145F"/>
    <w:rsid w:val="7AF2235E"/>
    <w:rsid w:val="7B0203D4"/>
    <w:rsid w:val="7B0F0511"/>
    <w:rsid w:val="7B126127"/>
    <w:rsid w:val="7B1B77BB"/>
    <w:rsid w:val="7B3402D3"/>
    <w:rsid w:val="7B3D202F"/>
    <w:rsid w:val="7B4B70BD"/>
    <w:rsid w:val="7B6723E9"/>
    <w:rsid w:val="7B701C66"/>
    <w:rsid w:val="7B754D2B"/>
    <w:rsid w:val="7B7A38C4"/>
    <w:rsid w:val="7B7D2FC8"/>
    <w:rsid w:val="7B963410"/>
    <w:rsid w:val="7BA72407"/>
    <w:rsid w:val="7BAC7412"/>
    <w:rsid w:val="7BAF183C"/>
    <w:rsid w:val="7BB449C6"/>
    <w:rsid w:val="7BD73863"/>
    <w:rsid w:val="7BFA4B7F"/>
    <w:rsid w:val="7C046481"/>
    <w:rsid w:val="7C0D739B"/>
    <w:rsid w:val="7C272B8F"/>
    <w:rsid w:val="7C312FFD"/>
    <w:rsid w:val="7C426F4B"/>
    <w:rsid w:val="7C592FDD"/>
    <w:rsid w:val="7C84031F"/>
    <w:rsid w:val="7C8D662B"/>
    <w:rsid w:val="7C8E0655"/>
    <w:rsid w:val="7CA46B4C"/>
    <w:rsid w:val="7CB74974"/>
    <w:rsid w:val="7CB76FD5"/>
    <w:rsid w:val="7CBB0BBB"/>
    <w:rsid w:val="7CBE0C7F"/>
    <w:rsid w:val="7CC33653"/>
    <w:rsid w:val="7CC740AB"/>
    <w:rsid w:val="7CC97C3A"/>
    <w:rsid w:val="7CCF5C00"/>
    <w:rsid w:val="7CF153DC"/>
    <w:rsid w:val="7D1B697B"/>
    <w:rsid w:val="7D1D09D2"/>
    <w:rsid w:val="7D2333E5"/>
    <w:rsid w:val="7D2F6365"/>
    <w:rsid w:val="7D323AC6"/>
    <w:rsid w:val="7D6C537B"/>
    <w:rsid w:val="7D993091"/>
    <w:rsid w:val="7D9C5ADB"/>
    <w:rsid w:val="7DA438BE"/>
    <w:rsid w:val="7DAD3F53"/>
    <w:rsid w:val="7DB24959"/>
    <w:rsid w:val="7DC30744"/>
    <w:rsid w:val="7DD43123"/>
    <w:rsid w:val="7DD5130D"/>
    <w:rsid w:val="7DD53E56"/>
    <w:rsid w:val="7DE2686A"/>
    <w:rsid w:val="7DF61CF7"/>
    <w:rsid w:val="7E21643E"/>
    <w:rsid w:val="7E392F4A"/>
    <w:rsid w:val="7E454146"/>
    <w:rsid w:val="7E705329"/>
    <w:rsid w:val="7E7E27AC"/>
    <w:rsid w:val="7E9656DF"/>
    <w:rsid w:val="7EA17C92"/>
    <w:rsid w:val="7EC66FD3"/>
    <w:rsid w:val="7EE96780"/>
    <w:rsid w:val="7EFD3FDF"/>
    <w:rsid w:val="7F00293D"/>
    <w:rsid w:val="7F041B70"/>
    <w:rsid w:val="7F167C99"/>
    <w:rsid w:val="7F1F084B"/>
    <w:rsid w:val="7F2138A5"/>
    <w:rsid w:val="7F277CCE"/>
    <w:rsid w:val="7F2C39C4"/>
    <w:rsid w:val="7F2F1F28"/>
    <w:rsid w:val="7F36462E"/>
    <w:rsid w:val="7F3906D1"/>
    <w:rsid w:val="7F3B50F5"/>
    <w:rsid w:val="7F4B0FE3"/>
    <w:rsid w:val="7F6158BA"/>
    <w:rsid w:val="7F6F5311"/>
    <w:rsid w:val="7F932A14"/>
    <w:rsid w:val="7F992749"/>
    <w:rsid w:val="7FA178FD"/>
    <w:rsid w:val="7FAA53F4"/>
    <w:rsid w:val="7FB644C3"/>
    <w:rsid w:val="7FBF6AB8"/>
    <w:rsid w:val="7FCB38CD"/>
    <w:rsid w:val="7FCD7B67"/>
    <w:rsid w:val="7FDF3338"/>
    <w:rsid w:val="7FFC7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autoSpaceDE w:val="0"/>
      <w:autoSpaceDN w:val="0"/>
      <w:adjustRightInd w:val="0"/>
      <w:snapToGrid w:val="0"/>
      <w:spacing w:line="300" w:lineRule="auto"/>
      <w:ind w:firstLineChars="200" w:firstLine="660"/>
      <w:textAlignment w:val="baseline"/>
    </w:pPr>
    <w:rPr>
      <w:rFonts w:eastAsia="方正仿宋_GBK"/>
      <w:snapToGrid w:val="0"/>
      <w:color w:val="000000"/>
      <w:spacing w:val="12"/>
      <w:sz w:val="32"/>
      <w:szCs w:val="32"/>
    </w:rPr>
  </w:style>
  <w:style w:type="paragraph" w:styleId="1">
    <w:name w:val="heading 1"/>
    <w:basedOn w:val="a"/>
    <w:next w:val="a"/>
    <w:link w:val="1Char"/>
    <w:qFormat/>
    <w:pPr>
      <w:keepNext/>
      <w:keepLines/>
      <w:spacing w:after="120"/>
      <w:ind w:firstLine="200"/>
      <w:outlineLvl w:val="0"/>
    </w:pPr>
    <w:rPr>
      <w:rFonts w:eastAsia="方正黑体_GBK"/>
      <w:bCs/>
      <w:kern w:val="44"/>
      <w:szCs w:val="44"/>
    </w:rPr>
  </w:style>
  <w:style w:type="paragraph" w:styleId="2">
    <w:name w:val="heading 2"/>
    <w:basedOn w:val="a"/>
    <w:next w:val="a"/>
    <w:link w:val="2Char"/>
    <w:unhideWhenUsed/>
    <w:qFormat/>
    <w:pPr>
      <w:keepNext/>
      <w:keepLines/>
      <w:spacing w:after="120"/>
      <w:ind w:firstLine="200"/>
      <w:outlineLvl w:val="1"/>
    </w:pPr>
    <w:rPr>
      <w:rFonts w:asciiTheme="majorHAnsi" w:eastAsia="方正楷体_GBK" w:hAnsiTheme="majorHAnsi" w:cstheme="majorBidi"/>
      <w:bCs/>
    </w:rPr>
  </w:style>
  <w:style w:type="paragraph" w:styleId="3">
    <w:name w:val="heading 3"/>
    <w:basedOn w:val="a"/>
    <w:next w:val="a"/>
    <w:link w:val="3Char"/>
    <w:unhideWhenUsed/>
    <w:qFormat/>
    <w:pPr>
      <w:keepNext/>
      <w:keepLines/>
      <w:spacing w:before="260" w:after="260" w:line="416" w:lineRule="auto"/>
      <w:outlineLvl w:val="2"/>
    </w:pPr>
    <w:rPr>
      <w:b/>
      <w:bCs/>
    </w:rPr>
  </w:style>
  <w:style w:type="paragraph" w:styleId="4">
    <w:name w:val="heading 4"/>
    <w:basedOn w:val="a"/>
    <w:next w:val="a"/>
    <w:link w:val="4Char"/>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style>
  <w:style w:type="paragraph" w:styleId="a4">
    <w:name w:val="Balloon Text"/>
    <w:basedOn w:val="a"/>
    <w:link w:val="Char0"/>
    <w:qFormat/>
    <w:rPr>
      <w:sz w:val="18"/>
      <w:szCs w:val="18"/>
    </w:rPr>
  </w:style>
  <w:style w:type="paragraph" w:styleId="a5">
    <w:name w:val="footer"/>
    <w:basedOn w:val="a"/>
    <w:link w:val="Char1"/>
    <w:uiPriority w:val="99"/>
    <w:qFormat/>
    <w:pPr>
      <w:tabs>
        <w:tab w:val="center" w:pos="4153"/>
        <w:tab w:val="right" w:pos="8306"/>
      </w:tabs>
    </w:pPr>
    <w:rPr>
      <w:sz w:val="18"/>
      <w:szCs w:val="18"/>
    </w:rPr>
  </w:style>
  <w:style w:type="paragraph" w:styleId="a6">
    <w:name w:val="header"/>
    <w:basedOn w:val="a"/>
    <w:link w:val="Char2"/>
    <w:qFormat/>
    <w:pPr>
      <w:pBdr>
        <w:bottom w:val="single" w:sz="6" w:space="1" w:color="auto"/>
      </w:pBdr>
      <w:tabs>
        <w:tab w:val="center" w:pos="4153"/>
        <w:tab w:val="right" w:pos="8306"/>
      </w:tabs>
      <w:jc w:val="center"/>
    </w:pPr>
    <w:rPr>
      <w:sz w:val="18"/>
      <w:szCs w:val="18"/>
    </w:rPr>
  </w:style>
  <w:style w:type="paragraph" w:styleId="10">
    <w:name w:val="toc 1"/>
    <w:basedOn w:val="a"/>
    <w:next w:val="a"/>
    <w:autoRedefine/>
    <w:uiPriority w:val="39"/>
    <w:qFormat/>
  </w:style>
  <w:style w:type="paragraph" w:styleId="20">
    <w:name w:val="toc 2"/>
    <w:basedOn w:val="a"/>
    <w:next w:val="a"/>
    <w:autoRedefine/>
    <w:uiPriority w:val="39"/>
    <w:pPr>
      <w:ind w:leftChars="200" w:left="420"/>
    </w:pPr>
  </w:style>
  <w:style w:type="paragraph" w:styleId="a7">
    <w:name w:val="Title"/>
    <w:basedOn w:val="a"/>
    <w:next w:val="a"/>
    <w:link w:val="Char3"/>
    <w:qFormat/>
    <w:pPr>
      <w:spacing w:before="140"/>
      <w:ind w:left="425" w:right="23" w:firstLineChars="0" w:firstLine="0"/>
      <w:jc w:val="center"/>
    </w:pPr>
    <w:rPr>
      <w:rFonts w:ascii="方正小标宋_GBK" w:eastAsia="方正小标宋_GBK" w:hAnsi="方正小标宋_GBK" w:cs="方正小标宋_GBK"/>
      <w:spacing w:val="-6"/>
      <w:sz w:val="44"/>
      <w:szCs w:val="44"/>
    </w:rPr>
  </w:style>
  <w:style w:type="paragraph" w:styleId="a8">
    <w:name w:val="annotation subject"/>
    <w:basedOn w:val="a3"/>
    <w:next w:val="a3"/>
    <w:link w:val="Char4"/>
    <w:qFormat/>
    <w:rPr>
      <w:b/>
      <w:bCs/>
    </w:rPr>
  </w:style>
  <w:style w:type="table" w:styleId="a9">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Pr>
      <w:color w:val="0563C1" w:themeColor="hyperlink"/>
      <w:u w:val="single"/>
    </w:rPr>
  </w:style>
  <w:style w:type="character" w:styleId="ab">
    <w:name w:val="annotation reference"/>
    <w:qFormat/>
    <w:rPr>
      <w:sz w:val="21"/>
      <w:szCs w:val="21"/>
    </w:rPr>
  </w:style>
  <w:style w:type="character" w:customStyle="1" w:styleId="Char">
    <w:name w:val="批注文字 Char"/>
    <w:link w:val="a3"/>
    <w:qFormat/>
    <w:rPr>
      <w:rFonts w:eastAsia="Arial"/>
      <w:snapToGrid w:val="0"/>
      <w:color w:val="000000"/>
      <w:sz w:val="21"/>
      <w:szCs w:val="21"/>
    </w:rPr>
  </w:style>
  <w:style w:type="character" w:customStyle="1" w:styleId="Char0">
    <w:name w:val="批注框文本 Char"/>
    <w:link w:val="a4"/>
    <w:qFormat/>
    <w:rPr>
      <w:rFonts w:eastAsia="Arial"/>
      <w:snapToGrid w:val="0"/>
      <w:color w:val="000000"/>
      <w:sz w:val="18"/>
      <w:szCs w:val="18"/>
    </w:rPr>
  </w:style>
  <w:style w:type="character" w:customStyle="1" w:styleId="Char1">
    <w:name w:val="页脚 Char"/>
    <w:link w:val="a5"/>
    <w:uiPriority w:val="99"/>
    <w:qFormat/>
    <w:rPr>
      <w:rFonts w:eastAsia="Arial"/>
      <w:snapToGrid w:val="0"/>
      <w:color w:val="000000"/>
      <w:sz w:val="18"/>
      <w:szCs w:val="18"/>
    </w:rPr>
  </w:style>
  <w:style w:type="character" w:customStyle="1" w:styleId="Char2">
    <w:name w:val="页眉 Char"/>
    <w:link w:val="a6"/>
    <w:qFormat/>
    <w:rPr>
      <w:rFonts w:eastAsia="Arial"/>
      <w:snapToGrid w:val="0"/>
      <w:color w:val="000000"/>
      <w:sz w:val="18"/>
      <w:szCs w:val="18"/>
    </w:rPr>
  </w:style>
  <w:style w:type="character" w:customStyle="1" w:styleId="Char4">
    <w:name w:val="批注主题 Char"/>
    <w:link w:val="a8"/>
    <w:qFormat/>
    <w:rPr>
      <w:b/>
      <w:bCs/>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11">
    <w:name w:val="列出段落11"/>
    <w:basedOn w:val="a"/>
    <w:qFormat/>
    <w:pPr>
      <w:ind w:firstLine="420"/>
    </w:pPr>
    <w:rPr>
      <w:rFonts w:ascii="Calibri" w:hAnsi="Calibri"/>
      <w:szCs w:val="22"/>
    </w:rPr>
  </w:style>
  <w:style w:type="character" w:customStyle="1" w:styleId="1Char">
    <w:name w:val="标题 1 Char"/>
    <w:basedOn w:val="a0"/>
    <w:link w:val="1"/>
    <w:qFormat/>
    <w:rPr>
      <w:rFonts w:eastAsia="方正黑体_GBK"/>
      <w:bCs/>
      <w:snapToGrid w:val="0"/>
      <w:color w:val="000000"/>
      <w:spacing w:val="12"/>
      <w:kern w:val="44"/>
      <w:sz w:val="32"/>
      <w:szCs w:val="44"/>
    </w:rPr>
  </w:style>
  <w:style w:type="character" w:customStyle="1" w:styleId="2Char">
    <w:name w:val="标题 2 Char"/>
    <w:basedOn w:val="a0"/>
    <w:link w:val="2"/>
    <w:qFormat/>
    <w:rPr>
      <w:rFonts w:asciiTheme="majorHAnsi" w:eastAsia="方正楷体_GBK" w:hAnsiTheme="majorHAnsi" w:cstheme="majorBidi"/>
      <w:bCs/>
      <w:snapToGrid w:val="0"/>
      <w:color w:val="000000"/>
      <w:spacing w:val="12"/>
      <w:sz w:val="32"/>
      <w:szCs w:val="32"/>
    </w:rPr>
  </w:style>
  <w:style w:type="character" w:customStyle="1" w:styleId="Char3">
    <w:name w:val="标题 Char"/>
    <w:basedOn w:val="a0"/>
    <w:link w:val="a7"/>
    <w:qFormat/>
    <w:rPr>
      <w:rFonts w:ascii="方正小标宋_GBK" w:eastAsia="方正小标宋_GBK" w:hAnsi="方正小标宋_GBK" w:cs="方正小标宋_GBK"/>
      <w:snapToGrid w:val="0"/>
      <w:color w:val="000000"/>
      <w:spacing w:val="-6"/>
      <w:sz w:val="44"/>
      <w:szCs w:val="44"/>
    </w:rPr>
  </w:style>
  <w:style w:type="character" w:customStyle="1" w:styleId="3Char">
    <w:name w:val="标题 3 Char"/>
    <w:basedOn w:val="a0"/>
    <w:link w:val="3"/>
    <w:qFormat/>
    <w:rPr>
      <w:rFonts w:eastAsia="方正仿宋_GBK"/>
      <w:b/>
      <w:bCs/>
      <w:snapToGrid w:val="0"/>
      <w:color w:val="000000"/>
      <w:spacing w:val="12"/>
      <w:sz w:val="32"/>
      <w:szCs w:val="32"/>
    </w:rPr>
  </w:style>
  <w:style w:type="character" w:customStyle="1" w:styleId="4Char">
    <w:name w:val="标题 4 Char"/>
    <w:basedOn w:val="a0"/>
    <w:link w:val="4"/>
    <w:qFormat/>
    <w:rPr>
      <w:rFonts w:asciiTheme="majorHAnsi" w:eastAsiaTheme="majorEastAsia" w:hAnsiTheme="majorHAnsi" w:cstheme="majorBidi"/>
      <w:b/>
      <w:bCs/>
      <w:snapToGrid w:val="0"/>
      <w:color w:val="000000"/>
      <w:spacing w:val="12"/>
      <w:sz w:val="28"/>
      <w:szCs w:val="28"/>
    </w:rPr>
  </w:style>
  <w:style w:type="paragraph" w:customStyle="1" w:styleId="TOC1">
    <w:name w:val="TOC 标题1"/>
    <w:basedOn w:val="1"/>
    <w:next w:val="a"/>
    <w:uiPriority w:val="39"/>
    <w:unhideWhenUsed/>
    <w:qFormat/>
    <w:pPr>
      <w:autoSpaceDE/>
      <w:autoSpaceDN/>
      <w:adjustRightInd/>
      <w:snapToGrid/>
      <w:spacing w:before="240" w:after="0" w:line="259" w:lineRule="auto"/>
      <w:ind w:firstLineChars="0" w:firstLine="0"/>
      <w:textAlignment w:val="auto"/>
      <w:outlineLvl w:val="9"/>
    </w:pPr>
    <w:rPr>
      <w:rFonts w:asciiTheme="majorHAnsi" w:eastAsiaTheme="majorEastAsia" w:hAnsiTheme="majorHAnsi" w:cstheme="majorBidi"/>
      <w:bCs w:val="0"/>
      <w:snapToGrid/>
      <w:color w:val="2F5496" w:themeColor="accent1" w:themeShade="BF"/>
      <w:spacing w:val="0"/>
      <w:kern w:val="0"/>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autoSpaceDE w:val="0"/>
      <w:autoSpaceDN w:val="0"/>
      <w:adjustRightInd w:val="0"/>
      <w:snapToGrid w:val="0"/>
      <w:spacing w:line="300" w:lineRule="auto"/>
      <w:ind w:firstLineChars="200" w:firstLine="660"/>
      <w:textAlignment w:val="baseline"/>
    </w:pPr>
    <w:rPr>
      <w:rFonts w:eastAsia="方正仿宋_GBK"/>
      <w:snapToGrid w:val="0"/>
      <w:color w:val="000000"/>
      <w:spacing w:val="12"/>
      <w:sz w:val="32"/>
      <w:szCs w:val="32"/>
    </w:rPr>
  </w:style>
  <w:style w:type="paragraph" w:styleId="1">
    <w:name w:val="heading 1"/>
    <w:basedOn w:val="a"/>
    <w:next w:val="a"/>
    <w:link w:val="1Char"/>
    <w:qFormat/>
    <w:pPr>
      <w:keepNext/>
      <w:keepLines/>
      <w:spacing w:after="120"/>
      <w:ind w:firstLine="200"/>
      <w:outlineLvl w:val="0"/>
    </w:pPr>
    <w:rPr>
      <w:rFonts w:eastAsia="方正黑体_GBK"/>
      <w:bCs/>
      <w:kern w:val="44"/>
      <w:szCs w:val="44"/>
    </w:rPr>
  </w:style>
  <w:style w:type="paragraph" w:styleId="2">
    <w:name w:val="heading 2"/>
    <w:basedOn w:val="a"/>
    <w:next w:val="a"/>
    <w:link w:val="2Char"/>
    <w:unhideWhenUsed/>
    <w:qFormat/>
    <w:pPr>
      <w:keepNext/>
      <w:keepLines/>
      <w:spacing w:after="120"/>
      <w:ind w:firstLine="200"/>
      <w:outlineLvl w:val="1"/>
    </w:pPr>
    <w:rPr>
      <w:rFonts w:asciiTheme="majorHAnsi" w:eastAsia="方正楷体_GBK" w:hAnsiTheme="majorHAnsi" w:cstheme="majorBidi"/>
      <w:bCs/>
    </w:rPr>
  </w:style>
  <w:style w:type="paragraph" w:styleId="3">
    <w:name w:val="heading 3"/>
    <w:basedOn w:val="a"/>
    <w:next w:val="a"/>
    <w:link w:val="3Char"/>
    <w:unhideWhenUsed/>
    <w:qFormat/>
    <w:pPr>
      <w:keepNext/>
      <w:keepLines/>
      <w:spacing w:before="260" w:after="260" w:line="416" w:lineRule="auto"/>
      <w:outlineLvl w:val="2"/>
    </w:pPr>
    <w:rPr>
      <w:b/>
      <w:bCs/>
    </w:rPr>
  </w:style>
  <w:style w:type="paragraph" w:styleId="4">
    <w:name w:val="heading 4"/>
    <w:basedOn w:val="a"/>
    <w:next w:val="a"/>
    <w:link w:val="4Char"/>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style>
  <w:style w:type="paragraph" w:styleId="a4">
    <w:name w:val="Balloon Text"/>
    <w:basedOn w:val="a"/>
    <w:link w:val="Char0"/>
    <w:qFormat/>
    <w:rPr>
      <w:sz w:val="18"/>
      <w:szCs w:val="18"/>
    </w:rPr>
  </w:style>
  <w:style w:type="paragraph" w:styleId="a5">
    <w:name w:val="footer"/>
    <w:basedOn w:val="a"/>
    <w:link w:val="Char1"/>
    <w:uiPriority w:val="99"/>
    <w:qFormat/>
    <w:pPr>
      <w:tabs>
        <w:tab w:val="center" w:pos="4153"/>
        <w:tab w:val="right" w:pos="8306"/>
      </w:tabs>
    </w:pPr>
    <w:rPr>
      <w:sz w:val="18"/>
      <w:szCs w:val="18"/>
    </w:rPr>
  </w:style>
  <w:style w:type="paragraph" w:styleId="a6">
    <w:name w:val="header"/>
    <w:basedOn w:val="a"/>
    <w:link w:val="Char2"/>
    <w:qFormat/>
    <w:pPr>
      <w:pBdr>
        <w:bottom w:val="single" w:sz="6" w:space="1" w:color="auto"/>
      </w:pBdr>
      <w:tabs>
        <w:tab w:val="center" w:pos="4153"/>
        <w:tab w:val="right" w:pos="8306"/>
      </w:tabs>
      <w:jc w:val="center"/>
    </w:pPr>
    <w:rPr>
      <w:sz w:val="18"/>
      <w:szCs w:val="18"/>
    </w:rPr>
  </w:style>
  <w:style w:type="paragraph" w:styleId="10">
    <w:name w:val="toc 1"/>
    <w:basedOn w:val="a"/>
    <w:next w:val="a"/>
    <w:autoRedefine/>
    <w:uiPriority w:val="39"/>
    <w:qFormat/>
  </w:style>
  <w:style w:type="paragraph" w:styleId="20">
    <w:name w:val="toc 2"/>
    <w:basedOn w:val="a"/>
    <w:next w:val="a"/>
    <w:autoRedefine/>
    <w:uiPriority w:val="39"/>
    <w:pPr>
      <w:ind w:leftChars="200" w:left="420"/>
    </w:pPr>
  </w:style>
  <w:style w:type="paragraph" w:styleId="a7">
    <w:name w:val="Title"/>
    <w:basedOn w:val="a"/>
    <w:next w:val="a"/>
    <w:link w:val="Char3"/>
    <w:qFormat/>
    <w:pPr>
      <w:spacing w:before="140"/>
      <w:ind w:left="425" w:right="23" w:firstLineChars="0" w:firstLine="0"/>
      <w:jc w:val="center"/>
    </w:pPr>
    <w:rPr>
      <w:rFonts w:ascii="方正小标宋_GBK" w:eastAsia="方正小标宋_GBK" w:hAnsi="方正小标宋_GBK" w:cs="方正小标宋_GBK"/>
      <w:spacing w:val="-6"/>
      <w:sz w:val="44"/>
      <w:szCs w:val="44"/>
    </w:rPr>
  </w:style>
  <w:style w:type="paragraph" w:styleId="a8">
    <w:name w:val="annotation subject"/>
    <w:basedOn w:val="a3"/>
    <w:next w:val="a3"/>
    <w:link w:val="Char4"/>
    <w:qFormat/>
    <w:rPr>
      <w:b/>
      <w:bCs/>
    </w:rPr>
  </w:style>
  <w:style w:type="table" w:styleId="a9">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Pr>
      <w:color w:val="0563C1" w:themeColor="hyperlink"/>
      <w:u w:val="single"/>
    </w:rPr>
  </w:style>
  <w:style w:type="character" w:styleId="ab">
    <w:name w:val="annotation reference"/>
    <w:qFormat/>
    <w:rPr>
      <w:sz w:val="21"/>
      <w:szCs w:val="21"/>
    </w:rPr>
  </w:style>
  <w:style w:type="character" w:customStyle="1" w:styleId="Char">
    <w:name w:val="批注文字 Char"/>
    <w:link w:val="a3"/>
    <w:qFormat/>
    <w:rPr>
      <w:rFonts w:eastAsia="Arial"/>
      <w:snapToGrid w:val="0"/>
      <w:color w:val="000000"/>
      <w:sz w:val="21"/>
      <w:szCs w:val="21"/>
    </w:rPr>
  </w:style>
  <w:style w:type="character" w:customStyle="1" w:styleId="Char0">
    <w:name w:val="批注框文本 Char"/>
    <w:link w:val="a4"/>
    <w:qFormat/>
    <w:rPr>
      <w:rFonts w:eastAsia="Arial"/>
      <w:snapToGrid w:val="0"/>
      <w:color w:val="000000"/>
      <w:sz w:val="18"/>
      <w:szCs w:val="18"/>
    </w:rPr>
  </w:style>
  <w:style w:type="character" w:customStyle="1" w:styleId="Char1">
    <w:name w:val="页脚 Char"/>
    <w:link w:val="a5"/>
    <w:uiPriority w:val="99"/>
    <w:qFormat/>
    <w:rPr>
      <w:rFonts w:eastAsia="Arial"/>
      <w:snapToGrid w:val="0"/>
      <w:color w:val="000000"/>
      <w:sz w:val="18"/>
      <w:szCs w:val="18"/>
    </w:rPr>
  </w:style>
  <w:style w:type="character" w:customStyle="1" w:styleId="Char2">
    <w:name w:val="页眉 Char"/>
    <w:link w:val="a6"/>
    <w:qFormat/>
    <w:rPr>
      <w:rFonts w:eastAsia="Arial"/>
      <w:snapToGrid w:val="0"/>
      <w:color w:val="000000"/>
      <w:sz w:val="18"/>
      <w:szCs w:val="18"/>
    </w:rPr>
  </w:style>
  <w:style w:type="character" w:customStyle="1" w:styleId="Char4">
    <w:name w:val="批注主题 Char"/>
    <w:link w:val="a8"/>
    <w:qFormat/>
    <w:rPr>
      <w:b/>
      <w:bCs/>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11">
    <w:name w:val="列出段落11"/>
    <w:basedOn w:val="a"/>
    <w:qFormat/>
    <w:pPr>
      <w:ind w:firstLine="420"/>
    </w:pPr>
    <w:rPr>
      <w:rFonts w:ascii="Calibri" w:hAnsi="Calibri"/>
      <w:szCs w:val="22"/>
    </w:rPr>
  </w:style>
  <w:style w:type="character" w:customStyle="1" w:styleId="1Char">
    <w:name w:val="标题 1 Char"/>
    <w:basedOn w:val="a0"/>
    <w:link w:val="1"/>
    <w:qFormat/>
    <w:rPr>
      <w:rFonts w:eastAsia="方正黑体_GBK"/>
      <w:bCs/>
      <w:snapToGrid w:val="0"/>
      <w:color w:val="000000"/>
      <w:spacing w:val="12"/>
      <w:kern w:val="44"/>
      <w:sz w:val="32"/>
      <w:szCs w:val="44"/>
    </w:rPr>
  </w:style>
  <w:style w:type="character" w:customStyle="1" w:styleId="2Char">
    <w:name w:val="标题 2 Char"/>
    <w:basedOn w:val="a0"/>
    <w:link w:val="2"/>
    <w:qFormat/>
    <w:rPr>
      <w:rFonts w:asciiTheme="majorHAnsi" w:eastAsia="方正楷体_GBK" w:hAnsiTheme="majorHAnsi" w:cstheme="majorBidi"/>
      <w:bCs/>
      <w:snapToGrid w:val="0"/>
      <w:color w:val="000000"/>
      <w:spacing w:val="12"/>
      <w:sz w:val="32"/>
      <w:szCs w:val="32"/>
    </w:rPr>
  </w:style>
  <w:style w:type="character" w:customStyle="1" w:styleId="Char3">
    <w:name w:val="标题 Char"/>
    <w:basedOn w:val="a0"/>
    <w:link w:val="a7"/>
    <w:qFormat/>
    <w:rPr>
      <w:rFonts w:ascii="方正小标宋_GBK" w:eastAsia="方正小标宋_GBK" w:hAnsi="方正小标宋_GBK" w:cs="方正小标宋_GBK"/>
      <w:snapToGrid w:val="0"/>
      <w:color w:val="000000"/>
      <w:spacing w:val="-6"/>
      <w:sz w:val="44"/>
      <w:szCs w:val="44"/>
    </w:rPr>
  </w:style>
  <w:style w:type="character" w:customStyle="1" w:styleId="3Char">
    <w:name w:val="标题 3 Char"/>
    <w:basedOn w:val="a0"/>
    <w:link w:val="3"/>
    <w:qFormat/>
    <w:rPr>
      <w:rFonts w:eastAsia="方正仿宋_GBK"/>
      <w:b/>
      <w:bCs/>
      <w:snapToGrid w:val="0"/>
      <w:color w:val="000000"/>
      <w:spacing w:val="12"/>
      <w:sz w:val="32"/>
      <w:szCs w:val="32"/>
    </w:rPr>
  </w:style>
  <w:style w:type="character" w:customStyle="1" w:styleId="4Char">
    <w:name w:val="标题 4 Char"/>
    <w:basedOn w:val="a0"/>
    <w:link w:val="4"/>
    <w:qFormat/>
    <w:rPr>
      <w:rFonts w:asciiTheme="majorHAnsi" w:eastAsiaTheme="majorEastAsia" w:hAnsiTheme="majorHAnsi" w:cstheme="majorBidi"/>
      <w:b/>
      <w:bCs/>
      <w:snapToGrid w:val="0"/>
      <w:color w:val="000000"/>
      <w:spacing w:val="12"/>
      <w:sz w:val="28"/>
      <w:szCs w:val="28"/>
    </w:rPr>
  </w:style>
  <w:style w:type="paragraph" w:customStyle="1" w:styleId="TOC1">
    <w:name w:val="TOC 标题1"/>
    <w:basedOn w:val="1"/>
    <w:next w:val="a"/>
    <w:uiPriority w:val="39"/>
    <w:unhideWhenUsed/>
    <w:qFormat/>
    <w:pPr>
      <w:autoSpaceDE/>
      <w:autoSpaceDN/>
      <w:adjustRightInd/>
      <w:snapToGrid/>
      <w:spacing w:before="240" w:after="0" w:line="259" w:lineRule="auto"/>
      <w:ind w:firstLineChars="0" w:firstLine="0"/>
      <w:textAlignment w:val="auto"/>
      <w:outlineLvl w:val="9"/>
    </w:pPr>
    <w:rPr>
      <w:rFonts w:asciiTheme="majorHAnsi" w:eastAsiaTheme="majorEastAsia" w:hAnsiTheme="majorHAnsi" w:cstheme="majorBidi"/>
      <w:bCs w:val="0"/>
      <w:snapToGrid/>
      <w:color w:val="2F5496" w:themeColor="accent1" w:themeShade="BF"/>
      <w:spacing w:val="0"/>
      <w:kern w:val="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5702C-C6B3-4F68-BD2B-A6F9A1DAE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1371</Words>
  <Characters>7817</Characters>
  <Application>Microsoft Office Word</Application>
  <DocSecurity>0</DocSecurity>
  <Lines>65</Lines>
  <Paragraphs>18</Paragraphs>
  <ScaleCrop>false</ScaleCrop>
  <Company/>
  <LinksUpToDate>false</LinksUpToDate>
  <CharactersWithSpaces>9170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南京市2023年秸秆机械化还田项目专项资金绩效自评价报告</dc:title>
  <dc:creator>Microsoft</dc:creator>
  <cp:lastModifiedBy>lenovo1</cp:lastModifiedBy>
  <cp:revision>8</cp:revision>
  <cp:lastPrinted>2026-06-17T06:01:00Z</cp:lastPrinted>
  <dcterms:created xsi:type="dcterms:W3CDTF">2026-06-30T08:17:00Z</dcterms:created>
  <dcterms:modified xsi:type="dcterms:W3CDTF">2026-06-30T08:50:00Z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2022-06-29T18:56:15Z</vt:filetime>
  </property>
  <property fmtid="{D5CDD505-2E9C-101B-9397-08002B2CF9AE}" pid="4" name="KSOProductBuildVer">
    <vt:lpwstr>2052-12.1.0.26895</vt:lpwstr>
  </property>
  <property fmtid="{D5CDD505-2E9C-101B-9397-08002B2CF9AE}" pid="5" name="ICV">
    <vt:lpwstr>D4E2100DECB546C796DFB6DCF6E13A3F_13</vt:lpwstr>
  </property>
  <property fmtid="{D5CDD505-2E9C-101B-9397-08002B2CF9AE}" pid="6" name="KSOTemplateDocerSaveRecord">
    <vt:lpwstr>eyJoZGlkIjoiODhiMzhlYmY5MDQ3MzIyYjU4OTZjYTEwNzc5YzdlNzciLCJ1c2VySWQiOiIzMjk4NDcwNzEifQ==</vt:lpwstr>
  </property>
</Properties>
</file>