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2C3" w:rsidRDefault="007662C3">
      <w:pPr>
        <w:spacing w:line="720" w:lineRule="auto"/>
        <w:rPr>
          <w:rFonts w:ascii="华文仿宋" w:eastAsia="华文仿宋" w:hAnsi="华文仿宋" w:cs="华文仿宋"/>
          <w:b/>
          <w:sz w:val="32"/>
          <w:szCs w:val="32"/>
        </w:rPr>
      </w:pPr>
    </w:p>
    <w:p w:rsidR="007662C3" w:rsidRDefault="00D05E05">
      <w:pPr>
        <w:widowControl/>
        <w:spacing w:line="560" w:lineRule="exact"/>
        <w:jc w:val="center"/>
        <w:rPr>
          <w:rFonts w:ascii="黑体" w:eastAsia="黑体" w:hAnsi="黑体" w:cs="宋体"/>
          <w:color w:val="000000"/>
          <w:kern w:val="0"/>
          <w:sz w:val="44"/>
          <w:szCs w:val="44"/>
        </w:rPr>
      </w:pPr>
      <w:r>
        <w:rPr>
          <w:rFonts w:ascii="黑体" w:eastAsia="黑体" w:hAnsi="黑体" w:cs="宋体" w:hint="eastAsia"/>
          <w:color w:val="000000"/>
          <w:kern w:val="0"/>
          <w:sz w:val="44"/>
          <w:szCs w:val="44"/>
        </w:rPr>
        <w:t>2025年度南京市农业农村局衔接推进乡村</w:t>
      </w:r>
    </w:p>
    <w:p w:rsidR="007662C3" w:rsidRDefault="00D05E05">
      <w:pPr>
        <w:widowControl/>
        <w:spacing w:line="560" w:lineRule="exact"/>
        <w:jc w:val="center"/>
        <w:rPr>
          <w:rFonts w:ascii="黑体" w:eastAsia="黑体" w:hAnsi="黑体" w:cs="宋体"/>
          <w:color w:val="000000"/>
          <w:kern w:val="0"/>
          <w:sz w:val="44"/>
          <w:szCs w:val="44"/>
        </w:rPr>
      </w:pPr>
      <w:r>
        <w:rPr>
          <w:rFonts w:ascii="黑体" w:eastAsia="黑体" w:hAnsi="黑体" w:cs="宋体" w:hint="eastAsia"/>
          <w:color w:val="000000"/>
          <w:kern w:val="0"/>
          <w:sz w:val="44"/>
          <w:szCs w:val="44"/>
        </w:rPr>
        <w:t>振兴补助资金绩效评价报告</w:t>
      </w:r>
    </w:p>
    <w:p w:rsidR="007662C3" w:rsidRDefault="007662C3">
      <w:pPr>
        <w:spacing w:line="560" w:lineRule="exact"/>
        <w:jc w:val="center"/>
        <w:rPr>
          <w:rFonts w:ascii="黑体" w:eastAsia="黑体" w:hAnsi="黑体" w:cs="黑体"/>
          <w:b/>
          <w:sz w:val="36"/>
          <w:szCs w:val="36"/>
        </w:rPr>
      </w:pPr>
    </w:p>
    <w:p w:rsidR="007662C3" w:rsidRDefault="007662C3">
      <w:pPr>
        <w:spacing w:line="560" w:lineRule="exact"/>
        <w:jc w:val="center"/>
        <w:rPr>
          <w:rFonts w:ascii="黑体" w:eastAsia="黑体" w:hAnsi="黑体" w:cs="黑体"/>
          <w:b/>
          <w:sz w:val="36"/>
          <w:szCs w:val="36"/>
        </w:rPr>
      </w:pPr>
    </w:p>
    <w:p w:rsidR="007662C3" w:rsidRDefault="007662C3">
      <w:pPr>
        <w:spacing w:line="560" w:lineRule="exact"/>
        <w:jc w:val="center"/>
        <w:rPr>
          <w:rFonts w:ascii="黑体" w:eastAsia="黑体" w:hAnsi="黑体" w:cs="黑体"/>
          <w:b/>
          <w:sz w:val="36"/>
          <w:szCs w:val="36"/>
        </w:rPr>
      </w:pPr>
    </w:p>
    <w:p w:rsidR="007662C3" w:rsidRDefault="007662C3">
      <w:pPr>
        <w:spacing w:line="560" w:lineRule="exact"/>
        <w:jc w:val="center"/>
        <w:rPr>
          <w:rFonts w:ascii="黑体" w:eastAsia="黑体" w:hAnsi="黑体" w:cs="黑体"/>
          <w:b/>
          <w:sz w:val="36"/>
          <w:szCs w:val="36"/>
        </w:rPr>
      </w:pPr>
    </w:p>
    <w:p w:rsidR="007662C3" w:rsidRDefault="007662C3">
      <w:pPr>
        <w:spacing w:line="560" w:lineRule="exact"/>
        <w:jc w:val="center"/>
        <w:rPr>
          <w:rFonts w:ascii="黑体" w:eastAsia="黑体" w:hAnsi="黑体" w:cs="黑体"/>
          <w:b/>
          <w:sz w:val="36"/>
          <w:szCs w:val="36"/>
        </w:rPr>
      </w:pPr>
    </w:p>
    <w:p w:rsidR="007662C3" w:rsidRDefault="007662C3">
      <w:pPr>
        <w:spacing w:line="560" w:lineRule="exact"/>
        <w:jc w:val="center"/>
        <w:rPr>
          <w:rFonts w:ascii="黑体" w:eastAsia="黑体" w:hAnsi="黑体" w:cs="黑体"/>
          <w:b/>
          <w:sz w:val="36"/>
          <w:szCs w:val="36"/>
        </w:rPr>
      </w:pPr>
    </w:p>
    <w:p w:rsidR="007662C3" w:rsidRDefault="007662C3">
      <w:pPr>
        <w:spacing w:beforeAutospacing="1" w:afterAutospacing="1"/>
        <w:jc w:val="left"/>
        <w:rPr>
          <w:rFonts w:ascii="宋体" w:eastAsia="宋体" w:hAnsi="宋体" w:cs="Times New Roman"/>
          <w:b/>
          <w:bCs/>
          <w:kern w:val="44"/>
          <w:sz w:val="48"/>
          <w:szCs w:val="48"/>
        </w:rPr>
      </w:pPr>
    </w:p>
    <w:p w:rsidR="007662C3" w:rsidRDefault="007662C3">
      <w:pPr>
        <w:rPr>
          <w:rFonts w:ascii="Times New Roman" w:eastAsia="宋体" w:hAnsi="Times New Roman" w:cs="Times New Roman"/>
          <w:szCs w:val="20"/>
        </w:rPr>
      </w:pPr>
    </w:p>
    <w:p w:rsidR="007662C3" w:rsidRDefault="007662C3">
      <w:pPr>
        <w:rPr>
          <w:rFonts w:ascii="Times New Roman" w:eastAsia="宋体" w:hAnsi="Times New Roman" w:cs="Times New Roman"/>
          <w:szCs w:val="20"/>
        </w:rPr>
      </w:pPr>
    </w:p>
    <w:p w:rsidR="007662C3" w:rsidRDefault="007662C3">
      <w:pPr>
        <w:spacing w:line="560" w:lineRule="exact"/>
        <w:jc w:val="center"/>
        <w:rPr>
          <w:rFonts w:ascii="黑体" w:eastAsia="黑体" w:hAnsi="黑体" w:cs="黑体"/>
          <w:b/>
          <w:sz w:val="36"/>
          <w:szCs w:val="36"/>
        </w:rPr>
      </w:pPr>
    </w:p>
    <w:p w:rsidR="007662C3" w:rsidRDefault="007662C3">
      <w:pPr>
        <w:spacing w:line="560" w:lineRule="exact"/>
        <w:jc w:val="center"/>
        <w:rPr>
          <w:rFonts w:ascii="黑体" w:eastAsia="黑体" w:hAnsi="黑体" w:cs="黑体"/>
          <w:b/>
          <w:sz w:val="36"/>
          <w:szCs w:val="36"/>
        </w:rPr>
      </w:pPr>
    </w:p>
    <w:p w:rsidR="007662C3" w:rsidRDefault="00D05E05">
      <w:pPr>
        <w:spacing w:line="560" w:lineRule="exact"/>
        <w:ind w:leftChars="710" w:left="2991" w:hangingChars="500" w:hanging="1500"/>
        <w:rPr>
          <w:rFonts w:ascii="黑体" w:eastAsia="黑体" w:hAnsi="黑体" w:cs="黑体"/>
          <w:sz w:val="30"/>
          <w:szCs w:val="30"/>
        </w:rPr>
      </w:pPr>
      <w:r>
        <w:rPr>
          <w:rFonts w:ascii="黑体" w:eastAsia="黑体" w:hAnsi="黑体" w:cs="黑体" w:hint="eastAsia"/>
          <w:sz w:val="30"/>
          <w:szCs w:val="30"/>
        </w:rPr>
        <w:t>项目名称：2025年南京市衔接推进乡村振兴补助</w:t>
      </w:r>
    </w:p>
    <w:p w:rsidR="007662C3" w:rsidRDefault="00D05E05">
      <w:pPr>
        <w:spacing w:line="560" w:lineRule="exact"/>
        <w:ind w:firstLineChars="500" w:firstLine="1500"/>
        <w:rPr>
          <w:rFonts w:ascii="黑体" w:eastAsia="黑体" w:hAnsi="黑体" w:cs="黑体"/>
          <w:sz w:val="30"/>
          <w:szCs w:val="30"/>
        </w:rPr>
      </w:pPr>
      <w:r>
        <w:rPr>
          <w:rFonts w:ascii="黑体" w:eastAsia="黑体" w:hAnsi="黑体" w:cs="黑体" w:hint="eastAsia"/>
          <w:sz w:val="30"/>
          <w:szCs w:val="30"/>
        </w:rPr>
        <w:t>主管单位：南京市农业农村局</w:t>
      </w:r>
    </w:p>
    <w:p w:rsidR="007662C3" w:rsidRDefault="007662C3">
      <w:pPr>
        <w:spacing w:line="560" w:lineRule="exact"/>
        <w:ind w:left="420"/>
        <w:jc w:val="center"/>
        <w:rPr>
          <w:rFonts w:ascii="黑体" w:eastAsia="黑体" w:hAnsi="黑体" w:cs="黑体"/>
          <w:color w:val="000000"/>
          <w:sz w:val="30"/>
          <w:szCs w:val="30"/>
        </w:rPr>
      </w:pPr>
    </w:p>
    <w:p w:rsidR="007662C3" w:rsidRDefault="007662C3">
      <w:pPr>
        <w:spacing w:line="560" w:lineRule="exact"/>
        <w:ind w:left="420"/>
        <w:jc w:val="center"/>
        <w:rPr>
          <w:rFonts w:ascii="黑体" w:eastAsia="黑体" w:hAnsi="黑体" w:cs="黑体"/>
          <w:color w:val="000000"/>
          <w:sz w:val="30"/>
          <w:szCs w:val="30"/>
        </w:rPr>
      </w:pPr>
    </w:p>
    <w:p w:rsidR="007662C3" w:rsidRDefault="007662C3">
      <w:pPr>
        <w:spacing w:line="560" w:lineRule="exact"/>
        <w:ind w:left="420"/>
        <w:jc w:val="center"/>
        <w:rPr>
          <w:rFonts w:ascii="黑体" w:eastAsia="黑体" w:hAnsi="黑体" w:cs="黑体"/>
          <w:color w:val="000000"/>
          <w:sz w:val="30"/>
          <w:szCs w:val="30"/>
        </w:rPr>
      </w:pPr>
    </w:p>
    <w:p w:rsidR="007662C3" w:rsidRDefault="007662C3">
      <w:pPr>
        <w:spacing w:line="560" w:lineRule="exact"/>
        <w:ind w:left="420"/>
        <w:jc w:val="center"/>
        <w:rPr>
          <w:rFonts w:ascii="黑体" w:eastAsia="黑体" w:hAnsi="黑体" w:cs="黑体"/>
          <w:color w:val="000000"/>
          <w:sz w:val="30"/>
          <w:szCs w:val="30"/>
        </w:rPr>
      </w:pPr>
    </w:p>
    <w:p w:rsidR="007662C3" w:rsidRDefault="00D05E05">
      <w:pPr>
        <w:spacing w:line="560" w:lineRule="exact"/>
        <w:jc w:val="center"/>
        <w:rPr>
          <w:rFonts w:ascii="黑体" w:eastAsia="黑体" w:hAnsi="黑体" w:cs="黑体"/>
          <w:sz w:val="30"/>
          <w:szCs w:val="30"/>
        </w:rPr>
      </w:pPr>
      <w:r>
        <w:rPr>
          <w:rFonts w:ascii="黑体" w:eastAsia="黑体" w:hAnsi="黑体" w:cs="黑体" w:hint="eastAsia"/>
          <w:sz w:val="30"/>
          <w:szCs w:val="30"/>
        </w:rPr>
        <w:t>2026年6月</w:t>
      </w:r>
    </w:p>
    <w:p w:rsidR="007662C3" w:rsidRDefault="007662C3">
      <w:pPr>
        <w:jc w:val="center"/>
        <w:rPr>
          <w:rFonts w:ascii="宋体" w:eastAsia="宋体" w:hAnsi="宋体" w:cs="Times New Roman"/>
          <w:szCs w:val="20"/>
        </w:rPr>
      </w:pPr>
    </w:p>
    <w:p w:rsidR="007662C3" w:rsidRDefault="007662C3">
      <w:pPr>
        <w:jc w:val="center"/>
        <w:rPr>
          <w:rFonts w:ascii="仿宋" w:eastAsia="仿宋" w:hAnsi="仿宋" w:cs="仿宋"/>
          <w:b/>
          <w:bCs/>
          <w:sz w:val="32"/>
          <w:szCs w:val="32"/>
        </w:rPr>
      </w:pPr>
    </w:p>
    <w:p w:rsidR="007662C3" w:rsidRDefault="007662C3">
      <w:pPr>
        <w:tabs>
          <w:tab w:val="right" w:leader="dot" w:pos="8312"/>
        </w:tabs>
        <w:spacing w:line="360" w:lineRule="auto"/>
        <w:jc w:val="center"/>
        <w:rPr>
          <w:rFonts w:ascii="仿宋" w:eastAsia="仿宋" w:hAnsi="仿宋" w:cs="仿宋"/>
          <w:b/>
          <w:sz w:val="32"/>
          <w:szCs w:val="32"/>
        </w:rPr>
      </w:pPr>
    </w:p>
    <w:p w:rsidR="007662C3" w:rsidRDefault="00D05E05">
      <w:pPr>
        <w:spacing w:line="560" w:lineRule="exact"/>
        <w:jc w:val="center"/>
        <w:outlineLvl w:val="0"/>
        <w:rPr>
          <w:rFonts w:ascii="方正小标宋简体" w:eastAsia="方正小标宋简体" w:hAnsi="仿宋" w:cs="仿宋"/>
          <w:bCs/>
          <w:sz w:val="44"/>
          <w:szCs w:val="44"/>
        </w:rPr>
      </w:pPr>
      <w:bookmarkStart w:id="0" w:name="_Toc12281"/>
      <w:bookmarkStart w:id="1" w:name="_Toc17733"/>
      <w:bookmarkStart w:id="2" w:name="_Toc23052"/>
      <w:r>
        <w:rPr>
          <w:rFonts w:ascii="方正小标宋简体" w:eastAsia="方正小标宋简体" w:hAnsi="仿宋" w:cs="仿宋" w:hint="eastAsia"/>
          <w:bCs/>
          <w:sz w:val="44"/>
          <w:szCs w:val="44"/>
        </w:rPr>
        <w:lastRenderedPageBreak/>
        <w:t>2025年度南京市农业农村局衔接推进乡村</w:t>
      </w:r>
    </w:p>
    <w:p w:rsidR="007662C3" w:rsidRDefault="00D05E05">
      <w:pPr>
        <w:spacing w:line="560" w:lineRule="exact"/>
        <w:jc w:val="center"/>
        <w:outlineLvl w:val="0"/>
        <w:rPr>
          <w:rFonts w:ascii="方正小标宋简体" w:eastAsia="方正小标宋简体" w:hAnsi="仿宋" w:cs="仿宋"/>
          <w:bCs/>
          <w:sz w:val="44"/>
          <w:szCs w:val="44"/>
        </w:rPr>
      </w:pPr>
      <w:r>
        <w:rPr>
          <w:rFonts w:ascii="方正小标宋简体" w:eastAsia="方正小标宋简体" w:hAnsi="仿宋" w:cs="仿宋" w:hint="eastAsia"/>
          <w:bCs/>
          <w:sz w:val="44"/>
          <w:szCs w:val="44"/>
        </w:rPr>
        <w:t>振兴补助评价报告</w:t>
      </w:r>
      <w:bookmarkEnd w:id="0"/>
      <w:bookmarkEnd w:id="1"/>
      <w:bookmarkEnd w:id="2"/>
    </w:p>
    <w:p w:rsidR="007662C3" w:rsidRDefault="007662C3">
      <w:pPr>
        <w:spacing w:line="560" w:lineRule="exact"/>
        <w:ind w:firstLineChars="200" w:firstLine="640"/>
        <w:rPr>
          <w:rFonts w:ascii="仿宋_GB2312" w:eastAsia="仿宋_GB2312" w:hAnsi="仿宋" w:cs="仿宋"/>
          <w:sz w:val="32"/>
          <w:szCs w:val="32"/>
        </w:rPr>
      </w:pPr>
    </w:p>
    <w:p w:rsidR="007662C3" w:rsidRDefault="00D05E05">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为完善公共财政体系，推进财政预算科学化、精细化，提高财政支出资金安排的科学性和合理性，提高财政资金的使用绩效和部门管理水平，南京</w:t>
      </w:r>
      <w:proofErr w:type="gramStart"/>
      <w:r>
        <w:rPr>
          <w:rFonts w:ascii="仿宋_GB2312" w:eastAsia="仿宋_GB2312" w:hAnsi="仿宋" w:cs="仿宋" w:hint="eastAsia"/>
          <w:sz w:val="32"/>
          <w:szCs w:val="32"/>
        </w:rPr>
        <w:t>新合源会计师</w:t>
      </w:r>
      <w:proofErr w:type="gramEnd"/>
      <w:r>
        <w:rPr>
          <w:rFonts w:ascii="仿宋_GB2312" w:eastAsia="仿宋_GB2312" w:hAnsi="仿宋" w:cs="仿宋" w:hint="eastAsia"/>
          <w:sz w:val="32"/>
          <w:szCs w:val="32"/>
        </w:rPr>
        <w:t>事务所受南京市农业农村局委托，对2025年市级衔接推进乡村振兴补助资金项目实施绩效评价，</w:t>
      </w:r>
      <w:r>
        <w:rPr>
          <w:rFonts w:ascii="仿宋_GB2312" w:eastAsia="仿宋_GB2312" w:hAnsi="仿宋" w:cs="仿宋"/>
          <w:sz w:val="32"/>
          <w:szCs w:val="32"/>
        </w:rPr>
        <w:t>通过</w:t>
      </w:r>
      <w:r>
        <w:rPr>
          <w:rFonts w:ascii="仿宋_GB2312" w:eastAsia="仿宋_GB2312" w:hAnsi="仿宋" w:cs="仿宋" w:hint="eastAsia"/>
          <w:sz w:val="32"/>
          <w:szCs w:val="32"/>
        </w:rPr>
        <w:t>现场核查、资料查验、绩效打分等，从2025年市级衔接推进乡村振兴补助资金项目的决策、过程、产出和效益四个维度进行了客观、公正的评价，评价情况及结果如下。</w:t>
      </w:r>
    </w:p>
    <w:p w:rsidR="007662C3" w:rsidRDefault="00D05E05">
      <w:pPr>
        <w:adjustRightInd w:val="0"/>
        <w:snapToGrid w:val="0"/>
        <w:spacing w:line="560" w:lineRule="exact"/>
        <w:ind w:firstLineChars="200" w:firstLine="640"/>
        <w:outlineLvl w:val="0"/>
        <w:rPr>
          <w:rFonts w:ascii="黑体" w:eastAsia="黑体" w:hAnsi="黑体" w:cs="黑体"/>
          <w:sz w:val="32"/>
          <w:szCs w:val="32"/>
        </w:rPr>
      </w:pPr>
      <w:bookmarkStart w:id="3" w:name="_Toc6958"/>
      <w:bookmarkStart w:id="4" w:name="_Toc28932"/>
      <w:bookmarkStart w:id="5" w:name="_Toc5589"/>
      <w:r>
        <w:rPr>
          <w:rFonts w:ascii="黑体" w:eastAsia="黑体" w:hAnsi="黑体" w:cs="黑体" w:hint="eastAsia"/>
          <w:sz w:val="32"/>
          <w:szCs w:val="32"/>
        </w:rPr>
        <w:t>一、</w:t>
      </w:r>
      <w:bookmarkEnd w:id="3"/>
      <w:r>
        <w:rPr>
          <w:rFonts w:ascii="黑体" w:eastAsia="黑体" w:hAnsi="黑体" w:cs="黑体" w:hint="eastAsia"/>
          <w:sz w:val="32"/>
          <w:szCs w:val="32"/>
        </w:rPr>
        <w:t>专项资金概况</w:t>
      </w:r>
      <w:bookmarkEnd w:id="4"/>
      <w:bookmarkEnd w:id="5"/>
    </w:p>
    <w:p w:rsidR="007662C3" w:rsidRDefault="00D05E05">
      <w:pPr>
        <w:adjustRightInd w:val="0"/>
        <w:snapToGrid w:val="0"/>
        <w:spacing w:line="560" w:lineRule="exact"/>
        <w:ind w:firstLineChars="200" w:firstLine="640"/>
        <w:outlineLvl w:val="1"/>
        <w:rPr>
          <w:rFonts w:ascii="楷体" w:eastAsia="楷体" w:hAnsi="楷体" w:cs="楷体"/>
          <w:sz w:val="32"/>
          <w:szCs w:val="32"/>
        </w:rPr>
      </w:pPr>
      <w:bookmarkStart w:id="6" w:name="_Toc28871"/>
      <w:bookmarkStart w:id="7" w:name="_Toc13454"/>
      <w:bookmarkStart w:id="8" w:name="_Toc30859"/>
      <w:r>
        <w:rPr>
          <w:rFonts w:ascii="楷体" w:eastAsia="楷体" w:hAnsi="楷体" w:cs="楷体" w:hint="eastAsia"/>
          <w:sz w:val="32"/>
          <w:szCs w:val="32"/>
        </w:rPr>
        <w:t>（一）</w:t>
      </w:r>
      <w:bookmarkEnd w:id="6"/>
      <w:r>
        <w:rPr>
          <w:rFonts w:ascii="楷体" w:eastAsia="楷体" w:hAnsi="楷体" w:cs="楷体" w:hint="eastAsia"/>
          <w:sz w:val="32"/>
          <w:szCs w:val="32"/>
        </w:rPr>
        <w:t>基本情况</w:t>
      </w:r>
      <w:bookmarkEnd w:id="7"/>
      <w:bookmarkEnd w:id="8"/>
    </w:p>
    <w:p w:rsidR="007662C3" w:rsidRDefault="00D05E05">
      <w:pPr>
        <w:adjustRightInd w:val="0"/>
        <w:snapToGrid w:val="0"/>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1.专项资金立项背景及目的</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乡村振兴战略是新时代“三农”工作的总抓手，旨在实现农业农村现代化，促进农村经济社会全面发展。当前我国乡村振兴工作已经取得了标志性的显著成效，然而在不少农村地区，基础设施建设不完善、公共服务水平滞后、乡村产业发展动能不足仍是亟待破解的薄弱环节。为了实现巩固拓展脱贫攻坚成果同乡村振兴有效衔接，南京市农业农村局根据相关文件要求，投入市级衔接推进乡村振兴补助资金全面推进乡村振兴战略实施，加快补齐“三农”领域突出短板，千方百计推动农业增效益、农村增活力、农民增收入。</w:t>
      </w:r>
    </w:p>
    <w:p w:rsidR="007662C3" w:rsidRDefault="00D05E05">
      <w:pPr>
        <w:adjustRightInd w:val="0"/>
        <w:snapToGrid w:val="0"/>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2.主要内容</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市级衔接推进乡村振兴专项补助资金项目类型主要包括：重</w:t>
      </w:r>
      <w:r>
        <w:rPr>
          <w:rFonts w:ascii="仿宋" w:eastAsia="仿宋" w:hAnsi="仿宋" w:cs="仿宋" w:hint="eastAsia"/>
          <w:sz w:val="32"/>
          <w:szCs w:val="32"/>
        </w:rPr>
        <w:lastRenderedPageBreak/>
        <w:t>点片区关键工程、乡村振兴重点镇街（</w:t>
      </w:r>
      <w:proofErr w:type="gramStart"/>
      <w:r>
        <w:rPr>
          <w:rFonts w:ascii="仿宋" w:eastAsia="仿宋" w:hAnsi="仿宋" w:cs="仿宋" w:hint="eastAsia"/>
          <w:sz w:val="32"/>
          <w:szCs w:val="32"/>
        </w:rPr>
        <w:t>含支持镇</w:t>
      </w:r>
      <w:proofErr w:type="gramEnd"/>
      <w:r>
        <w:rPr>
          <w:rFonts w:ascii="仿宋" w:eastAsia="仿宋" w:hAnsi="仿宋" w:cs="仿宋" w:hint="eastAsia"/>
          <w:sz w:val="32"/>
          <w:szCs w:val="32"/>
        </w:rPr>
        <w:t>街、支持村社）等。根据《南京市财政衔接推进乡村振兴补助资金项目管理办法（试行）》（宁农</w:t>
      </w:r>
      <w:proofErr w:type="gramStart"/>
      <w:r>
        <w:rPr>
          <w:rFonts w:ascii="仿宋" w:eastAsia="仿宋" w:hAnsi="仿宋" w:cs="仿宋" w:hint="eastAsia"/>
          <w:sz w:val="32"/>
          <w:szCs w:val="32"/>
        </w:rPr>
        <w:t>规</w:t>
      </w:r>
      <w:proofErr w:type="gramEnd"/>
      <w:r>
        <w:rPr>
          <w:rFonts w:ascii="仿宋" w:eastAsia="仿宋" w:hAnsi="仿宋" w:cs="仿宋" w:hint="eastAsia"/>
          <w:sz w:val="32"/>
          <w:szCs w:val="32"/>
        </w:rPr>
        <w:t>〔2022〕1号），项目支持方向主要包括：支持重点片区高质量发展、支持乡村振兴重点帮促镇街高质量发展、支持巩固拓展脱贫攻坚成果同乡村振兴有效衔接的其他项目安排等。项目审批权限下放到区级，按照目标到区、任务到区、资金到区和权责到区的“四到区”要求，落实项目管理责任制。</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2025年度南京市市级衔接乡村振兴补助资金项目共有34个，各项</w:t>
      </w:r>
      <w:proofErr w:type="gramStart"/>
      <w:r>
        <w:rPr>
          <w:rFonts w:ascii="仿宋" w:eastAsia="仿宋" w:hAnsi="仿宋" w:cs="仿宋" w:hint="eastAsia"/>
          <w:sz w:val="32"/>
          <w:szCs w:val="32"/>
        </w:rPr>
        <w:t>目责任</w:t>
      </w:r>
      <w:proofErr w:type="gramEnd"/>
      <w:r>
        <w:rPr>
          <w:rFonts w:ascii="仿宋" w:eastAsia="仿宋" w:hAnsi="仿宋" w:cs="仿宋" w:hint="eastAsia"/>
          <w:sz w:val="32"/>
          <w:szCs w:val="32"/>
        </w:rPr>
        <w:t>单位高度重视，根据项目实施计划方案推进项目实施，其中有5个项目因招标流程滞后、开工时间晚、办理用地手续等原因导致项目进度滞后，其他29个项目均在规定时间内完工。</w:t>
      </w:r>
    </w:p>
    <w:p w:rsidR="007662C3" w:rsidRDefault="00D05E05">
      <w:pPr>
        <w:adjustRightInd w:val="0"/>
        <w:snapToGrid w:val="0"/>
        <w:spacing w:line="560" w:lineRule="exact"/>
        <w:ind w:firstLineChars="200" w:firstLine="640"/>
        <w:outlineLvl w:val="1"/>
        <w:rPr>
          <w:rFonts w:ascii="楷体" w:eastAsia="楷体" w:hAnsi="楷体" w:cs="楷体"/>
          <w:sz w:val="32"/>
          <w:szCs w:val="32"/>
        </w:rPr>
      </w:pPr>
      <w:bookmarkStart w:id="9" w:name="_Toc5006"/>
      <w:bookmarkStart w:id="10" w:name="_Toc4426"/>
      <w:bookmarkStart w:id="11" w:name="_Toc7336"/>
      <w:r>
        <w:rPr>
          <w:rFonts w:ascii="楷体" w:eastAsia="楷体" w:hAnsi="楷体" w:cs="楷体" w:hint="eastAsia"/>
          <w:sz w:val="32"/>
          <w:szCs w:val="32"/>
        </w:rPr>
        <w:t>（二）项目资金情况</w:t>
      </w:r>
      <w:bookmarkEnd w:id="9"/>
      <w:bookmarkEnd w:id="10"/>
      <w:bookmarkEnd w:id="11"/>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1.项目预算</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2025年市级衔接推进乡村振兴专项，预算安排补助资金共6404万元，实际到位资金为6404万元，用于江北新区、江宁、浦口、六合、溧水、高淳、栖霞7个区扶持重点片区关键工程项目、重点镇</w:t>
      </w:r>
      <w:proofErr w:type="gramStart"/>
      <w:r>
        <w:rPr>
          <w:rFonts w:ascii="仿宋" w:eastAsia="仿宋" w:hAnsi="仿宋" w:cs="仿宋" w:hint="eastAsia"/>
          <w:sz w:val="32"/>
          <w:szCs w:val="32"/>
        </w:rPr>
        <w:t>街项目</w:t>
      </w:r>
      <w:proofErr w:type="gramEnd"/>
      <w:r>
        <w:rPr>
          <w:rFonts w:ascii="仿宋" w:eastAsia="仿宋" w:hAnsi="仿宋" w:cs="仿宋" w:hint="eastAsia"/>
          <w:sz w:val="32"/>
          <w:szCs w:val="32"/>
        </w:rPr>
        <w:t>和村社项目。截至评价日，各区实际拨付至项目实施主体的市级衔接资金4635.94万元，全市资金到位率100%，预算执行率72.03%。</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2.项目资金来源及使用</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年4月7日，市农业农村局、市财政局《关于下达2025年第一批市级农业专项资金计划的通知》（宁农计(2025)6号），2025年11月5日，市农业农村局、市财政局《关于下达2025年第四批市级农业专项资金计划的通知》（宁农计(2025)44号），</w:t>
      </w:r>
      <w:r>
        <w:rPr>
          <w:rFonts w:ascii="仿宋" w:eastAsia="仿宋" w:hAnsi="仿宋" w:cs="仿宋" w:hint="eastAsia"/>
          <w:sz w:val="32"/>
          <w:szCs w:val="32"/>
        </w:rPr>
        <w:lastRenderedPageBreak/>
        <w:t>总计下拨2025年度市级衔接推进乡村振兴补助资金共6404万元，其中：江北新区140.40万元，江宁区840.40万元，浦口区540.40万元，</w:t>
      </w:r>
      <w:proofErr w:type="gramStart"/>
      <w:r>
        <w:rPr>
          <w:rFonts w:ascii="仿宋" w:eastAsia="仿宋" w:hAnsi="仿宋" w:cs="仿宋" w:hint="eastAsia"/>
          <w:sz w:val="32"/>
          <w:szCs w:val="32"/>
        </w:rPr>
        <w:t>六合区</w:t>
      </w:r>
      <w:proofErr w:type="gramEnd"/>
      <w:r>
        <w:rPr>
          <w:rFonts w:ascii="仿宋" w:eastAsia="仿宋" w:hAnsi="仿宋" w:cs="仿宋" w:hint="eastAsia"/>
          <w:sz w:val="32"/>
          <w:szCs w:val="32"/>
        </w:rPr>
        <w:t>1,780.80万元，溧水区990.40万元，高淳区1,921.20万元，栖霞区190.40万元。其中：重点片区关键工程项目，扶持10个镇街，安排补助资金共2000万元；重点镇街项目，扶持10个镇街，安排补助资金1404万元；村社项目，扶持60个村社，安排补助资金3000万元。各区根据市级下达资金额度，统筹各类扶持项目，共安排2025年度市级衔接资金项目34个，具体明细情况如下：</w:t>
      </w:r>
    </w:p>
    <w:p w:rsidR="007662C3" w:rsidRDefault="00D05E05">
      <w:pPr>
        <w:adjustRightInd w:val="0"/>
        <w:snapToGrid w:val="0"/>
        <w:spacing w:line="560" w:lineRule="exact"/>
        <w:jc w:val="center"/>
        <w:rPr>
          <w:rFonts w:ascii="仿宋" w:eastAsia="仿宋" w:hAnsi="仿宋" w:cs="仿宋"/>
          <w:sz w:val="32"/>
          <w:szCs w:val="32"/>
        </w:rPr>
      </w:pPr>
      <w:r>
        <w:rPr>
          <w:rFonts w:ascii="仿宋" w:eastAsia="仿宋" w:hAnsi="仿宋" w:cs="仿宋" w:hint="eastAsia"/>
          <w:sz w:val="32"/>
          <w:szCs w:val="32"/>
        </w:rPr>
        <w:t>表1、2025年市级衔接推进乡村振兴专项资金分配明细表</w:t>
      </w:r>
    </w:p>
    <w:tbl>
      <w:tblPr>
        <w:tblW w:w="5146" w:type="pct"/>
        <w:tblLook w:val="04A0" w:firstRow="1" w:lastRow="0" w:firstColumn="1" w:lastColumn="0" w:noHBand="0" w:noVBand="1"/>
      </w:tblPr>
      <w:tblGrid>
        <w:gridCol w:w="1150"/>
        <w:gridCol w:w="1691"/>
        <w:gridCol w:w="1626"/>
        <w:gridCol w:w="1608"/>
        <w:gridCol w:w="1561"/>
        <w:gridCol w:w="1690"/>
      </w:tblGrid>
      <w:tr w:rsidR="007662C3">
        <w:trPr>
          <w:trHeight w:val="786"/>
          <w:tblHeader/>
        </w:trPr>
        <w:tc>
          <w:tcPr>
            <w:tcW w:w="617" w:type="pct"/>
            <w:tcBorders>
              <w:top w:val="single" w:sz="4" w:space="0" w:color="000000"/>
              <w:left w:val="single" w:sz="4" w:space="0" w:color="000000"/>
              <w:bottom w:val="single" w:sz="4" w:space="0" w:color="000000"/>
              <w:right w:val="single" w:sz="4" w:space="0" w:color="000000"/>
            </w:tcBorders>
            <w:noWrap/>
            <w:vAlign w:val="center"/>
          </w:tcPr>
          <w:p w:rsidR="007662C3" w:rsidRDefault="00D05E05">
            <w:pPr>
              <w:spacing w:line="300" w:lineRule="auto"/>
              <w:ind w:firstLineChars="100" w:firstLine="201"/>
              <w:jc w:val="center"/>
              <w:rPr>
                <w:rFonts w:ascii="Times New Roman" w:eastAsia="仿宋" w:hAnsi="Times New Roman" w:cs="Times New Roman"/>
                <w:b/>
                <w:bCs/>
                <w:sz w:val="20"/>
                <w:szCs w:val="20"/>
              </w:rPr>
            </w:pPr>
            <w:bookmarkStart w:id="12" w:name="_Toc24647"/>
            <w:bookmarkStart w:id="13" w:name="_Toc18767"/>
            <w:bookmarkStart w:id="14" w:name="_Toc1770"/>
            <w:bookmarkStart w:id="15" w:name="_Toc11723"/>
            <w:bookmarkStart w:id="16" w:name="_Toc4642"/>
            <w:bookmarkStart w:id="17" w:name="_Toc24756"/>
            <w:bookmarkStart w:id="18" w:name="_Toc27080"/>
            <w:bookmarkStart w:id="19" w:name="_Toc3259"/>
            <w:bookmarkStart w:id="20" w:name="_Toc26800"/>
            <w:bookmarkStart w:id="21" w:name="_Toc28690"/>
            <w:bookmarkStart w:id="22" w:name="_Toc9903"/>
            <w:bookmarkStart w:id="23" w:name="_Toc16362"/>
            <w:bookmarkStart w:id="24" w:name="_Toc32746"/>
            <w:bookmarkStart w:id="25" w:name="_Toc14355"/>
            <w:bookmarkStart w:id="26" w:name="_Toc30801"/>
            <w:r>
              <w:rPr>
                <w:rFonts w:ascii="Times New Roman" w:eastAsia="仿宋" w:hAnsi="Times New Roman" w:cs="Times New Roman" w:hint="eastAsia"/>
                <w:b/>
                <w:bCs/>
                <w:sz w:val="20"/>
                <w:szCs w:val="20"/>
              </w:rPr>
              <w:t>区域</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spacing w:line="300" w:lineRule="auto"/>
              <w:jc w:val="center"/>
              <w:rPr>
                <w:rFonts w:ascii="Times New Roman" w:eastAsia="仿宋" w:hAnsi="Times New Roman" w:cs="Times New Roman"/>
                <w:b/>
                <w:bCs/>
                <w:sz w:val="20"/>
                <w:szCs w:val="20"/>
              </w:rPr>
            </w:pPr>
            <w:bookmarkStart w:id="27" w:name="_Toc32010"/>
            <w:bookmarkStart w:id="28" w:name="_Toc5188"/>
            <w:bookmarkStart w:id="29" w:name="_Toc7479"/>
            <w:bookmarkStart w:id="30" w:name="_Toc1908"/>
            <w:bookmarkStart w:id="31" w:name="_Toc2660"/>
            <w:bookmarkStart w:id="32" w:name="_Toc18775"/>
            <w:bookmarkStart w:id="33" w:name="_Toc26833"/>
            <w:bookmarkStart w:id="34" w:name="_Toc1521"/>
            <w:bookmarkStart w:id="35" w:name="_Toc17823"/>
            <w:bookmarkStart w:id="36" w:name="_Toc8946"/>
            <w:bookmarkStart w:id="37" w:name="_Toc30446"/>
            <w:bookmarkStart w:id="38" w:name="_Toc19503"/>
            <w:bookmarkStart w:id="39" w:name="_Toc29680"/>
            <w:bookmarkStart w:id="40" w:name="_Toc26040"/>
            <w:bookmarkStart w:id="41" w:name="_Toc2355"/>
            <w:r>
              <w:rPr>
                <w:rFonts w:ascii="Times New Roman" w:eastAsia="仿宋" w:hAnsi="Times New Roman" w:cs="Times New Roman" w:hint="eastAsia"/>
                <w:b/>
                <w:bCs/>
                <w:sz w:val="20"/>
                <w:szCs w:val="20"/>
              </w:rPr>
              <w:t>片区关键工程扶持镇街（</w:t>
            </w:r>
            <w:proofErr w:type="gramStart"/>
            <w:r>
              <w:rPr>
                <w:rFonts w:ascii="Times New Roman" w:eastAsia="仿宋" w:hAnsi="Times New Roman" w:cs="Times New Roman" w:hint="eastAsia"/>
                <w:b/>
                <w:bCs/>
                <w:sz w:val="20"/>
                <w:szCs w:val="20"/>
              </w:rPr>
              <w:t>个</w:t>
            </w:r>
            <w:proofErr w:type="gramEnd"/>
            <w:r>
              <w:rPr>
                <w:rFonts w:ascii="Times New Roman" w:eastAsia="仿宋" w:hAnsi="Times New Roman" w:cs="Times New Roman" w:hint="eastAsia"/>
                <w:b/>
                <w:bCs/>
                <w:sz w:val="20"/>
                <w:szCs w:val="20"/>
              </w:rPr>
              <w: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spacing w:line="300" w:lineRule="auto"/>
              <w:jc w:val="center"/>
              <w:rPr>
                <w:rFonts w:ascii="Times New Roman" w:eastAsia="仿宋" w:hAnsi="Times New Roman" w:cs="Times New Roman"/>
                <w:b/>
                <w:bCs/>
                <w:sz w:val="20"/>
                <w:szCs w:val="20"/>
              </w:rPr>
            </w:pPr>
            <w:bookmarkStart w:id="42" w:name="_Toc22431"/>
            <w:bookmarkStart w:id="43" w:name="_Toc17614"/>
            <w:bookmarkStart w:id="44" w:name="_Toc20907"/>
            <w:bookmarkStart w:id="45" w:name="_Toc30209"/>
            <w:bookmarkStart w:id="46" w:name="_Toc24056"/>
            <w:bookmarkStart w:id="47" w:name="_Toc7319"/>
            <w:bookmarkStart w:id="48" w:name="_Toc2801"/>
            <w:bookmarkStart w:id="49" w:name="_Toc20675"/>
            <w:bookmarkStart w:id="50" w:name="_Toc9636"/>
            <w:bookmarkStart w:id="51" w:name="_Toc27210"/>
            <w:bookmarkStart w:id="52" w:name="_Toc4346"/>
            <w:bookmarkStart w:id="53" w:name="_Toc8777"/>
            <w:bookmarkStart w:id="54" w:name="_Toc3878"/>
            <w:bookmarkStart w:id="55" w:name="_Toc7036"/>
            <w:bookmarkStart w:id="56" w:name="_Toc13141"/>
            <w:r>
              <w:rPr>
                <w:rFonts w:ascii="Times New Roman" w:eastAsia="仿宋" w:hAnsi="Times New Roman" w:cs="Times New Roman" w:hint="eastAsia"/>
                <w:b/>
                <w:bCs/>
                <w:sz w:val="20"/>
                <w:szCs w:val="20"/>
              </w:rPr>
              <w:t>重点镇街</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7662C3" w:rsidRDefault="00D05E05">
            <w:pPr>
              <w:spacing w:line="300" w:lineRule="auto"/>
              <w:jc w:val="center"/>
              <w:rPr>
                <w:rFonts w:ascii="Times New Roman" w:eastAsia="仿宋" w:hAnsi="Times New Roman" w:cs="Times New Roman"/>
                <w:b/>
                <w:bCs/>
                <w:sz w:val="20"/>
                <w:szCs w:val="20"/>
              </w:rPr>
            </w:pPr>
            <w:bookmarkStart w:id="57" w:name="_Toc10388"/>
            <w:bookmarkStart w:id="58" w:name="_Toc11251"/>
            <w:bookmarkStart w:id="59" w:name="_Toc23356"/>
            <w:bookmarkStart w:id="60" w:name="_Toc17251"/>
            <w:bookmarkStart w:id="61" w:name="_Toc24869"/>
            <w:bookmarkStart w:id="62" w:name="_Toc5585"/>
            <w:bookmarkStart w:id="63" w:name="_Toc28384"/>
            <w:bookmarkStart w:id="64" w:name="_Toc3977"/>
            <w:bookmarkStart w:id="65" w:name="_Toc23401"/>
            <w:bookmarkStart w:id="66" w:name="_Toc19101"/>
            <w:bookmarkStart w:id="67" w:name="_Toc3102"/>
            <w:bookmarkStart w:id="68" w:name="_Toc4836"/>
            <w:bookmarkStart w:id="69" w:name="_Toc3113"/>
            <w:bookmarkStart w:id="70" w:name="_Toc17112"/>
            <w:bookmarkStart w:id="71" w:name="_Toc10056"/>
            <w:r>
              <w:rPr>
                <w:rFonts w:ascii="Times New Roman" w:eastAsia="仿宋" w:hAnsi="Times New Roman" w:cs="Times New Roman" w:hint="eastAsia"/>
                <w:b/>
                <w:bCs/>
                <w:sz w:val="20"/>
                <w:szCs w:val="20"/>
              </w:rPr>
              <w:t>扶持镇街</w:t>
            </w:r>
            <w:bookmarkStart w:id="72" w:name="_Toc5895"/>
            <w:bookmarkStart w:id="73" w:name="_Toc11888"/>
            <w:bookmarkStart w:id="74" w:name="_Toc12210"/>
            <w:bookmarkStart w:id="75" w:name="_Toc12786"/>
            <w:bookmarkStart w:id="76" w:name="_Toc5944"/>
            <w:bookmarkStart w:id="77" w:name="_Toc28884"/>
            <w:bookmarkStart w:id="78" w:name="_Toc19427"/>
            <w:bookmarkStart w:id="79" w:name="_Toc15171"/>
            <w:bookmarkStart w:id="80" w:name="_Toc7957"/>
            <w:bookmarkStart w:id="81" w:name="_Toc12100"/>
            <w:bookmarkStart w:id="82" w:name="_Toc5875"/>
            <w:bookmarkStart w:id="83" w:name="_Toc26206"/>
            <w:bookmarkStart w:id="84" w:name="_Toc24662"/>
            <w:bookmarkStart w:id="85" w:name="_Toc7628"/>
            <w:bookmarkStart w:id="86" w:name="_Toc28680"/>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Fonts w:ascii="Times New Roman" w:eastAsia="仿宋" w:hAnsi="Times New Roman" w:cs="Times New Roman" w:hint="eastAsia"/>
                <w:b/>
                <w:bCs/>
                <w:sz w:val="20"/>
                <w:szCs w:val="20"/>
              </w:rPr>
              <w:t>（</w:t>
            </w:r>
            <w:proofErr w:type="gramStart"/>
            <w:r>
              <w:rPr>
                <w:rFonts w:ascii="Times New Roman" w:eastAsia="仿宋" w:hAnsi="Times New Roman" w:cs="Times New Roman" w:hint="eastAsia"/>
                <w:b/>
                <w:bCs/>
                <w:sz w:val="20"/>
                <w:szCs w:val="20"/>
              </w:rPr>
              <w:t>个</w:t>
            </w:r>
            <w:proofErr w:type="gramEnd"/>
            <w:r>
              <w:rPr>
                <w:rFonts w:ascii="Times New Roman" w:eastAsia="仿宋" w:hAnsi="Times New Roman" w:cs="Times New Roman" w:hint="eastAsia"/>
                <w:b/>
                <w:bCs/>
                <w:sz w:val="20"/>
                <w:szCs w:val="20"/>
              </w:rPr>
              <w: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spacing w:line="300" w:lineRule="auto"/>
              <w:jc w:val="center"/>
              <w:rPr>
                <w:rFonts w:ascii="Times New Roman" w:eastAsia="仿宋" w:hAnsi="Times New Roman" w:cs="Times New Roman"/>
                <w:b/>
                <w:bCs/>
                <w:sz w:val="20"/>
                <w:szCs w:val="20"/>
              </w:rPr>
            </w:pPr>
            <w:bookmarkStart w:id="87" w:name="_Toc24789"/>
            <w:bookmarkStart w:id="88" w:name="_Toc842"/>
            <w:bookmarkStart w:id="89" w:name="_Toc9328"/>
            <w:bookmarkStart w:id="90" w:name="_Toc1411"/>
            <w:bookmarkStart w:id="91" w:name="_Toc24841"/>
            <w:bookmarkStart w:id="92" w:name="_Toc8661"/>
            <w:bookmarkStart w:id="93" w:name="_Toc28482"/>
            <w:bookmarkStart w:id="94" w:name="_Toc17719"/>
            <w:bookmarkStart w:id="95" w:name="_Toc4353"/>
            <w:bookmarkStart w:id="96" w:name="_Toc22646"/>
            <w:bookmarkStart w:id="97" w:name="_Toc15101"/>
            <w:bookmarkStart w:id="98" w:name="_Toc29488"/>
            <w:bookmarkStart w:id="99" w:name="_Toc30968"/>
            <w:bookmarkStart w:id="100" w:name="_Toc2143"/>
            <w:bookmarkStart w:id="101" w:name="_Toc8702"/>
            <w:r>
              <w:rPr>
                <w:rFonts w:ascii="Times New Roman" w:eastAsia="仿宋" w:hAnsi="Times New Roman" w:cs="Times New Roman" w:hint="eastAsia"/>
                <w:b/>
                <w:bCs/>
                <w:sz w:val="20"/>
                <w:szCs w:val="20"/>
              </w:rPr>
              <w:t>重点镇街</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7662C3" w:rsidRDefault="00D05E05">
            <w:pPr>
              <w:spacing w:line="300" w:lineRule="auto"/>
              <w:jc w:val="center"/>
              <w:rPr>
                <w:rFonts w:ascii="Times New Roman" w:eastAsia="仿宋" w:hAnsi="Times New Roman" w:cs="Times New Roman"/>
                <w:b/>
                <w:bCs/>
                <w:sz w:val="20"/>
                <w:szCs w:val="20"/>
              </w:rPr>
            </w:pPr>
            <w:bookmarkStart w:id="102" w:name="_Toc10745"/>
            <w:bookmarkStart w:id="103" w:name="_Toc16349"/>
            <w:bookmarkStart w:id="104" w:name="_Toc18083"/>
            <w:bookmarkStart w:id="105" w:name="_Toc12420"/>
            <w:bookmarkStart w:id="106" w:name="_Toc6455"/>
            <w:bookmarkStart w:id="107" w:name="_Toc17613"/>
            <w:bookmarkStart w:id="108" w:name="_Toc28314"/>
            <w:bookmarkStart w:id="109" w:name="_Toc14135"/>
            <w:bookmarkStart w:id="110" w:name="_Toc15078"/>
            <w:bookmarkStart w:id="111" w:name="_Toc15668"/>
            <w:bookmarkStart w:id="112" w:name="_Toc22514"/>
            <w:bookmarkStart w:id="113" w:name="_Toc12798"/>
            <w:bookmarkStart w:id="114" w:name="_Toc13434"/>
            <w:bookmarkStart w:id="115" w:name="_Toc31686"/>
            <w:bookmarkStart w:id="116" w:name="_Toc18691"/>
            <w:r>
              <w:rPr>
                <w:rFonts w:ascii="Times New Roman" w:eastAsia="仿宋" w:hAnsi="Times New Roman" w:cs="Times New Roman" w:hint="eastAsia"/>
                <w:b/>
                <w:bCs/>
                <w:sz w:val="20"/>
                <w:szCs w:val="20"/>
              </w:rPr>
              <w:t>扶持村社</w:t>
            </w:r>
            <w:bookmarkStart w:id="117" w:name="_Toc3294"/>
            <w:bookmarkStart w:id="118" w:name="_Toc20099"/>
            <w:bookmarkStart w:id="119" w:name="_Toc4237"/>
            <w:bookmarkStart w:id="120" w:name="_Toc2762"/>
            <w:bookmarkStart w:id="121" w:name="_Toc1079"/>
            <w:bookmarkStart w:id="122" w:name="_Toc9493"/>
            <w:bookmarkStart w:id="123" w:name="_Toc11881"/>
            <w:bookmarkStart w:id="124" w:name="_Toc27974"/>
            <w:bookmarkStart w:id="125" w:name="_Toc6078"/>
            <w:bookmarkStart w:id="126" w:name="_Toc12553"/>
            <w:bookmarkStart w:id="127" w:name="_Toc6414"/>
            <w:bookmarkStart w:id="128" w:name="_Toc28260"/>
            <w:bookmarkStart w:id="129" w:name="_Toc7222"/>
            <w:bookmarkStart w:id="130" w:name="_Toc28991"/>
            <w:bookmarkStart w:id="131" w:name="_Toc5510"/>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Times New Roman" w:eastAsia="仿宋" w:hAnsi="Times New Roman" w:cs="Times New Roman" w:hint="eastAsia"/>
                <w:b/>
                <w:bCs/>
                <w:sz w:val="20"/>
                <w:szCs w:val="20"/>
              </w:rPr>
              <w:t>（</w:t>
            </w:r>
            <w:proofErr w:type="gramStart"/>
            <w:r>
              <w:rPr>
                <w:rFonts w:ascii="Times New Roman" w:eastAsia="仿宋" w:hAnsi="Times New Roman" w:cs="Times New Roman" w:hint="eastAsia"/>
                <w:b/>
                <w:bCs/>
                <w:sz w:val="20"/>
                <w:szCs w:val="20"/>
              </w:rPr>
              <w:t>个</w:t>
            </w:r>
            <w:proofErr w:type="gramEnd"/>
            <w:r>
              <w:rPr>
                <w:rFonts w:ascii="Times New Roman" w:eastAsia="仿宋" w:hAnsi="Times New Roman" w:cs="Times New Roman" w:hint="eastAsia"/>
                <w:b/>
                <w:bCs/>
                <w:sz w:val="20"/>
                <w:szCs w:val="20"/>
              </w:rPr>
              <w: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spacing w:line="300" w:lineRule="auto"/>
              <w:jc w:val="center"/>
              <w:rPr>
                <w:rFonts w:ascii="Times New Roman" w:eastAsia="仿宋" w:hAnsi="Times New Roman" w:cs="Times New Roman"/>
                <w:b/>
                <w:bCs/>
                <w:sz w:val="20"/>
                <w:szCs w:val="20"/>
              </w:rPr>
            </w:pPr>
            <w:bookmarkStart w:id="132" w:name="_Toc15320"/>
            <w:bookmarkStart w:id="133" w:name="_Toc1926"/>
            <w:bookmarkStart w:id="134" w:name="_Toc21281"/>
            <w:bookmarkStart w:id="135" w:name="_Toc27586"/>
            <w:bookmarkStart w:id="136" w:name="_Toc24810"/>
            <w:bookmarkStart w:id="137" w:name="_Toc10756"/>
            <w:bookmarkStart w:id="138" w:name="_Toc546"/>
            <w:bookmarkStart w:id="139" w:name="_Toc25735"/>
            <w:bookmarkStart w:id="140" w:name="_Toc17912"/>
            <w:bookmarkStart w:id="141" w:name="_Toc23093"/>
            <w:bookmarkStart w:id="142" w:name="_Toc92"/>
            <w:bookmarkStart w:id="143" w:name="_Toc4700"/>
            <w:bookmarkStart w:id="144" w:name="_Toc12459"/>
            <w:bookmarkStart w:id="145" w:name="_Toc3272"/>
            <w:bookmarkStart w:id="146" w:name="_Toc28029"/>
            <w:r>
              <w:rPr>
                <w:rFonts w:ascii="Times New Roman" w:eastAsia="仿宋" w:hAnsi="Times New Roman" w:cs="Times New Roman" w:hint="eastAsia"/>
                <w:b/>
                <w:bCs/>
                <w:sz w:val="20"/>
                <w:szCs w:val="20"/>
              </w:rPr>
              <w:t>安排建设</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7662C3" w:rsidRDefault="00D05E05">
            <w:pPr>
              <w:spacing w:line="300" w:lineRule="auto"/>
              <w:jc w:val="center"/>
              <w:rPr>
                <w:rFonts w:ascii="Times New Roman" w:eastAsia="仿宋" w:hAnsi="Times New Roman" w:cs="Times New Roman"/>
                <w:b/>
                <w:bCs/>
                <w:sz w:val="20"/>
                <w:szCs w:val="20"/>
              </w:rPr>
            </w:pPr>
            <w:bookmarkStart w:id="147" w:name="_Toc6199"/>
            <w:bookmarkStart w:id="148" w:name="_Toc22301"/>
            <w:bookmarkStart w:id="149" w:name="_Toc25201"/>
            <w:bookmarkStart w:id="150" w:name="_Toc8835"/>
            <w:bookmarkStart w:id="151" w:name="_Toc21324"/>
            <w:bookmarkStart w:id="152" w:name="_Toc4860"/>
            <w:bookmarkStart w:id="153" w:name="_Toc32019"/>
            <w:bookmarkStart w:id="154" w:name="_Toc23307"/>
            <w:bookmarkStart w:id="155" w:name="_Toc19685"/>
            <w:bookmarkStart w:id="156" w:name="_Toc22976"/>
            <w:bookmarkStart w:id="157" w:name="_Toc8516"/>
            <w:bookmarkStart w:id="158" w:name="_Toc8696"/>
            <w:bookmarkStart w:id="159" w:name="_Toc23873"/>
            <w:bookmarkStart w:id="160" w:name="_Toc810"/>
            <w:bookmarkStart w:id="161" w:name="_Toc19143"/>
            <w:r>
              <w:rPr>
                <w:rFonts w:ascii="Times New Roman" w:eastAsia="仿宋" w:hAnsi="Times New Roman" w:cs="Times New Roman" w:hint="eastAsia"/>
                <w:b/>
                <w:bCs/>
                <w:sz w:val="20"/>
                <w:szCs w:val="20"/>
              </w:rPr>
              <w:t>项目</w:t>
            </w:r>
            <w:bookmarkStart w:id="162" w:name="_Toc8643"/>
            <w:bookmarkStart w:id="163" w:name="_Toc16108"/>
            <w:bookmarkStart w:id="164" w:name="_Toc3520"/>
            <w:bookmarkStart w:id="165" w:name="_Toc23962"/>
            <w:bookmarkStart w:id="166" w:name="_Toc8456"/>
            <w:bookmarkStart w:id="167" w:name="_Toc29862"/>
            <w:bookmarkStart w:id="168" w:name="_Toc12017"/>
            <w:bookmarkStart w:id="169" w:name="_Toc27777"/>
            <w:bookmarkStart w:id="170" w:name="_Toc9412"/>
            <w:bookmarkStart w:id="171" w:name="_Toc8923"/>
            <w:bookmarkStart w:id="172" w:name="_Toc9607"/>
            <w:bookmarkStart w:id="173" w:name="_Toc16939"/>
            <w:bookmarkStart w:id="174" w:name="_Toc3135"/>
            <w:bookmarkStart w:id="175" w:name="_Toc403"/>
            <w:bookmarkStart w:id="176" w:name="_Toc14207"/>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Fonts w:ascii="Times New Roman" w:eastAsia="仿宋" w:hAnsi="Times New Roman" w:cs="Times New Roman" w:hint="eastAsia"/>
                <w:b/>
                <w:bCs/>
                <w:sz w:val="20"/>
                <w:szCs w:val="20"/>
              </w:rPr>
              <w:t>（</w:t>
            </w:r>
            <w:proofErr w:type="gramStart"/>
            <w:r>
              <w:rPr>
                <w:rFonts w:ascii="Times New Roman" w:eastAsia="仿宋" w:hAnsi="Times New Roman" w:cs="Times New Roman" w:hint="eastAsia"/>
                <w:b/>
                <w:bCs/>
                <w:sz w:val="20"/>
                <w:szCs w:val="20"/>
              </w:rPr>
              <w:t>个</w:t>
            </w:r>
            <w:proofErr w:type="gramEnd"/>
            <w:r>
              <w:rPr>
                <w:rFonts w:ascii="Times New Roman" w:eastAsia="仿宋" w:hAnsi="Times New Roman" w:cs="Times New Roman" w:hint="eastAsia"/>
                <w:b/>
                <w:bCs/>
                <w:sz w:val="20"/>
                <w:szCs w:val="20"/>
              </w:rPr>
              <w: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spacing w:line="300" w:lineRule="auto"/>
              <w:jc w:val="center"/>
              <w:rPr>
                <w:rFonts w:ascii="Times New Roman" w:eastAsia="仿宋" w:hAnsi="Times New Roman" w:cs="Times New Roman"/>
                <w:b/>
                <w:bCs/>
                <w:sz w:val="20"/>
                <w:szCs w:val="20"/>
              </w:rPr>
            </w:pPr>
            <w:bookmarkStart w:id="177" w:name="_Toc758"/>
            <w:bookmarkStart w:id="178" w:name="_Toc31729"/>
            <w:bookmarkStart w:id="179" w:name="_Toc7552"/>
            <w:bookmarkStart w:id="180" w:name="_Toc19548"/>
            <w:bookmarkStart w:id="181" w:name="_Toc8691"/>
            <w:bookmarkStart w:id="182" w:name="_Toc14354"/>
            <w:bookmarkStart w:id="183" w:name="_Toc14392"/>
            <w:bookmarkStart w:id="184" w:name="_Toc610"/>
            <w:bookmarkStart w:id="185" w:name="_Toc32754"/>
            <w:bookmarkStart w:id="186" w:name="_Toc878"/>
            <w:bookmarkStart w:id="187" w:name="_Toc20183"/>
            <w:bookmarkStart w:id="188" w:name="_Toc10528"/>
            <w:bookmarkStart w:id="189" w:name="_Toc9300"/>
            <w:bookmarkStart w:id="190" w:name="_Toc3576"/>
            <w:bookmarkStart w:id="191" w:name="_Toc18630"/>
            <w:r>
              <w:rPr>
                <w:rFonts w:ascii="Times New Roman" w:eastAsia="仿宋" w:hAnsi="Times New Roman" w:cs="Times New Roman" w:hint="eastAsia"/>
                <w:b/>
                <w:bCs/>
                <w:sz w:val="20"/>
                <w:szCs w:val="20"/>
              </w:rPr>
              <w:t>市级衔接资金</w:t>
            </w:r>
            <w:r>
              <w:rPr>
                <w:rFonts w:ascii="Times New Roman" w:eastAsia="仿宋" w:hAnsi="Times New Roman" w:cs="Times New Roman" w:hint="eastAsia"/>
                <w:b/>
                <w:bCs/>
                <w:sz w:val="20"/>
                <w:szCs w:val="20"/>
              </w:rPr>
              <w:t xml:space="preserve"> </w:t>
            </w:r>
            <w:r>
              <w:rPr>
                <w:rFonts w:ascii="Times New Roman" w:eastAsia="仿宋" w:hAnsi="Times New Roman" w:cs="Times New Roman" w:hint="eastAsia"/>
                <w:b/>
                <w:bCs/>
                <w:sz w:val="20"/>
                <w:szCs w:val="20"/>
              </w:rPr>
              <w:t>预算</w:t>
            </w:r>
            <w:bookmarkStart w:id="192" w:name="_Toc12406"/>
            <w:bookmarkStart w:id="193" w:name="_Toc28242"/>
            <w:bookmarkStart w:id="194" w:name="_Toc9342"/>
            <w:bookmarkStart w:id="195" w:name="_Toc2549"/>
            <w:bookmarkStart w:id="196" w:name="_Toc27674"/>
            <w:bookmarkStart w:id="197" w:name="_Toc20266"/>
            <w:bookmarkStart w:id="198" w:name="_Toc27222"/>
            <w:bookmarkStart w:id="199" w:name="_Toc24589"/>
            <w:bookmarkStart w:id="200" w:name="_Toc4131"/>
            <w:bookmarkStart w:id="201" w:name="_Toc2683"/>
            <w:bookmarkStart w:id="202" w:name="_Toc24330"/>
            <w:bookmarkStart w:id="203" w:name="_Toc18428"/>
            <w:bookmarkStart w:id="204" w:name="_Toc31829"/>
            <w:bookmarkStart w:id="205" w:name="_Toc30691"/>
            <w:bookmarkStart w:id="206" w:name="_Toc695"/>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ascii="Times New Roman" w:eastAsia="仿宋" w:hAnsi="Times New Roman" w:cs="Times New Roman" w:hint="eastAsia"/>
                <w:b/>
                <w:bCs/>
                <w:sz w:val="20"/>
                <w:szCs w:val="20"/>
              </w:rPr>
              <w:t>（万元）</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07" w:name="_Toc32474"/>
            <w:bookmarkStart w:id="208" w:name="_Toc17515"/>
            <w:bookmarkStart w:id="209" w:name="_Toc32600"/>
            <w:bookmarkStart w:id="210" w:name="_Toc16578"/>
            <w:bookmarkStart w:id="211" w:name="_Toc14833"/>
            <w:bookmarkStart w:id="212" w:name="_Toc17412"/>
            <w:bookmarkStart w:id="213" w:name="_Toc20549"/>
            <w:bookmarkStart w:id="214" w:name="_Toc281"/>
            <w:bookmarkStart w:id="215" w:name="_Toc17243"/>
            <w:bookmarkStart w:id="216" w:name="_Toc15131"/>
            <w:bookmarkStart w:id="217" w:name="_Toc31219"/>
            <w:bookmarkStart w:id="218" w:name="_Toc22544"/>
            <w:bookmarkStart w:id="219" w:name="_Toc5149"/>
            <w:bookmarkStart w:id="220" w:name="_Toc25680"/>
            <w:bookmarkStart w:id="221" w:name="_Toc8037"/>
            <w:r>
              <w:rPr>
                <w:rFonts w:ascii="Times New Roman" w:eastAsia="仿宋" w:hAnsi="Times New Roman" w:cs="Times New Roman" w:hint="eastAsia"/>
                <w:sz w:val="22"/>
                <w:szCs w:val="22"/>
              </w:rPr>
              <w:t>江北新区</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7662C3">
            <w:pPr>
              <w:jc w:val="center"/>
              <w:rPr>
                <w:rFonts w:ascii="仿宋" w:eastAsia="仿宋" w:hAnsi="仿宋" w:cs="仿宋"/>
                <w:sz w:val="22"/>
                <w:szCs w:val="22"/>
              </w:rPr>
            </w:pP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7662C3">
            <w:pPr>
              <w:jc w:val="center"/>
              <w:rPr>
                <w:rFonts w:ascii="仿宋" w:eastAsia="仿宋" w:hAnsi="仿宋" w:cs="仿宋"/>
                <w:sz w:val="22"/>
                <w:szCs w:val="22"/>
              </w:rPr>
            </w:pP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140.40</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22" w:name="_Toc14378"/>
            <w:bookmarkStart w:id="223" w:name="_Toc7347"/>
            <w:bookmarkStart w:id="224" w:name="_Toc31654"/>
            <w:bookmarkStart w:id="225" w:name="_Toc13962"/>
            <w:bookmarkStart w:id="226" w:name="_Toc17428"/>
            <w:bookmarkStart w:id="227" w:name="_Toc12987"/>
            <w:bookmarkStart w:id="228" w:name="_Toc27988"/>
            <w:bookmarkStart w:id="229" w:name="_Toc30819"/>
            <w:bookmarkStart w:id="230" w:name="_Toc1985"/>
            <w:bookmarkStart w:id="231" w:name="_Toc286"/>
            <w:bookmarkStart w:id="232" w:name="_Toc24359"/>
            <w:bookmarkStart w:id="233" w:name="_Toc22366"/>
            <w:bookmarkStart w:id="234" w:name="_Toc23139"/>
            <w:bookmarkStart w:id="235" w:name="_Toc920"/>
            <w:bookmarkStart w:id="236" w:name="_Toc4240"/>
            <w:r>
              <w:rPr>
                <w:rFonts w:ascii="Times New Roman" w:eastAsia="仿宋" w:hAnsi="Times New Roman" w:cs="Times New Roman" w:hint="eastAsia"/>
                <w:sz w:val="22"/>
                <w:szCs w:val="22"/>
              </w:rPr>
              <w:t>江宁区</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2</w:t>
            </w: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6</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4</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 xml:space="preserve">840.40 </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37" w:name="_Toc28034"/>
            <w:bookmarkStart w:id="238" w:name="_Toc6109"/>
            <w:bookmarkStart w:id="239" w:name="_Toc17074"/>
            <w:bookmarkStart w:id="240" w:name="_Toc22126"/>
            <w:bookmarkStart w:id="241" w:name="_Toc30074"/>
            <w:bookmarkStart w:id="242" w:name="_Toc16976"/>
            <w:bookmarkStart w:id="243" w:name="_Toc29986"/>
            <w:bookmarkStart w:id="244" w:name="_Toc19230"/>
            <w:bookmarkStart w:id="245" w:name="_Toc14620"/>
            <w:bookmarkStart w:id="246" w:name="_Toc25637"/>
            <w:bookmarkStart w:id="247" w:name="_Toc18450"/>
            <w:bookmarkStart w:id="248" w:name="_Toc17182"/>
            <w:bookmarkStart w:id="249" w:name="_Toc10921"/>
            <w:bookmarkStart w:id="250" w:name="_Toc8220"/>
            <w:bookmarkStart w:id="251" w:name="_Toc17207"/>
            <w:r>
              <w:rPr>
                <w:rFonts w:ascii="Times New Roman" w:eastAsia="仿宋" w:hAnsi="Times New Roman" w:cs="Times New Roman" w:hint="eastAsia"/>
                <w:sz w:val="22"/>
                <w:szCs w:val="22"/>
              </w:rPr>
              <w:t>浦口区</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4</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5</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 xml:space="preserve">540.40 </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52" w:name="_Toc21133"/>
            <w:bookmarkStart w:id="253" w:name="_Toc27837"/>
            <w:bookmarkStart w:id="254" w:name="_Toc893"/>
            <w:bookmarkStart w:id="255" w:name="_Toc18770"/>
            <w:bookmarkStart w:id="256" w:name="_Toc20125"/>
            <w:bookmarkStart w:id="257" w:name="_Toc13406"/>
            <w:bookmarkStart w:id="258" w:name="_Toc26359"/>
            <w:bookmarkStart w:id="259" w:name="_Toc18815"/>
            <w:bookmarkStart w:id="260" w:name="_Toc22767"/>
            <w:bookmarkStart w:id="261" w:name="_Toc14766"/>
            <w:bookmarkStart w:id="262" w:name="_Toc28194"/>
            <w:bookmarkStart w:id="263" w:name="_Toc22671"/>
            <w:bookmarkStart w:id="264" w:name="_Toc2648"/>
            <w:bookmarkStart w:id="265" w:name="_Toc10453"/>
            <w:bookmarkStart w:id="266" w:name="_Toc7600"/>
            <w:proofErr w:type="gramStart"/>
            <w:r>
              <w:rPr>
                <w:rFonts w:ascii="Times New Roman" w:eastAsia="仿宋" w:hAnsi="Times New Roman" w:cs="Times New Roman" w:hint="eastAsia"/>
                <w:sz w:val="22"/>
                <w:szCs w:val="22"/>
              </w:rPr>
              <w:t>六合区</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roofErr w:type="gramEnd"/>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3</w:t>
            </w: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2</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18</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4</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1,780.80</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67" w:name="_Toc30770"/>
            <w:bookmarkStart w:id="268" w:name="_Toc17601"/>
            <w:bookmarkStart w:id="269" w:name="_Toc26071"/>
            <w:bookmarkStart w:id="270" w:name="_Toc12484"/>
            <w:bookmarkStart w:id="271" w:name="_Toc4490"/>
            <w:bookmarkStart w:id="272" w:name="_Toc13961"/>
            <w:bookmarkStart w:id="273" w:name="_Toc21393"/>
            <w:bookmarkStart w:id="274" w:name="_Toc22765"/>
            <w:bookmarkStart w:id="275" w:name="_Toc15311"/>
            <w:bookmarkStart w:id="276" w:name="_Toc10554"/>
            <w:bookmarkStart w:id="277" w:name="_Toc12831"/>
            <w:bookmarkStart w:id="278" w:name="_Toc28071"/>
            <w:bookmarkStart w:id="279" w:name="_Toc12492"/>
            <w:bookmarkStart w:id="280" w:name="_Toc8055"/>
            <w:bookmarkStart w:id="281" w:name="_Toc15554"/>
            <w:r>
              <w:rPr>
                <w:rFonts w:ascii="Times New Roman" w:eastAsia="仿宋" w:hAnsi="Times New Roman" w:cs="Times New Roman" w:hint="eastAsia"/>
                <w:sz w:val="22"/>
                <w:szCs w:val="22"/>
              </w:rPr>
              <w:t>溧水区</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2</w:t>
            </w: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9</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12</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990.40</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82" w:name="_Toc2122"/>
            <w:bookmarkStart w:id="283" w:name="_Toc24858"/>
            <w:bookmarkStart w:id="284" w:name="_Toc30614"/>
            <w:bookmarkStart w:id="285" w:name="_Toc16087"/>
            <w:bookmarkStart w:id="286" w:name="_Toc5239"/>
            <w:bookmarkStart w:id="287" w:name="_Toc21251"/>
            <w:bookmarkStart w:id="288" w:name="_Toc24775"/>
            <w:bookmarkStart w:id="289" w:name="_Toc26386"/>
            <w:bookmarkStart w:id="290" w:name="_Toc15558"/>
            <w:bookmarkStart w:id="291" w:name="_Toc3937"/>
            <w:bookmarkStart w:id="292" w:name="_Toc14321"/>
            <w:bookmarkStart w:id="293" w:name="_Toc26902"/>
            <w:bookmarkStart w:id="294" w:name="_Toc7031"/>
            <w:bookmarkStart w:id="295" w:name="_Toc24398"/>
            <w:bookmarkStart w:id="296" w:name="_Toc11405"/>
            <w:r>
              <w:rPr>
                <w:rFonts w:ascii="Times New Roman" w:eastAsia="仿宋" w:hAnsi="Times New Roman" w:cs="Times New Roman" w:hint="eastAsia"/>
                <w:sz w:val="22"/>
                <w:szCs w:val="22"/>
              </w:rPr>
              <w:t>高淳区</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2</w:t>
            </w: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jc w:val="center"/>
              <w:rPr>
                <w:rFonts w:ascii="仿宋" w:eastAsia="仿宋" w:hAnsi="仿宋" w:cs="仿宋"/>
                <w:sz w:val="22"/>
                <w:szCs w:val="22"/>
              </w:rPr>
            </w:pPr>
            <w:r>
              <w:rPr>
                <w:rFonts w:ascii="仿宋" w:eastAsia="仿宋" w:hAnsi="仿宋" w:cs="仿宋" w:hint="eastAsia"/>
                <w:sz w:val="22"/>
                <w:szCs w:val="22"/>
              </w:rPr>
              <w:t>3</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22</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6</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1,921.20</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jc w:val="center"/>
              <w:rPr>
                <w:rFonts w:ascii="Times New Roman" w:eastAsia="仿宋" w:hAnsi="Times New Roman" w:cs="Times New Roman"/>
                <w:sz w:val="22"/>
                <w:szCs w:val="22"/>
              </w:rPr>
            </w:pPr>
            <w:bookmarkStart w:id="297" w:name="_Toc7331"/>
            <w:bookmarkStart w:id="298" w:name="_Toc26851"/>
            <w:bookmarkStart w:id="299" w:name="_Toc7528"/>
            <w:bookmarkStart w:id="300" w:name="_Toc17324"/>
            <w:bookmarkStart w:id="301" w:name="_Toc265"/>
            <w:bookmarkStart w:id="302" w:name="_Toc32638"/>
            <w:bookmarkStart w:id="303" w:name="_Toc31612"/>
            <w:bookmarkStart w:id="304" w:name="_Toc19268"/>
            <w:bookmarkStart w:id="305" w:name="_Toc7162"/>
            <w:bookmarkStart w:id="306" w:name="_Toc12409"/>
            <w:bookmarkStart w:id="307" w:name="_Toc16123"/>
            <w:bookmarkStart w:id="308" w:name="_Toc29938"/>
            <w:bookmarkStart w:id="309" w:name="_Toc5519"/>
            <w:bookmarkStart w:id="310" w:name="_Toc212"/>
            <w:bookmarkStart w:id="311" w:name="_Toc13842"/>
            <w:r>
              <w:rPr>
                <w:rFonts w:ascii="Times New Roman" w:eastAsia="仿宋" w:hAnsi="Times New Roman" w:cs="Times New Roman" w:hint="eastAsia"/>
                <w:sz w:val="22"/>
                <w:szCs w:val="22"/>
              </w:rPr>
              <w:t>栖霞区</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7662C3">
            <w:pPr>
              <w:jc w:val="center"/>
              <w:rPr>
                <w:rFonts w:ascii="仿宋" w:eastAsia="仿宋" w:hAnsi="仿宋" w:cs="仿宋"/>
                <w:sz w:val="22"/>
                <w:szCs w:val="22"/>
              </w:rPr>
            </w:pP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2</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sz w:val="22"/>
                <w:szCs w:val="22"/>
              </w:rPr>
            </w:pPr>
            <w:r>
              <w:rPr>
                <w:rFonts w:ascii="仿宋" w:eastAsia="仿宋" w:hAnsi="仿宋" w:cs="仿宋" w:hint="eastAsia"/>
                <w:color w:val="000000"/>
                <w:kern w:val="0"/>
                <w:sz w:val="22"/>
                <w:szCs w:val="22"/>
                <w:lang w:bidi="ar"/>
              </w:rPr>
              <w:t>190.40</w:t>
            </w:r>
          </w:p>
        </w:tc>
      </w:tr>
      <w:tr w:rsidR="007662C3">
        <w:trPr>
          <w:trHeight w:val="312"/>
        </w:trPr>
        <w:tc>
          <w:tcPr>
            <w:tcW w:w="617" w:type="pct"/>
            <w:tcBorders>
              <w:top w:val="single" w:sz="4" w:space="0" w:color="000000"/>
              <w:left w:val="single" w:sz="4" w:space="0" w:color="000000"/>
              <w:bottom w:val="single" w:sz="4" w:space="0" w:color="000000"/>
              <w:right w:val="single" w:sz="4" w:space="0" w:color="000000"/>
            </w:tcBorders>
            <w:noWrap/>
          </w:tcPr>
          <w:p w:rsidR="007662C3" w:rsidRDefault="00D05E05">
            <w:pPr>
              <w:spacing w:line="300" w:lineRule="auto"/>
              <w:ind w:firstLineChars="200" w:firstLine="442"/>
              <w:rPr>
                <w:rFonts w:ascii="Times New Roman" w:eastAsia="仿宋" w:hAnsi="Times New Roman" w:cs="Times New Roman"/>
                <w:b/>
                <w:bCs/>
                <w:sz w:val="22"/>
                <w:szCs w:val="22"/>
              </w:rPr>
            </w:pPr>
            <w:bookmarkStart w:id="312" w:name="_Toc10394"/>
            <w:bookmarkStart w:id="313" w:name="_Toc7339"/>
            <w:bookmarkStart w:id="314" w:name="_Toc23385"/>
            <w:bookmarkStart w:id="315" w:name="_Toc27935"/>
            <w:bookmarkStart w:id="316" w:name="_Toc29451"/>
            <w:bookmarkStart w:id="317" w:name="_Toc11252"/>
            <w:bookmarkStart w:id="318" w:name="_Toc32262"/>
            <w:bookmarkStart w:id="319" w:name="_Toc29177"/>
            <w:bookmarkStart w:id="320" w:name="_Toc5469"/>
            <w:bookmarkStart w:id="321" w:name="_Toc4062"/>
            <w:bookmarkStart w:id="322" w:name="_Toc6645"/>
            <w:bookmarkStart w:id="323" w:name="_Toc7472"/>
            <w:bookmarkStart w:id="324" w:name="_Toc1349"/>
            <w:bookmarkStart w:id="325" w:name="_Toc14910"/>
            <w:bookmarkStart w:id="326" w:name="_Toc6070"/>
            <w:r>
              <w:rPr>
                <w:rFonts w:ascii="Times New Roman" w:eastAsia="仿宋" w:hAnsi="Times New Roman" w:cs="Times New Roman" w:hint="eastAsia"/>
                <w:b/>
                <w:bCs/>
                <w:sz w:val="22"/>
                <w:szCs w:val="22"/>
              </w:rPr>
              <w:t>合计</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tc>
        <w:tc>
          <w:tcPr>
            <w:tcW w:w="90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b/>
                <w:bCs/>
                <w:sz w:val="22"/>
                <w:szCs w:val="22"/>
              </w:rPr>
            </w:pPr>
            <w:r>
              <w:rPr>
                <w:rFonts w:ascii="仿宋" w:eastAsia="仿宋" w:hAnsi="仿宋" w:cs="仿宋" w:hint="eastAsia"/>
                <w:b/>
                <w:bCs/>
                <w:color w:val="000000"/>
                <w:kern w:val="0"/>
                <w:sz w:val="22"/>
                <w:szCs w:val="22"/>
                <w:lang w:bidi="ar"/>
              </w:rPr>
              <w:t>10</w:t>
            </w:r>
          </w:p>
        </w:tc>
        <w:tc>
          <w:tcPr>
            <w:tcW w:w="87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b/>
                <w:bCs/>
                <w:sz w:val="22"/>
                <w:szCs w:val="22"/>
              </w:rPr>
            </w:pPr>
            <w:r>
              <w:rPr>
                <w:rFonts w:ascii="仿宋" w:eastAsia="仿宋" w:hAnsi="仿宋" w:cs="仿宋" w:hint="eastAsia"/>
                <w:b/>
                <w:bCs/>
                <w:color w:val="000000"/>
                <w:kern w:val="0"/>
                <w:sz w:val="22"/>
                <w:szCs w:val="22"/>
                <w:lang w:bidi="ar"/>
              </w:rPr>
              <w:t>10</w:t>
            </w:r>
          </w:p>
        </w:tc>
        <w:tc>
          <w:tcPr>
            <w:tcW w:w="861"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b/>
                <w:bCs/>
                <w:sz w:val="22"/>
                <w:szCs w:val="22"/>
              </w:rPr>
            </w:pPr>
            <w:r>
              <w:rPr>
                <w:rFonts w:ascii="仿宋" w:eastAsia="仿宋" w:hAnsi="仿宋" w:cs="仿宋" w:hint="eastAsia"/>
                <w:b/>
                <w:bCs/>
                <w:color w:val="000000"/>
                <w:kern w:val="0"/>
                <w:sz w:val="22"/>
                <w:szCs w:val="22"/>
                <w:lang w:bidi="ar"/>
              </w:rPr>
              <w:t>60</w:t>
            </w:r>
          </w:p>
        </w:tc>
        <w:tc>
          <w:tcPr>
            <w:tcW w:w="836"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center"/>
              <w:textAlignment w:val="top"/>
              <w:rPr>
                <w:rFonts w:ascii="仿宋" w:eastAsia="仿宋" w:hAnsi="仿宋" w:cs="仿宋"/>
                <w:b/>
                <w:bCs/>
                <w:sz w:val="22"/>
                <w:szCs w:val="22"/>
              </w:rPr>
            </w:pPr>
            <w:r>
              <w:rPr>
                <w:rFonts w:ascii="仿宋" w:eastAsia="仿宋" w:hAnsi="仿宋" w:cs="仿宋" w:hint="eastAsia"/>
                <w:b/>
                <w:bCs/>
                <w:color w:val="000000"/>
                <w:kern w:val="0"/>
                <w:sz w:val="22"/>
                <w:szCs w:val="22"/>
                <w:lang w:bidi="ar"/>
              </w:rPr>
              <w:t>34</w:t>
            </w:r>
          </w:p>
        </w:tc>
        <w:tc>
          <w:tcPr>
            <w:tcW w:w="905" w:type="pct"/>
            <w:tcBorders>
              <w:top w:val="single" w:sz="4" w:space="0" w:color="000000"/>
              <w:left w:val="single" w:sz="4" w:space="0" w:color="000000"/>
              <w:bottom w:val="single" w:sz="4" w:space="0" w:color="000000"/>
              <w:right w:val="single" w:sz="4" w:space="0" w:color="000000"/>
            </w:tcBorders>
            <w:vAlign w:val="center"/>
          </w:tcPr>
          <w:p w:rsidR="007662C3" w:rsidRDefault="00D05E05">
            <w:pPr>
              <w:widowControl/>
              <w:jc w:val="right"/>
              <w:textAlignment w:val="top"/>
              <w:rPr>
                <w:rFonts w:ascii="仿宋" w:eastAsia="仿宋" w:hAnsi="仿宋" w:cs="仿宋"/>
                <w:b/>
                <w:bCs/>
                <w:sz w:val="22"/>
                <w:szCs w:val="22"/>
              </w:rPr>
            </w:pPr>
            <w:r>
              <w:rPr>
                <w:rFonts w:ascii="仿宋" w:eastAsia="仿宋" w:hAnsi="仿宋" w:cs="仿宋" w:hint="eastAsia"/>
                <w:b/>
                <w:bCs/>
                <w:color w:val="000000"/>
                <w:kern w:val="0"/>
                <w:sz w:val="22"/>
                <w:szCs w:val="22"/>
                <w:lang w:bidi="ar"/>
              </w:rPr>
              <w:t>6,404.00</w:t>
            </w:r>
          </w:p>
        </w:tc>
      </w:tr>
    </w:tbl>
    <w:p w:rsidR="007662C3" w:rsidRDefault="00D05E05">
      <w:pPr>
        <w:numPr>
          <w:ilvl w:val="0"/>
          <w:numId w:val="1"/>
        </w:numPr>
        <w:adjustRightInd w:val="0"/>
        <w:snapToGrid w:val="0"/>
        <w:spacing w:line="560" w:lineRule="exact"/>
        <w:ind w:firstLineChars="200" w:firstLine="640"/>
        <w:outlineLvl w:val="1"/>
        <w:rPr>
          <w:rFonts w:ascii="楷体" w:eastAsia="楷体" w:hAnsi="楷体" w:cs="楷体"/>
          <w:sz w:val="32"/>
          <w:szCs w:val="32"/>
        </w:rPr>
      </w:pPr>
      <w:bookmarkStart w:id="327" w:name="_Toc10352"/>
      <w:bookmarkStart w:id="328" w:name="_Toc16210"/>
      <w:bookmarkStart w:id="329" w:name="_Toc25169"/>
      <w:r>
        <w:rPr>
          <w:rFonts w:ascii="楷体" w:eastAsia="楷体" w:hAnsi="楷体" w:cs="楷体" w:hint="eastAsia"/>
          <w:sz w:val="32"/>
          <w:szCs w:val="32"/>
        </w:rPr>
        <w:t>项目绩效目标</w:t>
      </w:r>
      <w:bookmarkEnd w:id="327"/>
      <w:bookmarkEnd w:id="328"/>
      <w:bookmarkEnd w:id="329"/>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1.绩效总目标</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市级衔接推进乡村振兴补助资金项目的实施，进一步巩固拓展脱贫攻坚成果，带动村集体经济发展和农村低收入人口增收；培育和壮大重点地区优势特色产业，建设基础条件较好、主导产业突出、带动效果显著的农业产业强镇；建立</w:t>
      </w:r>
      <w:proofErr w:type="gramStart"/>
      <w:r>
        <w:rPr>
          <w:rFonts w:ascii="仿宋" w:eastAsia="仿宋" w:hAnsi="仿宋" w:cs="仿宋" w:hint="eastAsia"/>
          <w:sz w:val="32"/>
          <w:szCs w:val="32"/>
        </w:rPr>
        <w:t>健全联</w:t>
      </w:r>
      <w:proofErr w:type="gramEnd"/>
      <w:r>
        <w:rPr>
          <w:rFonts w:ascii="仿宋" w:eastAsia="仿宋" w:hAnsi="仿宋" w:cs="仿宋" w:hint="eastAsia"/>
          <w:sz w:val="32"/>
          <w:szCs w:val="32"/>
        </w:rPr>
        <w:t>农带农富农机制；改善农村基础设施，改善生产生活条件。</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2.项目年度目标</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（1）项目立项决策。项目立项依据充分，立项程序规范；项目绩效目标合理，绩效指标明确；项目预算编制科学，资金分配合理。</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（2）项目过程管理。资金使用合</w:t>
      </w:r>
      <w:proofErr w:type="gramStart"/>
      <w:r>
        <w:rPr>
          <w:rFonts w:ascii="仿宋" w:eastAsia="仿宋" w:hAnsi="仿宋" w:cs="仿宋" w:hint="eastAsia"/>
          <w:sz w:val="32"/>
          <w:szCs w:val="32"/>
        </w:rPr>
        <w:t>规</w:t>
      </w:r>
      <w:proofErr w:type="gramEnd"/>
      <w:r>
        <w:rPr>
          <w:rFonts w:ascii="仿宋" w:eastAsia="仿宋" w:hAnsi="仿宋" w:cs="仿宋" w:hint="eastAsia"/>
          <w:sz w:val="32"/>
          <w:szCs w:val="32"/>
        </w:rPr>
        <w:t>，资金到位率100%，预算执行率100%；项目管理制度健全，制度执行有效，跟踪管理到位，规范建立项目库，项目信息管理规范。</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（3）项目产出。片区关键工程项目支持镇街10个以上，重点镇</w:t>
      </w:r>
      <w:proofErr w:type="gramStart"/>
      <w:r>
        <w:rPr>
          <w:rFonts w:ascii="仿宋" w:eastAsia="仿宋" w:hAnsi="仿宋" w:cs="仿宋" w:hint="eastAsia"/>
          <w:sz w:val="32"/>
          <w:szCs w:val="32"/>
        </w:rPr>
        <w:t>街项目</w:t>
      </w:r>
      <w:proofErr w:type="gramEnd"/>
      <w:r>
        <w:rPr>
          <w:rFonts w:ascii="仿宋" w:eastAsia="仿宋" w:hAnsi="仿宋" w:cs="仿宋" w:hint="eastAsia"/>
          <w:sz w:val="32"/>
          <w:szCs w:val="32"/>
        </w:rPr>
        <w:t>支持镇街10个以上，扶持村社60个以上；建立项目联农带农机制，项目形成的资产及时确权移交；巩固脱贫攻坚成果有效，项目验收合格率100%，跟踪督促及问题整改到位；项目按时完成；成本控制有效。</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（4）项目效益。项目带动镇街和村社经济提升；社会效益明显；生态效益改善。</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（5）满意度。社会满意度不低于90%。</w:t>
      </w:r>
    </w:p>
    <w:p w:rsidR="007662C3" w:rsidRDefault="007662C3">
      <w:pPr>
        <w:adjustRightInd w:val="0"/>
        <w:snapToGrid w:val="0"/>
        <w:spacing w:line="560" w:lineRule="exact"/>
        <w:ind w:firstLineChars="200" w:firstLine="640"/>
        <w:rPr>
          <w:rFonts w:ascii="仿宋" w:eastAsia="仿宋" w:hAnsi="仿宋" w:cs="仿宋"/>
          <w:sz w:val="32"/>
          <w:szCs w:val="32"/>
        </w:rPr>
      </w:pPr>
    </w:p>
    <w:p w:rsidR="007662C3" w:rsidRDefault="007662C3">
      <w:pPr>
        <w:adjustRightInd w:val="0"/>
        <w:snapToGrid w:val="0"/>
        <w:spacing w:line="560" w:lineRule="exact"/>
        <w:ind w:firstLineChars="200" w:firstLine="640"/>
        <w:rPr>
          <w:rFonts w:ascii="仿宋" w:eastAsia="仿宋" w:hAnsi="仿宋" w:cs="仿宋"/>
          <w:sz w:val="32"/>
          <w:szCs w:val="32"/>
        </w:rPr>
      </w:pPr>
    </w:p>
    <w:p w:rsidR="007662C3" w:rsidRDefault="007662C3">
      <w:pPr>
        <w:adjustRightInd w:val="0"/>
        <w:snapToGrid w:val="0"/>
        <w:spacing w:line="560" w:lineRule="exact"/>
        <w:rPr>
          <w:rFonts w:ascii="仿宋" w:eastAsia="仿宋" w:hAnsi="仿宋" w:cs="仿宋"/>
          <w:color w:val="FF0000"/>
          <w:sz w:val="32"/>
          <w:szCs w:val="32"/>
        </w:rPr>
        <w:sectPr w:rsidR="007662C3">
          <w:headerReference w:type="default" r:id="rId9"/>
          <w:footerReference w:type="default" r:id="rId10"/>
          <w:pgSz w:w="11906" w:h="16838"/>
          <w:pgMar w:top="1701" w:right="1474" w:bottom="1417" w:left="1587" w:header="851" w:footer="992" w:gutter="0"/>
          <w:pgNumType w:start="1"/>
          <w:cols w:space="425"/>
          <w:docGrid w:type="lines" w:linePitch="312"/>
        </w:sectPr>
      </w:pPr>
    </w:p>
    <w:p w:rsidR="007662C3" w:rsidRDefault="00D05E05">
      <w:pPr>
        <w:adjustRightInd w:val="0"/>
        <w:snapToGrid w:val="0"/>
        <w:spacing w:line="560" w:lineRule="exact"/>
        <w:jc w:val="center"/>
        <w:rPr>
          <w:rFonts w:ascii="仿宋" w:eastAsia="仿宋" w:hAnsi="仿宋" w:cs="仿宋"/>
          <w:sz w:val="32"/>
          <w:szCs w:val="32"/>
        </w:rPr>
      </w:pPr>
      <w:r>
        <w:rPr>
          <w:rFonts w:ascii="仿宋" w:eastAsia="仿宋" w:hAnsi="仿宋" w:cs="仿宋" w:hint="eastAsia"/>
          <w:b/>
          <w:bCs/>
          <w:sz w:val="32"/>
          <w:szCs w:val="32"/>
        </w:rPr>
        <w:lastRenderedPageBreak/>
        <w:t>2025年度南京市市级衔接推进乡村振兴补助资金项目实施情况表</w:t>
      </w:r>
    </w:p>
    <w:p w:rsidR="007662C3" w:rsidRDefault="00D05E05">
      <w:pPr>
        <w:adjustRightInd w:val="0"/>
        <w:snapToGrid w:val="0"/>
        <w:spacing w:line="560" w:lineRule="exact"/>
        <w:jc w:val="right"/>
        <w:outlineLvl w:val="1"/>
        <w:rPr>
          <w:rFonts w:ascii="仿宋" w:eastAsia="仿宋" w:hAnsi="仿宋" w:cs="仿宋"/>
          <w:sz w:val="24"/>
        </w:rPr>
      </w:pPr>
      <w:bookmarkStart w:id="330" w:name="_Toc14382"/>
      <w:bookmarkStart w:id="331" w:name="_Toc27829"/>
      <w:r>
        <w:rPr>
          <w:rFonts w:ascii="仿宋" w:eastAsia="仿宋" w:hAnsi="仿宋" w:cs="仿宋" w:hint="eastAsia"/>
          <w:sz w:val="24"/>
        </w:rPr>
        <w:t>单位：万元</w:t>
      </w:r>
      <w:bookmarkEnd w:id="330"/>
      <w:bookmarkEnd w:id="331"/>
    </w:p>
    <w:tbl>
      <w:tblPr>
        <w:tblStyle w:val="a3"/>
        <w:tblW w:w="13936" w:type="dxa"/>
        <w:jc w:val="center"/>
        <w:tblInd w:w="0" w:type="dxa"/>
        <w:tblCellMar>
          <w:left w:w="108" w:type="dxa"/>
          <w:right w:w="108" w:type="dxa"/>
        </w:tblCellMar>
        <w:tblLook w:val="04A0" w:firstRow="1" w:lastRow="0" w:firstColumn="1" w:lastColumn="0" w:noHBand="0" w:noVBand="1"/>
      </w:tblPr>
      <w:tblGrid>
        <w:gridCol w:w="782"/>
        <w:gridCol w:w="1116"/>
        <w:gridCol w:w="1550"/>
        <w:gridCol w:w="1133"/>
        <w:gridCol w:w="4967"/>
        <w:gridCol w:w="1650"/>
        <w:gridCol w:w="2738"/>
      </w:tblGrid>
      <w:tr w:rsidR="007662C3">
        <w:trPr>
          <w:tblHeader/>
          <w:jc w:val="center"/>
        </w:trPr>
        <w:tc>
          <w:tcPr>
            <w:tcW w:w="782" w:type="dxa"/>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序号</w:t>
            </w:r>
          </w:p>
        </w:tc>
        <w:tc>
          <w:tcPr>
            <w:tcW w:w="0" w:type="auto"/>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区属</w:t>
            </w:r>
          </w:p>
        </w:tc>
        <w:tc>
          <w:tcPr>
            <w:tcW w:w="1550" w:type="dxa"/>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项目名称</w:t>
            </w:r>
          </w:p>
        </w:tc>
        <w:tc>
          <w:tcPr>
            <w:tcW w:w="1133" w:type="dxa"/>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市级资金</w:t>
            </w:r>
          </w:p>
        </w:tc>
        <w:tc>
          <w:tcPr>
            <w:tcW w:w="4967" w:type="dxa"/>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2025</w:t>
            </w:r>
            <w:r>
              <w:rPr>
                <w:rFonts w:ascii="Times New Roman" w:eastAsia="仿宋" w:hAnsi="Times New Roman" w:cs="Times New Roman" w:hint="eastAsia"/>
                <w:b/>
                <w:bCs/>
                <w:sz w:val="20"/>
                <w:szCs w:val="20"/>
              </w:rPr>
              <w:t>年建设任务</w:t>
            </w:r>
          </w:p>
        </w:tc>
        <w:tc>
          <w:tcPr>
            <w:tcW w:w="1650" w:type="dxa"/>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现场核实项目完成情况</w:t>
            </w:r>
          </w:p>
        </w:tc>
        <w:tc>
          <w:tcPr>
            <w:tcW w:w="2738" w:type="dxa"/>
            <w:vAlign w:val="center"/>
          </w:tcPr>
          <w:p w:rsidR="007662C3" w:rsidRDefault="00D05E05">
            <w:pPr>
              <w:snapToGrid w:val="0"/>
              <w:jc w:val="center"/>
              <w:rPr>
                <w:rFonts w:ascii="Times New Roman" w:eastAsia="仿宋" w:hAnsi="Times New Roman" w:cs="Times New Roman"/>
                <w:b/>
                <w:bCs/>
                <w:sz w:val="20"/>
                <w:szCs w:val="20"/>
              </w:rPr>
            </w:pPr>
            <w:r>
              <w:rPr>
                <w:rFonts w:ascii="Times New Roman" w:eastAsia="仿宋" w:hAnsi="Times New Roman" w:cs="Times New Roman" w:hint="eastAsia"/>
                <w:b/>
                <w:bCs/>
                <w:sz w:val="20"/>
                <w:szCs w:val="20"/>
              </w:rPr>
              <w:t>进度滞后原因</w:t>
            </w: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江宁区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横溪街道西阳</w:t>
            </w:r>
            <w:proofErr w:type="gramStart"/>
            <w:r>
              <w:rPr>
                <w:rFonts w:ascii="宋体" w:eastAsia="宋体" w:hAnsi="宋体" w:cs="宋体" w:hint="eastAsia"/>
                <w:color w:val="000000"/>
                <w:kern w:val="0"/>
                <w:sz w:val="22"/>
                <w:szCs w:val="22"/>
                <w:lang w:bidi="ar"/>
              </w:rPr>
              <w:t>社区林</w:t>
            </w:r>
            <w:proofErr w:type="gramEnd"/>
            <w:r>
              <w:rPr>
                <w:rFonts w:ascii="宋体" w:eastAsia="宋体" w:hAnsi="宋体" w:cs="宋体" w:hint="eastAsia"/>
                <w:color w:val="000000"/>
                <w:kern w:val="0"/>
                <w:sz w:val="22"/>
                <w:szCs w:val="22"/>
                <w:lang w:bidi="ar"/>
              </w:rPr>
              <w:t>下南烛种植项目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200.00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项目内容主要为种植南烛树种（乌饭树），通过采摘乌饭树叶，加工成乌米、烧卖等各种乌米食品进行销售，增加村集体及农户收入。</w:t>
            </w:r>
            <w:r>
              <w:rPr>
                <w:rFonts w:ascii="宋体" w:eastAsia="宋体" w:hAnsi="宋体" w:cs="宋体" w:hint="eastAsia"/>
                <w:color w:val="000000"/>
                <w:kern w:val="0"/>
                <w:sz w:val="22"/>
                <w:szCs w:val="22"/>
                <w:lang w:bidi="ar"/>
              </w:rPr>
              <w:br/>
              <w:t>1.150亩场地清杂及种树，计划投入36.3万元；</w:t>
            </w:r>
            <w:r>
              <w:rPr>
                <w:rFonts w:ascii="宋体" w:eastAsia="宋体" w:hAnsi="宋体" w:cs="宋体" w:hint="eastAsia"/>
                <w:color w:val="000000"/>
                <w:kern w:val="0"/>
                <w:sz w:val="22"/>
                <w:szCs w:val="22"/>
                <w:lang w:bidi="ar"/>
              </w:rPr>
              <w:br/>
              <w:t>2.铺设水肥一体化灌溉设施1套，计划投入30万元；</w:t>
            </w:r>
            <w:r>
              <w:rPr>
                <w:rFonts w:ascii="宋体" w:eastAsia="宋体" w:hAnsi="宋体" w:cs="宋体" w:hint="eastAsia"/>
                <w:color w:val="000000"/>
                <w:kern w:val="0"/>
                <w:sz w:val="22"/>
                <w:szCs w:val="22"/>
                <w:lang w:bidi="ar"/>
              </w:rPr>
              <w:br/>
              <w:t>3.乌饭树苗种植及补苗150亩（保证成活率90%以上），计划投入105万元；</w:t>
            </w:r>
            <w:r>
              <w:rPr>
                <w:rFonts w:ascii="宋体" w:eastAsia="宋体" w:hAnsi="宋体" w:cs="宋体" w:hint="eastAsia"/>
                <w:color w:val="000000"/>
                <w:kern w:val="0"/>
                <w:sz w:val="22"/>
                <w:szCs w:val="22"/>
                <w:lang w:bidi="ar"/>
              </w:rPr>
              <w:br/>
              <w:t>4.铺设防草布150亩，计划投入12万元；</w:t>
            </w:r>
            <w:r>
              <w:rPr>
                <w:rFonts w:ascii="宋体" w:eastAsia="宋体" w:hAnsi="宋体" w:cs="宋体" w:hint="eastAsia"/>
                <w:color w:val="000000"/>
                <w:kern w:val="0"/>
                <w:sz w:val="22"/>
                <w:szCs w:val="22"/>
                <w:lang w:bidi="ar"/>
              </w:rPr>
              <w:br/>
              <w:t>5.建设冷冻及冷藏库各250立方，计划投入20万元；</w:t>
            </w:r>
            <w:r>
              <w:rPr>
                <w:rFonts w:ascii="宋体" w:eastAsia="宋体" w:hAnsi="宋体" w:cs="宋体" w:hint="eastAsia"/>
                <w:color w:val="000000"/>
                <w:kern w:val="0"/>
                <w:sz w:val="22"/>
                <w:szCs w:val="22"/>
                <w:lang w:bidi="ar"/>
              </w:rPr>
              <w:br/>
              <w:t>6.全套监控设施，计划投入1.7万元。</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江宁区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丹桂社区丹桂农事服务中心项目（大米加工项目）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200.00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项目内容主要为建设大米生产线（1t/h）、平房仓通风、制冷设施、地磅、叉车等，为村集体创收，持续为地方贡献产值。</w:t>
            </w:r>
            <w:r>
              <w:rPr>
                <w:rFonts w:ascii="宋体" w:eastAsia="宋体" w:hAnsi="宋体" w:cs="宋体" w:hint="eastAsia"/>
                <w:color w:val="000000"/>
                <w:kern w:val="0"/>
                <w:sz w:val="22"/>
                <w:szCs w:val="22"/>
                <w:lang w:bidi="ar"/>
              </w:rPr>
              <w:br/>
              <w:t>1.一条大米生产线（1t/h），计划投入152万元；</w:t>
            </w:r>
            <w:r>
              <w:rPr>
                <w:rFonts w:ascii="宋体" w:eastAsia="宋体" w:hAnsi="宋体" w:cs="宋体" w:hint="eastAsia"/>
                <w:color w:val="000000"/>
                <w:kern w:val="0"/>
                <w:sz w:val="22"/>
                <w:szCs w:val="22"/>
                <w:lang w:bidi="ar"/>
              </w:rPr>
              <w:br/>
              <w:t>2.一处平房仓通风、制冷设施，计划投入25万元；</w:t>
            </w:r>
            <w:r>
              <w:rPr>
                <w:rFonts w:ascii="宋体" w:eastAsia="宋体" w:hAnsi="宋体" w:cs="宋体" w:hint="eastAsia"/>
                <w:color w:val="000000"/>
                <w:kern w:val="0"/>
                <w:sz w:val="22"/>
                <w:szCs w:val="22"/>
                <w:lang w:bidi="ar"/>
              </w:rPr>
              <w:br/>
              <w:t>3.一台30T地磅，计划投入20万元；</w:t>
            </w:r>
            <w:r>
              <w:rPr>
                <w:rFonts w:ascii="宋体" w:eastAsia="宋体" w:hAnsi="宋体" w:cs="宋体" w:hint="eastAsia"/>
                <w:color w:val="000000"/>
                <w:kern w:val="0"/>
                <w:sz w:val="22"/>
                <w:szCs w:val="22"/>
                <w:lang w:bidi="ar"/>
              </w:rPr>
              <w:br/>
              <w:t>4.一台3T叉车，计划投入8万元。</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正在施工</w:t>
            </w:r>
          </w:p>
        </w:tc>
        <w:tc>
          <w:tcPr>
            <w:tcW w:w="2738"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招投标过程漫长，2026年5月19日开标</w:t>
            </w: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3</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江宁区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淳化</w:t>
            </w:r>
            <w:proofErr w:type="gramStart"/>
            <w:r>
              <w:rPr>
                <w:rFonts w:ascii="宋体" w:eastAsia="宋体" w:hAnsi="宋体" w:cs="宋体" w:hint="eastAsia"/>
                <w:color w:val="000000"/>
                <w:kern w:val="0"/>
                <w:sz w:val="22"/>
                <w:szCs w:val="22"/>
                <w:lang w:bidi="ar"/>
              </w:rPr>
              <w:t>街道西埠村</w:t>
            </w:r>
            <w:proofErr w:type="gramEnd"/>
            <w:r>
              <w:rPr>
                <w:rFonts w:ascii="宋体" w:eastAsia="宋体" w:hAnsi="宋体" w:cs="宋体" w:hint="eastAsia"/>
                <w:color w:val="000000"/>
                <w:kern w:val="0"/>
                <w:sz w:val="22"/>
                <w:szCs w:val="22"/>
                <w:lang w:bidi="ar"/>
              </w:rPr>
              <w:t>粮食烘干仓储厂房建设项目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140.40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项目内容主要为新建一处560㎡烘干仓储厂房，高15米、长50米、宽12.5米，采用H型钢+防火铝板+混凝土结构（国标）。项目为村集体创收，降低种植户成本。</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未开工</w:t>
            </w:r>
          </w:p>
        </w:tc>
        <w:tc>
          <w:tcPr>
            <w:tcW w:w="2738"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本项目进度滞后，系农用地备案手续繁琐，</w:t>
            </w:r>
            <w:proofErr w:type="gramStart"/>
            <w:r>
              <w:rPr>
                <w:rFonts w:ascii="宋体" w:eastAsia="宋体" w:hAnsi="宋体" w:cs="宋体" w:hint="eastAsia"/>
                <w:color w:val="000000"/>
                <w:kern w:val="0"/>
                <w:sz w:val="22"/>
                <w:szCs w:val="22"/>
                <w:lang w:bidi="ar"/>
              </w:rPr>
              <w:t>虽招投标</w:t>
            </w:r>
            <w:proofErr w:type="gramEnd"/>
            <w:r>
              <w:rPr>
                <w:rFonts w:ascii="宋体" w:eastAsia="宋体" w:hAnsi="宋体" w:cs="宋体" w:hint="eastAsia"/>
                <w:color w:val="000000"/>
                <w:kern w:val="0"/>
                <w:sz w:val="22"/>
                <w:szCs w:val="22"/>
                <w:lang w:bidi="ar"/>
              </w:rPr>
              <w:t>程序已正常完成，但因涉及市级资金，区财政局</w:t>
            </w:r>
            <w:r>
              <w:rPr>
                <w:rFonts w:ascii="宋体" w:eastAsia="宋体" w:hAnsi="宋体" w:cs="宋体" w:hint="eastAsia"/>
                <w:color w:val="000000"/>
                <w:kern w:val="0"/>
                <w:sz w:val="22"/>
                <w:szCs w:val="22"/>
                <w:lang w:bidi="ar"/>
              </w:rPr>
              <w:lastRenderedPageBreak/>
              <w:t>投资评审中心需对招投标控制价的合理性及超预算情况开展二次审核，流程周期较长所致。</w:t>
            </w: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4</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江宁区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购置资产</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300.00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连同扶贫资金、被征地集体留成资金等资金，购买江宁开发区楼宇资产，明确成员村资产产权，委托园区经营管理，各村按比例获得收益分红。</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5</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浦口区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南京浦口现代产业园（瓜果）项目（二期）冷链仓储物流中心建设项目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200.00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新建7065平方米冷藏保鲜中心一栋，场地平整14亩，包括收货出货区、停车场及周边道路绿化，场区水电配套等。</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6</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浦口区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永宁青虾交易市场</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190.40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计划建设6402平方米交易市场，打造南京1小时鲜活农产品供应区，青虾农产品电子商务销售区，青虾深加工、包装存储、长途运输区，建设内容包括项目场地作业面清理、桩基工程、主体工程、内外装修工程、公用工程（水电、消防、暖通、亮化、标识、智能化、绿化、道路等）和交易市场内外设备、设施的购置安装。</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7</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浦口区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星</w:t>
            </w:r>
            <w:proofErr w:type="gramStart"/>
            <w:r>
              <w:rPr>
                <w:rFonts w:ascii="宋体" w:eastAsia="宋体" w:hAnsi="宋体" w:cs="宋体" w:hint="eastAsia"/>
                <w:color w:val="000000"/>
                <w:kern w:val="0"/>
                <w:sz w:val="22"/>
                <w:szCs w:val="22"/>
                <w:lang w:bidi="ar"/>
              </w:rPr>
              <w:t>甸</w:t>
            </w:r>
            <w:proofErr w:type="gramEnd"/>
            <w:r>
              <w:rPr>
                <w:rFonts w:ascii="宋体" w:eastAsia="宋体" w:hAnsi="宋体" w:cs="宋体" w:hint="eastAsia"/>
                <w:color w:val="000000"/>
                <w:kern w:val="0"/>
                <w:sz w:val="22"/>
                <w:szCs w:val="22"/>
                <w:lang w:bidi="ar"/>
              </w:rPr>
              <w:t>街道山西村连栋塑料大棚建设项目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1.新建7488㎡连栋塑料大棚；</w:t>
            </w:r>
            <w:r>
              <w:rPr>
                <w:rFonts w:ascii="宋体" w:eastAsia="宋体" w:hAnsi="宋体" w:cs="宋体" w:hint="eastAsia"/>
                <w:color w:val="000000"/>
                <w:kern w:val="0"/>
                <w:sz w:val="22"/>
                <w:szCs w:val="22"/>
                <w:lang w:bidi="ar"/>
              </w:rPr>
              <w:br/>
              <w:t>2.配套监控系统、水肥系统各一套。</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8</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浦口区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泉西社区设施</w:t>
            </w:r>
            <w:proofErr w:type="gramEnd"/>
            <w:r>
              <w:rPr>
                <w:rFonts w:ascii="宋体" w:eastAsia="宋体" w:hAnsi="宋体" w:cs="宋体" w:hint="eastAsia"/>
                <w:color w:val="000000"/>
                <w:kern w:val="0"/>
                <w:sz w:val="22"/>
                <w:szCs w:val="22"/>
                <w:lang w:bidi="ar"/>
              </w:rPr>
              <w:t>草花基地1612㎡连栋温室及附属设施建设项目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1.新建设1612㎡连栋塑料温室，钢结构简易大棚256㎡；</w:t>
            </w:r>
            <w:r>
              <w:rPr>
                <w:rFonts w:ascii="宋体" w:eastAsia="宋体" w:hAnsi="宋体" w:cs="宋体" w:hint="eastAsia"/>
                <w:color w:val="000000"/>
                <w:kern w:val="0"/>
                <w:sz w:val="22"/>
                <w:szCs w:val="22"/>
                <w:lang w:bidi="ar"/>
              </w:rPr>
              <w:br/>
              <w:t>2.配套电动外遮阳系统、内保温系统、湿帘－风机降温系统和喷灌系统等。</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9</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浦口区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桥林街道周</w:t>
            </w:r>
            <w:proofErr w:type="gramEnd"/>
            <w:r>
              <w:rPr>
                <w:rFonts w:ascii="宋体" w:eastAsia="宋体" w:hAnsi="宋体" w:cs="宋体" w:hint="eastAsia"/>
                <w:color w:val="000000"/>
                <w:kern w:val="0"/>
                <w:sz w:val="22"/>
                <w:szCs w:val="22"/>
                <w:lang w:bidi="ar"/>
              </w:rPr>
              <w:t>营村“云上田园”配套设施新建工程</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新建占地约1亩果蔬保鲜冷库、分拣包装室。</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仿宋" w:cs="仿宋" w:hint="eastAsia"/>
                <w:sz w:val="22"/>
                <w:szCs w:val="32"/>
              </w:rPr>
              <w:t>未开工</w:t>
            </w:r>
          </w:p>
        </w:tc>
        <w:tc>
          <w:tcPr>
            <w:tcW w:w="2738" w:type="dxa"/>
            <w:vAlign w:val="center"/>
          </w:tcPr>
          <w:p w:rsidR="007662C3" w:rsidRDefault="00D05E05">
            <w:pPr>
              <w:adjustRightInd w:val="0"/>
              <w:snapToGrid w:val="0"/>
              <w:jc w:val="left"/>
              <w:rPr>
                <w:rFonts w:ascii="宋体" w:eastAsia="宋体" w:hAnsi="仿宋" w:cs="仿宋"/>
                <w:sz w:val="22"/>
                <w:szCs w:val="32"/>
              </w:rPr>
            </w:pPr>
            <w:r>
              <w:rPr>
                <w:rFonts w:ascii="宋体" w:eastAsia="宋体" w:hAnsi="仿宋" w:cs="仿宋" w:hint="eastAsia"/>
                <w:sz w:val="22"/>
                <w:szCs w:val="32"/>
              </w:rPr>
              <w:t>土地设施备案审批</w:t>
            </w: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10</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六合区</w:t>
            </w:r>
            <w:proofErr w:type="gramEnd"/>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冶山</w:t>
            </w:r>
            <w:proofErr w:type="gramEnd"/>
            <w:r>
              <w:rPr>
                <w:rFonts w:ascii="宋体" w:eastAsia="宋体" w:hAnsi="宋体" w:cs="宋体" w:hint="eastAsia"/>
                <w:color w:val="000000"/>
                <w:kern w:val="0"/>
                <w:sz w:val="22"/>
                <w:szCs w:val="22"/>
                <w:lang w:bidi="ar"/>
              </w:rPr>
              <w:t>籼米产业化综合服务中心及</w:t>
            </w:r>
            <w:proofErr w:type="gramStart"/>
            <w:r>
              <w:rPr>
                <w:rFonts w:ascii="宋体" w:eastAsia="宋体" w:hAnsi="宋体" w:cs="宋体" w:hint="eastAsia"/>
                <w:color w:val="000000"/>
                <w:kern w:val="0"/>
                <w:sz w:val="22"/>
                <w:szCs w:val="22"/>
                <w:lang w:bidi="ar"/>
              </w:rPr>
              <w:t>冶山</w:t>
            </w:r>
            <w:proofErr w:type="gramEnd"/>
            <w:r>
              <w:rPr>
                <w:rFonts w:ascii="宋体" w:eastAsia="宋体" w:hAnsi="宋体" w:cs="宋体" w:hint="eastAsia"/>
                <w:color w:val="000000"/>
                <w:kern w:val="0"/>
                <w:sz w:val="22"/>
                <w:szCs w:val="22"/>
                <w:lang w:bidi="ar"/>
              </w:rPr>
              <w:t>街道</w:t>
            </w:r>
            <w:proofErr w:type="gramStart"/>
            <w:r>
              <w:rPr>
                <w:rFonts w:ascii="宋体" w:eastAsia="宋体" w:hAnsi="宋体" w:cs="宋体" w:hint="eastAsia"/>
                <w:color w:val="000000"/>
                <w:kern w:val="0"/>
                <w:sz w:val="22"/>
                <w:szCs w:val="22"/>
                <w:lang w:bidi="ar"/>
              </w:rPr>
              <w:t>石柱林</w:t>
            </w:r>
            <w:proofErr w:type="gramEnd"/>
            <w:r>
              <w:rPr>
                <w:rFonts w:ascii="宋体" w:eastAsia="宋体" w:hAnsi="宋体" w:cs="宋体" w:hint="eastAsia"/>
                <w:color w:val="000000"/>
                <w:kern w:val="0"/>
                <w:sz w:val="22"/>
                <w:szCs w:val="22"/>
                <w:lang w:bidi="ar"/>
              </w:rPr>
              <w:t>籼米烘干仓储项目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200.00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续建约3000平方米籼米烘干仓储项目，内设粮食烘干、粮食仓储、消防泵站以及项目附属设施配套，购置粮食初筛、除尘、清杂、烘干设备以及磅秤、传输带、铲车等配套生产设备；完成工程量100%。</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11</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六合区</w:t>
            </w:r>
            <w:proofErr w:type="gramEnd"/>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“龙池鲫鱼”示范养殖基地建设项目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140.40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续建龙池鲫鱼综合服务中心。</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12</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六合区</w:t>
            </w:r>
            <w:proofErr w:type="gramEnd"/>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南京茉莉</w:t>
            </w:r>
            <w:proofErr w:type="gramStart"/>
            <w:r>
              <w:rPr>
                <w:rFonts w:ascii="宋体" w:eastAsia="宋体" w:hAnsi="宋体" w:cs="宋体" w:hint="eastAsia"/>
                <w:color w:val="000000"/>
                <w:kern w:val="0"/>
                <w:sz w:val="22"/>
                <w:szCs w:val="22"/>
                <w:lang w:bidi="ar"/>
              </w:rPr>
              <w:t>六合振村产业</w:t>
            </w:r>
            <w:proofErr w:type="gramEnd"/>
            <w:r>
              <w:rPr>
                <w:rFonts w:ascii="宋体" w:eastAsia="宋体" w:hAnsi="宋体" w:cs="宋体" w:hint="eastAsia"/>
                <w:color w:val="000000"/>
                <w:kern w:val="0"/>
                <w:sz w:val="22"/>
                <w:szCs w:val="22"/>
                <w:lang w:bidi="ar"/>
              </w:rPr>
              <w:t>园项目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1,390.40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区级统筹部分财政衔接资金建设总规模约6.7万㎡的标准化产业园。</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13</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六合区</w:t>
            </w:r>
            <w:proofErr w:type="gramEnd"/>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竹镇镇大侯社区经营性用房建设项目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完成经营性用房配套设施工程。</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14</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芝山村曹庄富硒生态园枇杷种植基地连栋大棚项目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200.00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1.建设连栋大棚20亩；</w:t>
            </w:r>
            <w:r>
              <w:rPr>
                <w:rFonts w:ascii="宋体" w:eastAsia="宋体" w:hAnsi="宋体" w:cs="宋体" w:hint="eastAsia"/>
                <w:color w:val="000000"/>
                <w:kern w:val="0"/>
                <w:sz w:val="22"/>
                <w:szCs w:val="22"/>
                <w:lang w:bidi="ar"/>
              </w:rPr>
              <w:br/>
              <w:t>2.铺设水泥路；</w:t>
            </w:r>
            <w:r>
              <w:rPr>
                <w:rFonts w:ascii="宋体" w:eastAsia="宋体" w:hAnsi="宋体" w:cs="宋体" w:hint="eastAsia"/>
                <w:color w:val="000000"/>
                <w:kern w:val="0"/>
                <w:sz w:val="22"/>
                <w:szCs w:val="22"/>
                <w:lang w:bidi="ar"/>
              </w:rPr>
              <w:br/>
              <w:t>3.配套电力。</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15</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石头寨两</w:t>
            </w:r>
            <w:proofErr w:type="gramStart"/>
            <w:r>
              <w:rPr>
                <w:rFonts w:ascii="宋体" w:eastAsia="宋体" w:hAnsi="宋体" w:cs="宋体" w:hint="eastAsia"/>
                <w:color w:val="000000"/>
                <w:kern w:val="0"/>
                <w:sz w:val="22"/>
                <w:szCs w:val="22"/>
                <w:lang w:bidi="ar"/>
              </w:rPr>
              <w:t>莓</w:t>
            </w:r>
            <w:proofErr w:type="gramEnd"/>
            <w:r>
              <w:rPr>
                <w:rFonts w:ascii="宋体" w:eastAsia="宋体" w:hAnsi="宋体" w:cs="宋体" w:hint="eastAsia"/>
                <w:color w:val="000000"/>
                <w:kern w:val="0"/>
                <w:sz w:val="22"/>
                <w:szCs w:val="22"/>
                <w:lang w:bidi="ar"/>
              </w:rPr>
              <w:t>仓储厂房项目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200.00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新建厂房及冷库。</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16</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和凤都市</w:t>
            </w:r>
            <w:proofErr w:type="gramEnd"/>
            <w:r>
              <w:rPr>
                <w:rFonts w:ascii="宋体" w:eastAsia="宋体" w:hAnsi="宋体" w:cs="宋体" w:hint="eastAsia"/>
                <w:color w:val="000000"/>
                <w:kern w:val="0"/>
                <w:sz w:val="22"/>
                <w:szCs w:val="22"/>
                <w:lang w:bidi="ar"/>
              </w:rPr>
              <w:t>农业园优质稻米社</w:t>
            </w:r>
            <w:r>
              <w:rPr>
                <w:rFonts w:ascii="宋体" w:eastAsia="宋体" w:hAnsi="宋体" w:cs="宋体" w:hint="eastAsia"/>
                <w:color w:val="000000"/>
                <w:kern w:val="0"/>
                <w:sz w:val="22"/>
                <w:szCs w:val="22"/>
                <w:lang w:bidi="ar"/>
              </w:rPr>
              <w:lastRenderedPageBreak/>
              <w:t>会化服务平台全产业</w:t>
            </w:r>
            <w:proofErr w:type="gramStart"/>
            <w:r>
              <w:rPr>
                <w:rFonts w:ascii="宋体" w:eastAsia="宋体" w:hAnsi="宋体" w:cs="宋体" w:hint="eastAsia"/>
                <w:color w:val="000000"/>
                <w:kern w:val="0"/>
                <w:sz w:val="22"/>
                <w:szCs w:val="22"/>
                <w:lang w:bidi="ar"/>
              </w:rPr>
              <w:t>链项目</w:t>
            </w:r>
            <w:proofErr w:type="gramEnd"/>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 xml:space="preserve">140.40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新建优质稻米等农产品社会化服务园区公共平台。</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17</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白马镇浮山村茶叶厂房建设项目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1.续建茶叶厂房；2.购置安装茶叶机械设备。</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18</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和平村建设生产物资储备库项目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续建生产物资储备库。       </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19</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晶桥镇仙坛村购置</w:t>
            </w:r>
            <w:proofErr w:type="gramEnd"/>
            <w:r>
              <w:rPr>
                <w:rFonts w:ascii="宋体" w:eastAsia="宋体" w:hAnsi="宋体" w:cs="宋体" w:hint="eastAsia"/>
                <w:color w:val="000000"/>
                <w:kern w:val="0"/>
                <w:sz w:val="22"/>
                <w:szCs w:val="22"/>
                <w:lang w:bidi="ar"/>
              </w:rPr>
              <w:t>门面房项目（2025年）</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购置溧水区城南</w:t>
            </w:r>
            <w:proofErr w:type="gramStart"/>
            <w:r>
              <w:rPr>
                <w:rFonts w:ascii="宋体" w:eastAsia="宋体" w:hAnsi="宋体" w:cs="宋体" w:hint="eastAsia"/>
                <w:color w:val="000000"/>
                <w:kern w:val="0"/>
                <w:sz w:val="22"/>
                <w:szCs w:val="22"/>
                <w:lang w:bidi="ar"/>
              </w:rPr>
              <w:t>昕</w:t>
            </w:r>
            <w:proofErr w:type="gramEnd"/>
            <w:r>
              <w:rPr>
                <w:rFonts w:ascii="宋体" w:eastAsia="宋体" w:hAnsi="宋体" w:cs="宋体" w:hint="eastAsia"/>
                <w:color w:val="000000"/>
                <w:kern w:val="0"/>
                <w:sz w:val="22"/>
                <w:szCs w:val="22"/>
                <w:lang w:bidi="ar"/>
              </w:rPr>
              <w:t>悦尚宸小区，两间纯单层门面房。</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20</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东屏街道长乐社区2025年仓储</w:t>
            </w:r>
            <w:proofErr w:type="gramStart"/>
            <w:r>
              <w:rPr>
                <w:rFonts w:ascii="宋体" w:eastAsia="宋体" w:hAnsi="宋体" w:cs="宋体" w:hint="eastAsia"/>
                <w:color w:val="000000"/>
                <w:kern w:val="0"/>
                <w:sz w:val="22"/>
                <w:szCs w:val="22"/>
                <w:lang w:bidi="ar"/>
              </w:rPr>
              <w:t>库配套</w:t>
            </w:r>
            <w:proofErr w:type="gramEnd"/>
            <w:r>
              <w:rPr>
                <w:rFonts w:ascii="宋体" w:eastAsia="宋体" w:hAnsi="宋体" w:cs="宋体" w:hint="eastAsia"/>
                <w:color w:val="000000"/>
                <w:kern w:val="0"/>
                <w:sz w:val="22"/>
                <w:szCs w:val="22"/>
                <w:lang w:bidi="ar"/>
              </w:rPr>
              <w:t>设施建设项目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新建仓储用房及车辆停放场地，建成后出租。</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21</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洪蓝街道青锋村购置商铺项目（2025年）</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购置</w:t>
            </w:r>
            <w:proofErr w:type="gramStart"/>
            <w:r>
              <w:rPr>
                <w:rFonts w:ascii="宋体" w:eastAsia="宋体" w:hAnsi="宋体" w:cs="宋体" w:hint="eastAsia"/>
                <w:color w:val="000000"/>
                <w:kern w:val="0"/>
                <w:sz w:val="22"/>
                <w:szCs w:val="22"/>
                <w:lang w:bidi="ar"/>
              </w:rPr>
              <w:t>华塘佳苑</w:t>
            </w:r>
            <w:proofErr w:type="gramEnd"/>
            <w:r>
              <w:rPr>
                <w:rFonts w:ascii="宋体" w:eastAsia="宋体" w:hAnsi="宋体" w:cs="宋体" w:hint="eastAsia"/>
                <w:color w:val="000000"/>
                <w:kern w:val="0"/>
                <w:sz w:val="22"/>
                <w:szCs w:val="22"/>
                <w:lang w:bidi="ar"/>
              </w:rPr>
              <w:t>一期安置房1#商铺214.3平方米。</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22</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石</w:t>
            </w:r>
            <w:proofErr w:type="gramStart"/>
            <w:r>
              <w:rPr>
                <w:rFonts w:ascii="宋体" w:eastAsia="宋体" w:hAnsi="宋体" w:cs="宋体" w:hint="eastAsia"/>
                <w:color w:val="000000"/>
                <w:kern w:val="0"/>
                <w:sz w:val="22"/>
                <w:szCs w:val="22"/>
                <w:lang w:bidi="ar"/>
              </w:rPr>
              <w:t>湫</w:t>
            </w:r>
            <w:proofErr w:type="gramEnd"/>
            <w:r>
              <w:rPr>
                <w:rFonts w:ascii="宋体" w:eastAsia="宋体" w:hAnsi="宋体" w:cs="宋体" w:hint="eastAsia"/>
                <w:color w:val="000000"/>
                <w:kern w:val="0"/>
                <w:sz w:val="22"/>
                <w:szCs w:val="22"/>
                <w:lang w:bidi="ar"/>
              </w:rPr>
              <w:t>街道向阳村烘干中心粮食运转辅助设备采购项目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采购传送带、</w:t>
            </w:r>
            <w:proofErr w:type="gramStart"/>
            <w:r>
              <w:rPr>
                <w:rFonts w:ascii="宋体" w:eastAsia="宋体" w:hAnsi="宋体" w:cs="宋体" w:hint="eastAsia"/>
                <w:color w:val="000000"/>
                <w:kern w:val="0"/>
                <w:sz w:val="22"/>
                <w:szCs w:val="22"/>
                <w:lang w:bidi="ar"/>
              </w:rPr>
              <w:t>扒谷机等</w:t>
            </w:r>
            <w:proofErr w:type="gramEnd"/>
            <w:r>
              <w:rPr>
                <w:rFonts w:ascii="宋体" w:eastAsia="宋体" w:hAnsi="宋体" w:cs="宋体" w:hint="eastAsia"/>
                <w:color w:val="000000"/>
                <w:kern w:val="0"/>
                <w:sz w:val="22"/>
                <w:szCs w:val="22"/>
                <w:lang w:bidi="ar"/>
              </w:rPr>
              <w:t>粮食运转设备一批。</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23</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石头寨村新建配套仓储厂房项目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1.购置堆高叉车；2.变压器扩容；3.院墙。</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24</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和凤镇吴村桥</w:t>
            </w:r>
            <w:r>
              <w:rPr>
                <w:rFonts w:ascii="宋体" w:eastAsia="宋体" w:hAnsi="宋体" w:cs="宋体" w:hint="eastAsia"/>
                <w:color w:val="000000"/>
                <w:kern w:val="0"/>
                <w:sz w:val="22"/>
                <w:szCs w:val="22"/>
                <w:lang w:bidi="ar"/>
              </w:rPr>
              <w:lastRenderedPageBreak/>
              <w:t>村</w:t>
            </w:r>
            <w:proofErr w:type="gramEnd"/>
            <w:r>
              <w:rPr>
                <w:rFonts w:ascii="宋体" w:eastAsia="宋体" w:hAnsi="宋体" w:cs="宋体" w:hint="eastAsia"/>
                <w:color w:val="000000"/>
                <w:kern w:val="0"/>
                <w:sz w:val="22"/>
                <w:szCs w:val="22"/>
                <w:lang w:bidi="ar"/>
              </w:rPr>
              <w:t>水产产业基地建设项目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集中整合治理水面，对淤泥较厚塘口进行清淤，完</w:t>
            </w:r>
            <w:r>
              <w:rPr>
                <w:rFonts w:ascii="宋体" w:eastAsia="宋体" w:hAnsi="宋体" w:cs="宋体" w:hint="eastAsia"/>
                <w:color w:val="000000"/>
                <w:kern w:val="0"/>
                <w:sz w:val="22"/>
                <w:szCs w:val="22"/>
                <w:lang w:bidi="ar"/>
              </w:rPr>
              <w:lastRenderedPageBreak/>
              <w:t>善建设进出</w:t>
            </w:r>
            <w:proofErr w:type="gramStart"/>
            <w:r>
              <w:rPr>
                <w:rFonts w:ascii="宋体" w:eastAsia="宋体" w:hAnsi="宋体" w:cs="宋体" w:hint="eastAsia"/>
                <w:color w:val="000000"/>
                <w:kern w:val="0"/>
                <w:sz w:val="22"/>
                <w:szCs w:val="22"/>
                <w:lang w:bidi="ar"/>
              </w:rPr>
              <w:t>水相关</w:t>
            </w:r>
            <w:proofErr w:type="gramEnd"/>
            <w:r>
              <w:rPr>
                <w:rFonts w:ascii="宋体" w:eastAsia="宋体" w:hAnsi="宋体" w:cs="宋体" w:hint="eastAsia"/>
                <w:color w:val="000000"/>
                <w:kern w:val="0"/>
                <w:sz w:val="22"/>
                <w:szCs w:val="22"/>
                <w:lang w:bidi="ar"/>
              </w:rPr>
              <w:t>基础设施。</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25</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溧水区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和凤镇乌飞塘社区</w:t>
            </w:r>
            <w:proofErr w:type="gramEnd"/>
            <w:r>
              <w:rPr>
                <w:rFonts w:ascii="宋体" w:eastAsia="宋体" w:hAnsi="宋体" w:cs="宋体" w:hint="eastAsia"/>
                <w:color w:val="000000"/>
                <w:kern w:val="0"/>
                <w:sz w:val="22"/>
                <w:szCs w:val="22"/>
                <w:lang w:bidi="ar"/>
              </w:rPr>
              <w:t>玉米种植设备采购项目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1.购买完整玉米播种设备整套；</w:t>
            </w:r>
            <w:r>
              <w:rPr>
                <w:rFonts w:ascii="宋体" w:eastAsia="宋体" w:hAnsi="宋体" w:cs="宋体" w:hint="eastAsia"/>
                <w:color w:val="000000"/>
                <w:kern w:val="0"/>
                <w:sz w:val="22"/>
                <w:szCs w:val="22"/>
                <w:lang w:bidi="ar"/>
              </w:rPr>
              <w:br/>
              <w:t>2.购买完整开沟设备整套；</w:t>
            </w:r>
            <w:r>
              <w:rPr>
                <w:rFonts w:ascii="宋体" w:eastAsia="宋体" w:hAnsi="宋体" w:cs="宋体" w:hint="eastAsia"/>
                <w:color w:val="000000"/>
                <w:kern w:val="0"/>
                <w:sz w:val="22"/>
                <w:szCs w:val="22"/>
                <w:lang w:bidi="ar"/>
              </w:rPr>
              <w:br/>
              <w:t>3.购买完整平整设备整套。</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26</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高淳区食品产业园项目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1,671.20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本项目规划用地面积约100亩，在区开发区统一建设高淳区食品产业园。目前建设一期项目，占地35亩，总建筑面积约4.3万平方米，规划建设4栋4层标准厂房，配套建设污水处理中心及配电房等附属设施。</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27</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薛城村门面房购置项目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购买门面房一间，并进行门面装修、制作门头、室内装潢、室内结构调整等；对外招租，意向螃蟹经营</w:t>
            </w:r>
            <w:proofErr w:type="gramStart"/>
            <w:r>
              <w:rPr>
                <w:rFonts w:ascii="宋体" w:eastAsia="宋体" w:hAnsi="宋体" w:cs="宋体" w:hint="eastAsia"/>
                <w:color w:val="000000"/>
                <w:kern w:val="0"/>
                <w:sz w:val="22"/>
                <w:szCs w:val="22"/>
                <w:lang w:bidi="ar"/>
              </w:rPr>
              <w:t>户或者</w:t>
            </w:r>
            <w:proofErr w:type="gramEnd"/>
            <w:r>
              <w:rPr>
                <w:rFonts w:ascii="宋体" w:eastAsia="宋体" w:hAnsi="宋体" w:cs="宋体" w:hint="eastAsia"/>
                <w:color w:val="000000"/>
                <w:kern w:val="0"/>
                <w:sz w:val="22"/>
                <w:szCs w:val="22"/>
                <w:lang w:bidi="ar"/>
              </w:rPr>
              <w:t>水产经济合作社。</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28</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和平</w:t>
            </w:r>
            <w:proofErr w:type="gramStart"/>
            <w:r>
              <w:rPr>
                <w:rFonts w:ascii="宋体" w:eastAsia="宋体" w:hAnsi="宋体" w:cs="宋体" w:hint="eastAsia"/>
                <w:color w:val="000000"/>
                <w:kern w:val="0"/>
                <w:sz w:val="22"/>
                <w:szCs w:val="22"/>
                <w:lang w:bidi="ar"/>
              </w:rPr>
              <w:t>村热植</w:t>
            </w:r>
            <w:proofErr w:type="gramEnd"/>
            <w:r>
              <w:rPr>
                <w:rFonts w:ascii="宋体" w:eastAsia="宋体" w:hAnsi="宋体" w:cs="宋体" w:hint="eastAsia"/>
                <w:color w:val="000000"/>
                <w:kern w:val="0"/>
                <w:sz w:val="22"/>
                <w:szCs w:val="22"/>
                <w:lang w:bidi="ar"/>
              </w:rPr>
              <w:t>生态空间研究</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拆除破旧房屋及环境整治，新建829平方</w:t>
            </w:r>
            <w:r w:rsidR="004B7E98">
              <w:rPr>
                <w:rFonts w:ascii="宋体" w:eastAsia="宋体" w:hAnsi="宋体" w:cs="宋体" w:hint="eastAsia"/>
                <w:color w:val="000000"/>
                <w:kern w:val="0"/>
                <w:sz w:val="22"/>
                <w:szCs w:val="22"/>
                <w:lang w:bidi="ar"/>
              </w:rPr>
              <w:t>米</w:t>
            </w:r>
            <w:r>
              <w:rPr>
                <w:rFonts w:ascii="宋体" w:eastAsia="宋体" w:hAnsi="宋体" w:cs="宋体" w:hint="eastAsia"/>
                <w:color w:val="000000"/>
                <w:kern w:val="0"/>
                <w:sz w:val="22"/>
                <w:szCs w:val="22"/>
                <w:lang w:bidi="ar"/>
              </w:rPr>
              <w:t>（276平方</w:t>
            </w:r>
            <w:r w:rsidR="004B7E98">
              <w:rPr>
                <w:rFonts w:ascii="宋体" w:eastAsia="宋体" w:hAnsi="宋体" w:cs="宋体" w:hint="eastAsia"/>
                <w:color w:val="000000"/>
                <w:kern w:val="0"/>
                <w:sz w:val="22"/>
                <w:szCs w:val="22"/>
                <w:lang w:bidi="ar"/>
              </w:rPr>
              <w:t>米</w:t>
            </w:r>
            <w:r>
              <w:rPr>
                <w:rFonts w:ascii="宋体" w:eastAsia="宋体" w:hAnsi="宋体" w:cs="宋体" w:hint="eastAsia"/>
                <w:color w:val="000000"/>
                <w:kern w:val="0"/>
                <w:sz w:val="22"/>
                <w:szCs w:val="22"/>
                <w:lang w:bidi="ar"/>
              </w:rPr>
              <w:t>*3层）培训中心，新建132平方</w:t>
            </w:r>
            <w:r w:rsidR="004B7E98">
              <w:rPr>
                <w:rFonts w:ascii="宋体" w:eastAsia="宋体" w:hAnsi="宋体" w:cs="宋体" w:hint="eastAsia"/>
                <w:color w:val="000000"/>
                <w:kern w:val="0"/>
                <w:sz w:val="22"/>
                <w:szCs w:val="22"/>
                <w:lang w:bidi="ar"/>
              </w:rPr>
              <w:t>米</w:t>
            </w:r>
            <w:r>
              <w:rPr>
                <w:rFonts w:ascii="宋体" w:eastAsia="宋体" w:hAnsi="宋体" w:cs="宋体" w:hint="eastAsia"/>
                <w:color w:val="000000"/>
                <w:kern w:val="0"/>
                <w:sz w:val="22"/>
                <w:szCs w:val="22"/>
                <w:lang w:bidi="ar"/>
              </w:rPr>
              <w:t>的仓库。</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29</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红松村园区标准厂房建设项目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规划建设标准厂房3栋、综合楼1栋，总建筑面积约21407平方米。</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30</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桠</w:t>
            </w:r>
            <w:proofErr w:type="gramEnd"/>
            <w:r>
              <w:rPr>
                <w:rFonts w:ascii="宋体" w:eastAsia="宋体" w:hAnsi="宋体" w:cs="宋体" w:hint="eastAsia"/>
                <w:color w:val="000000"/>
                <w:kern w:val="0"/>
                <w:sz w:val="22"/>
                <w:szCs w:val="22"/>
                <w:lang w:bidi="ar"/>
              </w:rPr>
              <w:t>溪</w:t>
            </w:r>
            <w:proofErr w:type="gramStart"/>
            <w:r>
              <w:rPr>
                <w:rFonts w:ascii="宋体" w:eastAsia="宋体" w:hAnsi="宋体" w:cs="宋体" w:hint="eastAsia"/>
                <w:color w:val="000000"/>
                <w:kern w:val="0"/>
                <w:sz w:val="22"/>
                <w:szCs w:val="22"/>
                <w:lang w:bidi="ar"/>
              </w:rPr>
              <w:t>街道顾陇村</w:t>
            </w:r>
            <w:proofErr w:type="gramEnd"/>
            <w:r>
              <w:rPr>
                <w:rFonts w:ascii="宋体" w:eastAsia="宋体" w:hAnsi="宋体" w:cs="宋体" w:hint="eastAsia"/>
                <w:color w:val="000000"/>
                <w:kern w:val="0"/>
                <w:sz w:val="22"/>
                <w:szCs w:val="22"/>
                <w:lang w:bidi="ar"/>
              </w:rPr>
              <w:t>门面房购置项目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购买门面房一间，并进行门面装修、制作门头、室内装潢、室内结构调整等；对外招租，意向农副产业经营</w:t>
            </w:r>
            <w:proofErr w:type="gramStart"/>
            <w:r>
              <w:rPr>
                <w:rFonts w:ascii="宋体" w:eastAsia="宋体" w:hAnsi="宋体" w:cs="宋体" w:hint="eastAsia"/>
                <w:color w:val="000000"/>
                <w:kern w:val="0"/>
                <w:sz w:val="22"/>
                <w:szCs w:val="22"/>
                <w:lang w:bidi="ar"/>
              </w:rPr>
              <w:t>户或者</w:t>
            </w:r>
            <w:proofErr w:type="gramEnd"/>
            <w:r>
              <w:rPr>
                <w:rFonts w:ascii="宋体" w:eastAsia="宋体" w:hAnsi="宋体" w:cs="宋体" w:hint="eastAsia"/>
                <w:color w:val="000000"/>
                <w:kern w:val="0"/>
                <w:sz w:val="22"/>
                <w:szCs w:val="22"/>
                <w:lang w:bidi="ar"/>
              </w:rPr>
              <w:t>个体零售业经营户。</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31</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高淳区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桠</w:t>
            </w:r>
            <w:proofErr w:type="gramEnd"/>
            <w:r>
              <w:rPr>
                <w:rFonts w:ascii="宋体" w:eastAsia="宋体" w:hAnsi="宋体" w:cs="宋体" w:hint="eastAsia"/>
                <w:color w:val="000000"/>
                <w:kern w:val="0"/>
                <w:sz w:val="22"/>
                <w:szCs w:val="22"/>
                <w:lang w:bidi="ar"/>
              </w:rPr>
              <w:t>溪街道</w:t>
            </w:r>
            <w:proofErr w:type="gramStart"/>
            <w:r>
              <w:rPr>
                <w:rFonts w:ascii="宋体" w:eastAsia="宋体" w:hAnsi="宋体" w:cs="宋体" w:hint="eastAsia"/>
                <w:color w:val="000000"/>
                <w:kern w:val="0"/>
                <w:sz w:val="22"/>
                <w:szCs w:val="22"/>
                <w:lang w:bidi="ar"/>
              </w:rPr>
              <w:t>跃进村</w:t>
            </w:r>
            <w:proofErr w:type="gramEnd"/>
            <w:r>
              <w:rPr>
                <w:rFonts w:ascii="宋体" w:eastAsia="宋体" w:hAnsi="宋体" w:cs="宋体" w:hint="eastAsia"/>
                <w:color w:val="000000"/>
                <w:kern w:val="0"/>
                <w:sz w:val="22"/>
                <w:szCs w:val="22"/>
                <w:lang w:bidi="ar"/>
              </w:rPr>
              <w:t>门面房购置项目</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购买门面房一间，并进行门面装修、制作门头、室内装潢、室内结构调整等； 对外招租，意向农副产业经营</w:t>
            </w:r>
            <w:proofErr w:type="gramStart"/>
            <w:r>
              <w:rPr>
                <w:rFonts w:ascii="宋体" w:eastAsia="宋体" w:hAnsi="宋体" w:cs="宋体" w:hint="eastAsia"/>
                <w:color w:val="000000"/>
                <w:kern w:val="0"/>
                <w:sz w:val="22"/>
                <w:szCs w:val="22"/>
                <w:lang w:bidi="ar"/>
              </w:rPr>
              <w:t>户或者</w:t>
            </w:r>
            <w:proofErr w:type="gramEnd"/>
            <w:r>
              <w:rPr>
                <w:rFonts w:ascii="宋体" w:eastAsia="宋体" w:hAnsi="宋体" w:cs="宋体" w:hint="eastAsia"/>
                <w:color w:val="000000"/>
                <w:kern w:val="0"/>
                <w:sz w:val="22"/>
                <w:szCs w:val="22"/>
                <w:lang w:bidi="ar"/>
              </w:rPr>
              <w:t>个体零售业经营户。</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已完成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32</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栖霞区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八卦洲农产品冷储中心二期</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140.40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冷储中心建设并配套分拣、包装、初级加工等设施设备。</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未开工</w:t>
            </w:r>
          </w:p>
        </w:tc>
        <w:tc>
          <w:tcPr>
            <w:tcW w:w="2738"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土地设施备案审批</w:t>
            </w: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lastRenderedPageBreak/>
              <w:t>33</w:t>
            </w:r>
          </w:p>
        </w:tc>
        <w:tc>
          <w:tcPr>
            <w:tcW w:w="0" w:type="auto"/>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栖霞区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桦墅射乌</w:t>
            </w:r>
            <w:proofErr w:type="gramEnd"/>
            <w:r>
              <w:rPr>
                <w:rFonts w:ascii="宋体" w:eastAsia="宋体" w:hAnsi="宋体" w:cs="宋体" w:hint="eastAsia"/>
                <w:color w:val="000000"/>
                <w:kern w:val="0"/>
                <w:sz w:val="22"/>
                <w:szCs w:val="22"/>
                <w:lang w:bidi="ar"/>
              </w:rPr>
              <w:t>山茶产业三产改造提升</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50.00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茶厂房屋修缮、房屋装修、茶三产服务设施改造等。</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未开工</w:t>
            </w:r>
          </w:p>
        </w:tc>
        <w:tc>
          <w:tcPr>
            <w:tcW w:w="2738" w:type="dxa"/>
            <w:vAlign w:val="center"/>
          </w:tcPr>
          <w:p w:rsidR="007662C3" w:rsidRDefault="00D05E05">
            <w:pPr>
              <w:widowControl/>
              <w:snapToGrid w:val="0"/>
              <w:jc w:val="left"/>
              <w:textAlignment w:val="center"/>
              <w:rPr>
                <w:rFonts w:ascii="宋体" w:eastAsia="宋体" w:hAnsi="仿宋" w:cs="仿宋"/>
                <w:sz w:val="22"/>
                <w:szCs w:val="32"/>
              </w:rPr>
            </w:pPr>
            <w:proofErr w:type="gramStart"/>
            <w:r>
              <w:rPr>
                <w:rFonts w:ascii="宋体" w:eastAsia="宋体" w:hAnsi="宋体" w:cs="宋体" w:hint="eastAsia"/>
                <w:color w:val="000000"/>
                <w:kern w:val="0"/>
                <w:sz w:val="22"/>
                <w:szCs w:val="22"/>
                <w:lang w:bidi="ar"/>
              </w:rPr>
              <w:t>茶产业</w:t>
            </w:r>
            <w:proofErr w:type="gramEnd"/>
            <w:r>
              <w:rPr>
                <w:rFonts w:ascii="宋体" w:eastAsia="宋体" w:hAnsi="宋体" w:cs="宋体" w:hint="eastAsia"/>
                <w:color w:val="000000"/>
                <w:kern w:val="0"/>
                <w:sz w:val="22"/>
                <w:szCs w:val="22"/>
                <w:lang w:bidi="ar"/>
              </w:rPr>
              <w:t>项目投资预算调整</w:t>
            </w:r>
          </w:p>
        </w:tc>
      </w:tr>
      <w:tr w:rsidR="007662C3">
        <w:trPr>
          <w:jc w:val="center"/>
        </w:trPr>
        <w:tc>
          <w:tcPr>
            <w:tcW w:w="782"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34</w:t>
            </w:r>
          </w:p>
        </w:tc>
        <w:tc>
          <w:tcPr>
            <w:tcW w:w="1116"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江北新区</w:t>
            </w:r>
          </w:p>
        </w:tc>
        <w:tc>
          <w:tcPr>
            <w:tcW w:w="1550"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盘城街道现代农业综合示范园建设项目（五期）</w:t>
            </w:r>
          </w:p>
        </w:tc>
        <w:tc>
          <w:tcPr>
            <w:tcW w:w="1133" w:type="dxa"/>
            <w:vAlign w:val="center"/>
          </w:tcPr>
          <w:p w:rsidR="007662C3" w:rsidRDefault="00D05E05">
            <w:pPr>
              <w:widowControl/>
              <w:snapToGrid w:val="0"/>
              <w:jc w:val="righ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 xml:space="preserve">140.40 </w:t>
            </w:r>
          </w:p>
        </w:tc>
        <w:tc>
          <w:tcPr>
            <w:tcW w:w="4967" w:type="dxa"/>
            <w:vAlign w:val="center"/>
          </w:tcPr>
          <w:p w:rsidR="007662C3" w:rsidRDefault="00D05E05">
            <w:pPr>
              <w:widowControl/>
              <w:snapToGrid w:val="0"/>
              <w:jc w:val="left"/>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1.新建3700㎡连栋塑料温室，配备防风墙、顶通风、侧通风、15丝PO膜、电动外遮阳、内遮阳等设备；2.基质栽培系统、水肥一体化系统等设施； 3.配套的排水沟、散水坡、围栏等。</w:t>
            </w:r>
          </w:p>
        </w:tc>
        <w:tc>
          <w:tcPr>
            <w:tcW w:w="1650" w:type="dxa"/>
            <w:vAlign w:val="center"/>
          </w:tcPr>
          <w:p w:rsidR="007662C3" w:rsidRDefault="00D05E05">
            <w:pPr>
              <w:widowControl/>
              <w:snapToGrid w:val="0"/>
              <w:jc w:val="center"/>
              <w:textAlignment w:val="center"/>
              <w:rPr>
                <w:rFonts w:ascii="宋体" w:eastAsia="宋体" w:hAnsi="仿宋" w:cs="仿宋"/>
                <w:sz w:val="22"/>
                <w:szCs w:val="32"/>
              </w:rPr>
            </w:pPr>
            <w:r>
              <w:rPr>
                <w:rFonts w:ascii="宋体" w:eastAsia="宋体" w:hAnsi="宋体" w:cs="宋体" w:hint="eastAsia"/>
                <w:color w:val="000000"/>
                <w:kern w:val="0"/>
                <w:sz w:val="22"/>
                <w:szCs w:val="22"/>
                <w:lang w:bidi="ar"/>
              </w:rPr>
              <w:t>基本完成</w:t>
            </w:r>
          </w:p>
        </w:tc>
        <w:tc>
          <w:tcPr>
            <w:tcW w:w="2738" w:type="dxa"/>
            <w:vAlign w:val="center"/>
          </w:tcPr>
          <w:p w:rsidR="007662C3" w:rsidRDefault="007662C3">
            <w:pPr>
              <w:adjustRightInd w:val="0"/>
              <w:snapToGrid w:val="0"/>
              <w:jc w:val="left"/>
              <w:rPr>
                <w:rFonts w:ascii="宋体" w:eastAsia="宋体" w:hAnsi="仿宋" w:cs="仿宋"/>
                <w:sz w:val="22"/>
                <w:szCs w:val="32"/>
              </w:rPr>
            </w:pPr>
          </w:p>
        </w:tc>
      </w:tr>
    </w:tbl>
    <w:p w:rsidR="007662C3" w:rsidRDefault="007662C3">
      <w:pPr>
        <w:adjustRightInd w:val="0"/>
        <w:snapToGrid w:val="0"/>
        <w:spacing w:line="560" w:lineRule="exact"/>
        <w:outlineLvl w:val="1"/>
        <w:rPr>
          <w:rFonts w:ascii="仿宋" w:eastAsia="仿宋" w:hAnsi="仿宋" w:cs="仿宋"/>
          <w:sz w:val="24"/>
        </w:rPr>
      </w:pPr>
    </w:p>
    <w:p w:rsidR="007662C3" w:rsidRDefault="007662C3">
      <w:pPr>
        <w:adjustRightInd w:val="0"/>
        <w:snapToGrid w:val="0"/>
        <w:spacing w:line="560" w:lineRule="exact"/>
        <w:outlineLvl w:val="1"/>
        <w:rPr>
          <w:rFonts w:ascii="仿宋" w:eastAsia="仿宋" w:hAnsi="仿宋" w:cs="仿宋"/>
          <w:sz w:val="24"/>
        </w:rPr>
      </w:pPr>
    </w:p>
    <w:p w:rsidR="007662C3" w:rsidRDefault="007662C3">
      <w:pPr>
        <w:adjustRightInd w:val="0"/>
        <w:snapToGrid w:val="0"/>
        <w:spacing w:line="560" w:lineRule="exact"/>
        <w:rPr>
          <w:rFonts w:ascii="仿宋" w:eastAsia="仿宋" w:hAnsi="仿宋" w:cs="仿宋"/>
          <w:sz w:val="24"/>
        </w:rPr>
      </w:pPr>
    </w:p>
    <w:p w:rsidR="007662C3" w:rsidRDefault="007662C3">
      <w:pPr>
        <w:adjustRightInd w:val="0"/>
        <w:snapToGrid w:val="0"/>
        <w:spacing w:line="560" w:lineRule="exact"/>
        <w:rPr>
          <w:rFonts w:ascii="仿宋" w:eastAsia="仿宋" w:hAnsi="仿宋" w:cs="仿宋"/>
          <w:sz w:val="32"/>
          <w:szCs w:val="32"/>
        </w:rPr>
        <w:sectPr w:rsidR="007662C3">
          <w:pgSz w:w="16838" w:h="11906" w:orient="landscape"/>
          <w:pgMar w:top="1800" w:right="1440" w:bottom="1800" w:left="1440" w:header="851" w:footer="992" w:gutter="0"/>
          <w:cols w:space="425"/>
          <w:docGrid w:type="lines" w:linePitch="312"/>
        </w:sectPr>
      </w:pPr>
    </w:p>
    <w:p w:rsidR="007662C3" w:rsidRDefault="00D05E05">
      <w:pPr>
        <w:adjustRightInd w:val="0"/>
        <w:snapToGrid w:val="0"/>
        <w:spacing w:line="560" w:lineRule="exact"/>
        <w:ind w:left="630"/>
        <w:outlineLvl w:val="0"/>
        <w:rPr>
          <w:rFonts w:ascii="黑体" w:eastAsia="黑体" w:hAnsi="黑体" w:cs="黑体"/>
          <w:sz w:val="32"/>
          <w:szCs w:val="32"/>
        </w:rPr>
      </w:pPr>
      <w:bookmarkStart w:id="332" w:name="_Toc12308"/>
      <w:bookmarkStart w:id="333" w:name="_Toc22370"/>
      <w:bookmarkStart w:id="334" w:name="_Toc22630"/>
      <w:r>
        <w:rPr>
          <w:rFonts w:ascii="黑体" w:eastAsia="黑体" w:hAnsi="黑体" w:cs="黑体" w:hint="eastAsia"/>
          <w:sz w:val="32"/>
          <w:szCs w:val="32"/>
        </w:rPr>
        <w:lastRenderedPageBreak/>
        <w:t>二、评价结论</w:t>
      </w:r>
      <w:bookmarkEnd w:id="332"/>
      <w:bookmarkEnd w:id="333"/>
      <w:bookmarkEnd w:id="334"/>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本次绩效评价对象为2025年度市级衔接推进乡村振兴补助资金。</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评价范围是对34个市级衔接推进乡村振兴补助资金项目进行评价，涉及市级财政预算资金共计6404万元，34个项目中支持重点片区10个、支持重点镇街10个、支持重点村社60个。按照绩效评价有关规定综合评分，评价结果采取百分制，按照综合评分划分为4个等级，其中90（含）-100分为优、80（含）-90分为良、60（含）-80分为中、60分以下为差。</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通过书面评价、现场评价、问卷调查取得的信息，使用《2025年度南京市市级衔接推进乡村振兴补助资金绩效评价指标评分表》的指标和评分标准，对南京市2025</w:t>
      </w:r>
      <w:r w:rsidR="00DE3E16">
        <w:rPr>
          <w:rFonts w:ascii="仿宋" w:eastAsia="仿宋" w:hAnsi="仿宋" w:cs="仿宋" w:hint="eastAsia"/>
          <w:sz w:val="32"/>
          <w:szCs w:val="32"/>
        </w:rPr>
        <w:t>年市级衔接推进乡村振兴补助资金项目的绩效进行了综合评价，评分结果</w:t>
      </w:r>
      <w:r>
        <w:rPr>
          <w:rFonts w:ascii="仿宋" w:eastAsia="仿宋" w:hAnsi="仿宋" w:cs="仿宋" w:hint="eastAsia"/>
          <w:sz w:val="32"/>
          <w:szCs w:val="32"/>
        </w:rPr>
        <w:t>为90.57分，评价等级为优。</w:t>
      </w:r>
    </w:p>
    <w:p w:rsidR="007662C3" w:rsidRDefault="00D05E05">
      <w:pPr>
        <w:adjustRightInd w:val="0"/>
        <w:snapToGrid w:val="0"/>
        <w:spacing w:line="560" w:lineRule="exact"/>
        <w:ind w:firstLineChars="200" w:firstLine="640"/>
        <w:jc w:val="center"/>
        <w:rPr>
          <w:rFonts w:ascii="仿宋" w:eastAsia="仿宋" w:hAnsi="仿宋" w:cs="仿宋"/>
          <w:sz w:val="32"/>
          <w:szCs w:val="32"/>
        </w:rPr>
      </w:pPr>
      <w:r>
        <w:rPr>
          <w:rFonts w:ascii="仿宋" w:eastAsia="仿宋" w:hAnsi="仿宋" w:cs="仿宋" w:hint="eastAsia"/>
          <w:sz w:val="32"/>
          <w:szCs w:val="32"/>
        </w:rPr>
        <w:t>2025年市级衔接推进乡村振兴补助资金绩效评价得分总表</w:t>
      </w:r>
    </w:p>
    <w:tbl>
      <w:tblPr>
        <w:tblW w:w="4998" w:type="pct"/>
        <w:tblLook w:val="04A0" w:firstRow="1" w:lastRow="0" w:firstColumn="1" w:lastColumn="0" w:noHBand="0" w:noVBand="1"/>
      </w:tblPr>
      <w:tblGrid>
        <w:gridCol w:w="1507"/>
        <w:gridCol w:w="1510"/>
        <w:gridCol w:w="1510"/>
        <w:gridCol w:w="1510"/>
        <w:gridCol w:w="1510"/>
        <w:gridCol w:w="1510"/>
      </w:tblGrid>
      <w:tr w:rsidR="007662C3">
        <w:trPr>
          <w:trHeight w:val="327"/>
        </w:trPr>
        <w:tc>
          <w:tcPr>
            <w:tcW w:w="1507"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项    目</w:t>
            </w:r>
          </w:p>
        </w:tc>
        <w:tc>
          <w:tcPr>
            <w:tcW w:w="15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决策指标</w:t>
            </w:r>
          </w:p>
        </w:tc>
        <w:tc>
          <w:tcPr>
            <w:tcW w:w="15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过程指标</w:t>
            </w:r>
          </w:p>
        </w:tc>
        <w:tc>
          <w:tcPr>
            <w:tcW w:w="15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产出指标</w:t>
            </w:r>
          </w:p>
        </w:tc>
        <w:tc>
          <w:tcPr>
            <w:tcW w:w="15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效益指标</w:t>
            </w:r>
          </w:p>
        </w:tc>
        <w:tc>
          <w:tcPr>
            <w:tcW w:w="15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得分</w:t>
            </w:r>
          </w:p>
        </w:tc>
      </w:tr>
      <w:tr w:rsidR="007662C3">
        <w:trPr>
          <w:trHeight w:val="327"/>
        </w:trPr>
        <w:tc>
          <w:tcPr>
            <w:tcW w:w="1507"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标准分值</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16.00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25.00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39.00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20.00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100.00</w:t>
            </w:r>
          </w:p>
        </w:tc>
      </w:tr>
      <w:tr w:rsidR="007662C3">
        <w:trPr>
          <w:trHeight w:val="327"/>
        </w:trPr>
        <w:tc>
          <w:tcPr>
            <w:tcW w:w="1507"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评价得分</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15.00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23.92</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33.05</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18.60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90.57</w:t>
            </w:r>
          </w:p>
        </w:tc>
      </w:tr>
      <w:tr w:rsidR="007662C3">
        <w:trPr>
          <w:trHeight w:val="327"/>
        </w:trPr>
        <w:tc>
          <w:tcPr>
            <w:tcW w:w="1507"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得分率</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93.75%</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95.68%</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84.74%</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highlight w:val="yellow"/>
                <w:lang w:bidi="ar"/>
              </w:rPr>
            </w:pPr>
            <w:r>
              <w:rPr>
                <w:rFonts w:ascii="宋体" w:eastAsia="宋体" w:hAnsi="宋体" w:cs="宋体" w:hint="eastAsia"/>
                <w:color w:val="000000"/>
                <w:kern w:val="0"/>
                <w:sz w:val="22"/>
                <w:szCs w:val="22"/>
                <w:lang w:bidi="ar"/>
              </w:rPr>
              <w:t>93.00%</w:t>
            </w:r>
          </w:p>
        </w:tc>
        <w:tc>
          <w:tcPr>
            <w:tcW w:w="1510" w:type="dxa"/>
            <w:tcBorders>
              <w:top w:val="nil"/>
              <w:left w:val="single" w:sz="8" w:space="0" w:color="000000"/>
              <w:bottom w:val="single" w:sz="8" w:space="0" w:color="000000"/>
              <w:right w:val="single" w:sz="8" w:space="0" w:color="000000"/>
            </w:tcBorders>
            <w:shd w:val="clear" w:color="auto" w:fill="auto"/>
            <w:vAlign w:val="center"/>
          </w:tcPr>
          <w:p w:rsidR="007662C3" w:rsidRDefault="00D05E05">
            <w:pPr>
              <w:widowControl/>
              <w:jc w:val="center"/>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90.57%</w:t>
            </w:r>
          </w:p>
        </w:tc>
      </w:tr>
    </w:tbl>
    <w:p w:rsidR="007662C3" w:rsidRDefault="00D05E05">
      <w:pPr>
        <w:adjustRightInd w:val="0"/>
        <w:snapToGrid w:val="0"/>
        <w:spacing w:line="560" w:lineRule="exact"/>
        <w:ind w:firstLineChars="200" w:firstLine="640"/>
        <w:outlineLvl w:val="0"/>
        <w:rPr>
          <w:rFonts w:ascii="黑体" w:eastAsia="黑体" w:hAnsi="黑体" w:cs="黑体"/>
          <w:sz w:val="32"/>
          <w:szCs w:val="32"/>
        </w:rPr>
      </w:pPr>
      <w:bookmarkStart w:id="335" w:name="_Toc31023"/>
      <w:bookmarkStart w:id="336" w:name="_Toc424"/>
      <w:bookmarkStart w:id="337" w:name="_Toc23029"/>
      <w:r>
        <w:rPr>
          <w:rFonts w:ascii="黑体" w:eastAsia="黑体" w:hAnsi="黑体" w:cs="黑体" w:hint="eastAsia"/>
          <w:sz w:val="32"/>
          <w:szCs w:val="32"/>
        </w:rPr>
        <w:t>三、项目成效</w:t>
      </w:r>
      <w:bookmarkEnd w:id="335"/>
      <w:bookmarkEnd w:id="336"/>
      <w:bookmarkEnd w:id="337"/>
    </w:p>
    <w:p w:rsidR="007662C3" w:rsidRDefault="00D05E05">
      <w:pPr>
        <w:adjustRightInd w:val="0"/>
        <w:snapToGrid w:val="0"/>
        <w:spacing w:line="560" w:lineRule="exact"/>
        <w:ind w:firstLineChars="200" w:firstLine="640"/>
        <w:rPr>
          <w:rFonts w:ascii="Times New Roman" w:eastAsia="仿宋" w:hAnsi="Times New Roman" w:cs="Times New Roman"/>
          <w:sz w:val="32"/>
          <w:szCs w:val="32"/>
        </w:rPr>
      </w:pPr>
      <w:bookmarkStart w:id="338" w:name="_Toc28936"/>
      <w:bookmarkStart w:id="339" w:name="_Toc16296"/>
      <w:r>
        <w:rPr>
          <w:rFonts w:ascii="Times New Roman" w:eastAsia="仿宋" w:hAnsi="Times New Roman" w:cs="Times New Roman"/>
          <w:sz w:val="32"/>
          <w:szCs w:val="32"/>
        </w:rPr>
        <w:t>南京市深入贯彻落</w:t>
      </w:r>
      <w:proofErr w:type="gramStart"/>
      <w:r>
        <w:rPr>
          <w:rFonts w:ascii="Times New Roman" w:eastAsia="仿宋" w:hAnsi="Times New Roman" w:cs="Times New Roman"/>
          <w:sz w:val="32"/>
          <w:szCs w:val="32"/>
        </w:rPr>
        <w:t>实习近</w:t>
      </w:r>
      <w:proofErr w:type="gramEnd"/>
      <w:r>
        <w:rPr>
          <w:rFonts w:ascii="Times New Roman" w:eastAsia="仿宋" w:hAnsi="Times New Roman" w:cs="Times New Roman"/>
          <w:sz w:val="32"/>
          <w:szCs w:val="32"/>
        </w:rPr>
        <w:t>平总书记关于</w:t>
      </w:r>
      <w:r>
        <w:rPr>
          <w:rFonts w:ascii="Times New Roman" w:eastAsia="仿宋" w:hAnsi="Times New Roman" w:cs="Times New Roman"/>
          <w:sz w:val="32"/>
          <w:szCs w:val="32"/>
        </w:rPr>
        <w:t>“</w:t>
      </w:r>
      <w:r>
        <w:rPr>
          <w:rFonts w:ascii="Times New Roman" w:eastAsia="仿宋" w:hAnsi="Times New Roman" w:cs="Times New Roman"/>
          <w:sz w:val="32"/>
          <w:szCs w:val="32"/>
        </w:rPr>
        <w:t>三农</w:t>
      </w:r>
      <w:r>
        <w:rPr>
          <w:rFonts w:ascii="Times New Roman" w:eastAsia="仿宋" w:hAnsi="Times New Roman" w:cs="Times New Roman"/>
          <w:sz w:val="32"/>
          <w:szCs w:val="32"/>
        </w:rPr>
        <w:t>”</w:t>
      </w:r>
      <w:r>
        <w:rPr>
          <w:rFonts w:ascii="Times New Roman" w:eastAsia="仿宋" w:hAnsi="Times New Roman" w:cs="Times New Roman"/>
          <w:sz w:val="32"/>
          <w:szCs w:val="32"/>
        </w:rPr>
        <w:t>工作重要指示精神，紧扣巩固拓展脱贫攻坚成果同乡村振兴有效衔接目标，根据部省相关部署和要求，坚持精准施策、高效利用的工作原则，将市级衔接推进乡村振兴补助专项资金作为补短板强弱项、培育特色产业、带动农民增收的重要支撑，推动资金向产业发展聚焦、</w:t>
      </w:r>
      <w:r>
        <w:rPr>
          <w:rFonts w:ascii="Times New Roman" w:eastAsia="仿宋" w:hAnsi="Times New Roman" w:cs="Times New Roman"/>
          <w:sz w:val="32"/>
          <w:szCs w:val="32"/>
        </w:rPr>
        <w:lastRenderedPageBreak/>
        <w:t>向联农带农倾斜，资金使用效益持续提升。</w:t>
      </w:r>
    </w:p>
    <w:p w:rsidR="007662C3" w:rsidRDefault="00D05E05">
      <w:pPr>
        <w:spacing w:line="560" w:lineRule="exact"/>
        <w:ind w:firstLineChars="200" w:firstLine="640"/>
        <w:outlineLvl w:val="1"/>
        <w:rPr>
          <w:rFonts w:ascii="Times New Roman" w:eastAsia="楷体" w:hAnsi="Times New Roman" w:cs="Times New Roman"/>
          <w:bCs/>
          <w:sz w:val="32"/>
          <w:szCs w:val="32"/>
        </w:rPr>
      </w:pPr>
      <w:bookmarkStart w:id="340" w:name="_Toc12904"/>
      <w:bookmarkStart w:id="341" w:name="_Toc6759"/>
      <w:r>
        <w:rPr>
          <w:rFonts w:ascii="Times New Roman" w:eastAsia="楷体" w:hAnsi="Times New Roman" w:cs="Times New Roman"/>
          <w:bCs/>
          <w:sz w:val="32"/>
          <w:szCs w:val="32"/>
        </w:rPr>
        <w:t>（一）</w:t>
      </w:r>
      <w:bookmarkEnd w:id="340"/>
      <w:bookmarkEnd w:id="341"/>
      <w:r>
        <w:rPr>
          <w:rFonts w:ascii="Times New Roman" w:eastAsia="楷体" w:hAnsi="Times New Roman" w:cs="Times New Roman"/>
          <w:bCs/>
          <w:sz w:val="32"/>
          <w:szCs w:val="32"/>
        </w:rPr>
        <w:t>抓</w:t>
      </w:r>
      <w:proofErr w:type="gramStart"/>
      <w:r>
        <w:rPr>
          <w:rFonts w:ascii="Times New Roman" w:eastAsia="楷体" w:hAnsi="Times New Roman" w:cs="Times New Roman"/>
          <w:bCs/>
          <w:sz w:val="32"/>
          <w:szCs w:val="32"/>
        </w:rPr>
        <w:t>实项目</w:t>
      </w:r>
      <w:proofErr w:type="gramEnd"/>
      <w:r>
        <w:rPr>
          <w:rFonts w:ascii="Times New Roman" w:eastAsia="楷体" w:hAnsi="Times New Roman" w:cs="Times New Roman"/>
          <w:bCs/>
          <w:sz w:val="32"/>
          <w:szCs w:val="32"/>
        </w:rPr>
        <w:t>储备管控，筑牢乡村振兴项目根基</w:t>
      </w:r>
    </w:p>
    <w:p w:rsidR="007662C3" w:rsidRDefault="00D05E05">
      <w:pPr>
        <w:spacing w:line="560" w:lineRule="exact"/>
        <w:ind w:firstLineChars="200" w:firstLine="640"/>
        <w:rPr>
          <w:rFonts w:ascii="Times New Roman" w:eastAsia="仿宋" w:hAnsi="Times New Roman" w:cs="Times New Roman"/>
          <w:sz w:val="32"/>
          <w:szCs w:val="32"/>
        </w:rPr>
      </w:pPr>
      <w:bookmarkStart w:id="342" w:name="_Toc15525"/>
      <w:bookmarkStart w:id="343" w:name="_Toc24214"/>
      <w:r>
        <w:rPr>
          <w:rFonts w:ascii="Times New Roman" w:eastAsia="仿宋" w:hAnsi="Times New Roman" w:cs="Times New Roman"/>
          <w:sz w:val="32"/>
          <w:szCs w:val="32"/>
        </w:rPr>
        <w:t>各区参照项目库建设及配套管理文件的具体要求，</w:t>
      </w:r>
      <w:proofErr w:type="gramStart"/>
      <w:r>
        <w:rPr>
          <w:rFonts w:ascii="Times New Roman" w:eastAsia="仿宋" w:hAnsi="Times New Roman" w:cs="Times New Roman"/>
          <w:sz w:val="32"/>
          <w:szCs w:val="32"/>
        </w:rPr>
        <w:t>把谋早</w:t>
      </w:r>
      <w:proofErr w:type="gramEnd"/>
      <w:r>
        <w:rPr>
          <w:rFonts w:ascii="Times New Roman" w:eastAsia="仿宋" w:hAnsi="Times New Roman" w:cs="Times New Roman"/>
          <w:sz w:val="32"/>
          <w:szCs w:val="32"/>
        </w:rPr>
        <w:t>、储足、应入尽入的要求落到实处，严格按</w:t>
      </w:r>
      <w:r>
        <w:rPr>
          <w:rFonts w:ascii="Times New Roman" w:eastAsia="仿宋" w:hAnsi="Times New Roman" w:cs="Times New Roman"/>
          <w:sz w:val="32"/>
          <w:szCs w:val="32"/>
        </w:rPr>
        <w:t>“</w:t>
      </w:r>
      <w:r>
        <w:rPr>
          <w:rFonts w:ascii="Times New Roman" w:eastAsia="仿宋" w:hAnsi="Times New Roman" w:cs="Times New Roman"/>
          <w:sz w:val="32"/>
          <w:szCs w:val="32"/>
        </w:rPr>
        <w:t>村申报、街审核、区审定</w:t>
      </w:r>
      <w:r>
        <w:rPr>
          <w:rFonts w:ascii="Times New Roman" w:eastAsia="仿宋" w:hAnsi="Times New Roman" w:cs="Times New Roman"/>
          <w:sz w:val="32"/>
          <w:szCs w:val="32"/>
        </w:rPr>
        <w:t>”</w:t>
      </w:r>
      <w:r>
        <w:rPr>
          <w:rFonts w:ascii="Times New Roman" w:eastAsia="仿宋" w:hAnsi="Times New Roman" w:cs="Times New Roman"/>
          <w:sz w:val="32"/>
          <w:szCs w:val="32"/>
        </w:rPr>
        <w:t>的流程推进</w:t>
      </w:r>
      <w:r>
        <w:rPr>
          <w:rFonts w:ascii="Times New Roman" w:eastAsia="仿宋" w:hAnsi="Times New Roman" w:cs="Times New Roman"/>
          <w:sz w:val="32"/>
          <w:szCs w:val="32"/>
        </w:rPr>
        <w:t>2025</w:t>
      </w:r>
      <w:r>
        <w:rPr>
          <w:rFonts w:ascii="Times New Roman" w:eastAsia="仿宋" w:hAnsi="Times New Roman" w:cs="Times New Roman"/>
          <w:sz w:val="32"/>
          <w:szCs w:val="32"/>
        </w:rPr>
        <w:t>年市级衔接推进乡村振兴补助资金项目库搭建，通过核对申报材料、现场踏勘核验、专家集中研审等方式</w:t>
      </w:r>
      <w:proofErr w:type="gramStart"/>
      <w:r>
        <w:rPr>
          <w:rFonts w:ascii="Times New Roman" w:eastAsia="仿宋" w:hAnsi="Times New Roman" w:cs="Times New Roman"/>
          <w:sz w:val="32"/>
          <w:szCs w:val="32"/>
        </w:rPr>
        <w:t>逐个过审</w:t>
      </w:r>
      <w:proofErr w:type="gramEnd"/>
      <w:r>
        <w:rPr>
          <w:rFonts w:ascii="Times New Roman" w:eastAsia="仿宋" w:hAnsi="Times New Roman" w:cs="Times New Roman"/>
          <w:sz w:val="32"/>
          <w:szCs w:val="32"/>
        </w:rPr>
        <w:t>项目，对照各村实际诉求重点核查项目投用后的经济效益和</w:t>
      </w:r>
      <w:proofErr w:type="gramStart"/>
      <w:r>
        <w:rPr>
          <w:rFonts w:ascii="Times New Roman" w:eastAsia="仿宋" w:hAnsi="Times New Roman" w:cs="Times New Roman"/>
          <w:sz w:val="32"/>
          <w:szCs w:val="32"/>
        </w:rPr>
        <w:t>联农</w:t>
      </w:r>
      <w:proofErr w:type="gramEnd"/>
      <w:r>
        <w:rPr>
          <w:rFonts w:ascii="Times New Roman" w:eastAsia="仿宋" w:hAnsi="Times New Roman" w:cs="Times New Roman"/>
          <w:sz w:val="32"/>
          <w:szCs w:val="32"/>
        </w:rPr>
        <w:t>带农成效，确保谋划的项目贴合村情、能落地出实效，优先把产业带动效应强的项目选入库，把牢项目</w:t>
      </w:r>
      <w:proofErr w:type="gramStart"/>
      <w:r>
        <w:rPr>
          <w:rFonts w:ascii="Times New Roman" w:eastAsia="仿宋" w:hAnsi="Times New Roman" w:cs="Times New Roman"/>
          <w:sz w:val="32"/>
          <w:szCs w:val="32"/>
        </w:rPr>
        <w:t>库整体</w:t>
      </w:r>
      <w:proofErr w:type="gramEnd"/>
      <w:r>
        <w:rPr>
          <w:rFonts w:ascii="Times New Roman" w:eastAsia="仿宋" w:hAnsi="Times New Roman" w:cs="Times New Roman"/>
          <w:sz w:val="32"/>
          <w:szCs w:val="32"/>
        </w:rPr>
        <w:t>质量关口，为乡村振兴做好扎实支撑，就像江北新区同步组织专家完成上年度项目验收和下年度项目立项评审，对照上年度项目完工进度、建设成色、联农带农机制落地情况逐项核验，和相关负责单位当面沟通捋清细节，让专家组能结合上年的建设情况和暴露的短板，给下年度申报的项目方案提出贴合实际的优化建议。</w:t>
      </w:r>
    </w:p>
    <w:p w:rsidR="007662C3" w:rsidRDefault="00D05E05">
      <w:pPr>
        <w:spacing w:line="560" w:lineRule="exact"/>
        <w:ind w:firstLineChars="200" w:firstLine="640"/>
        <w:outlineLvl w:val="1"/>
        <w:rPr>
          <w:rFonts w:ascii="Times New Roman" w:eastAsia="楷体" w:hAnsi="Times New Roman" w:cs="Times New Roman"/>
          <w:bCs/>
          <w:sz w:val="32"/>
          <w:szCs w:val="32"/>
        </w:rPr>
      </w:pPr>
      <w:r>
        <w:rPr>
          <w:rFonts w:ascii="Times New Roman" w:eastAsia="楷体" w:hAnsi="Times New Roman" w:cs="Times New Roman"/>
          <w:bCs/>
          <w:sz w:val="32"/>
          <w:szCs w:val="32"/>
        </w:rPr>
        <w:t>（二）</w:t>
      </w:r>
      <w:bookmarkEnd w:id="342"/>
      <w:bookmarkEnd w:id="343"/>
      <w:r>
        <w:rPr>
          <w:rFonts w:ascii="Times New Roman" w:eastAsia="楷体" w:hAnsi="Times New Roman" w:cs="Times New Roman"/>
          <w:bCs/>
          <w:sz w:val="32"/>
          <w:szCs w:val="32"/>
        </w:rPr>
        <w:t>增强现代产业发展动能，激发农业产业链效能</w:t>
      </w:r>
      <w:r>
        <w:rPr>
          <w:rFonts w:ascii="Times New Roman" w:eastAsia="楷体" w:hAnsi="Times New Roman" w:cs="Times New Roman"/>
          <w:bCs/>
          <w:sz w:val="32"/>
          <w:szCs w:val="32"/>
        </w:rPr>
        <w:t>‌</w:t>
      </w:r>
    </w:p>
    <w:p w:rsidR="007662C3" w:rsidRDefault="00D05E05">
      <w:pPr>
        <w:spacing w:line="560" w:lineRule="exact"/>
        <w:ind w:firstLineChars="200" w:firstLine="640"/>
        <w:rPr>
          <w:rFonts w:ascii="Times New Roman" w:eastAsia="仿宋" w:hAnsi="Times New Roman" w:cs="Times New Roman"/>
          <w:sz w:val="32"/>
          <w:szCs w:val="32"/>
        </w:rPr>
      </w:pPr>
      <w:bookmarkStart w:id="344" w:name="_Toc567"/>
      <w:bookmarkStart w:id="345" w:name="_Toc1767"/>
      <w:r>
        <w:rPr>
          <w:rFonts w:ascii="Times New Roman" w:eastAsia="仿宋" w:hAnsi="Times New Roman" w:cs="Times New Roman"/>
          <w:sz w:val="32"/>
          <w:szCs w:val="32"/>
        </w:rPr>
        <w:t>聚焦农业产业链薄弱环节，各区市围绕提升现代生产设施、仓储冷链、流通加工与服务等环节推进重点工程。</w:t>
      </w:r>
      <w:r>
        <w:rPr>
          <w:rFonts w:ascii="Times New Roman" w:eastAsia="仿宋" w:hAnsi="Times New Roman" w:cs="Times New Roman"/>
          <w:sz w:val="32"/>
          <w:szCs w:val="32"/>
        </w:rPr>
        <w:t>2025</w:t>
      </w:r>
      <w:r>
        <w:rPr>
          <w:rFonts w:ascii="Times New Roman" w:eastAsia="仿宋" w:hAnsi="Times New Roman" w:cs="Times New Roman"/>
          <w:sz w:val="32"/>
          <w:szCs w:val="32"/>
        </w:rPr>
        <w:t>年共实施现代农业产业园、仓储用房与配套建设项目共</w:t>
      </w:r>
      <w:r>
        <w:rPr>
          <w:rFonts w:ascii="Times New Roman" w:eastAsia="仿宋" w:hAnsi="Times New Roman" w:cs="Times New Roman"/>
          <w:sz w:val="32"/>
          <w:szCs w:val="32"/>
        </w:rPr>
        <w:t>25</w:t>
      </w:r>
      <w:r>
        <w:rPr>
          <w:rFonts w:ascii="Times New Roman" w:eastAsia="仿宋" w:hAnsi="Times New Roman" w:cs="Times New Roman"/>
          <w:sz w:val="32"/>
          <w:szCs w:val="32"/>
        </w:rPr>
        <w:t>个。溧水区持续打造</w:t>
      </w:r>
      <w:r>
        <w:rPr>
          <w:rFonts w:ascii="Times New Roman" w:eastAsia="仿宋" w:hAnsi="Times New Roman" w:cs="Times New Roman"/>
          <w:sz w:val="32"/>
          <w:szCs w:val="32"/>
        </w:rPr>
        <w:t>“</w:t>
      </w:r>
      <w:r>
        <w:rPr>
          <w:rFonts w:ascii="Times New Roman" w:eastAsia="仿宋" w:hAnsi="Times New Roman" w:cs="Times New Roman"/>
          <w:sz w:val="32"/>
          <w:szCs w:val="32"/>
        </w:rPr>
        <w:t>两莓</w:t>
      </w:r>
      <w:r>
        <w:rPr>
          <w:rFonts w:ascii="Times New Roman" w:eastAsia="仿宋" w:hAnsi="Times New Roman" w:cs="Times New Roman"/>
          <w:sz w:val="32"/>
          <w:szCs w:val="32"/>
        </w:rPr>
        <w:t>”</w:t>
      </w:r>
      <w:r>
        <w:rPr>
          <w:rFonts w:ascii="Times New Roman" w:eastAsia="仿宋" w:hAnsi="Times New Roman" w:cs="Times New Roman"/>
          <w:sz w:val="32"/>
          <w:szCs w:val="32"/>
        </w:rPr>
        <w:t>、优质稻米全产业</w:t>
      </w:r>
      <w:proofErr w:type="gramStart"/>
      <w:r>
        <w:rPr>
          <w:rFonts w:ascii="Times New Roman" w:eastAsia="仿宋" w:hAnsi="Times New Roman" w:cs="Times New Roman"/>
          <w:sz w:val="32"/>
          <w:szCs w:val="32"/>
        </w:rPr>
        <w:t>链服务</w:t>
      </w:r>
      <w:proofErr w:type="gramEnd"/>
      <w:r>
        <w:rPr>
          <w:rFonts w:ascii="Times New Roman" w:eastAsia="仿宋" w:hAnsi="Times New Roman" w:cs="Times New Roman"/>
          <w:sz w:val="32"/>
          <w:szCs w:val="32"/>
        </w:rPr>
        <w:t>平台等特色产业项目，并建成多个粮食烘干、水肥灌溉、农机配套的农业生产基础设施，助推玉米种植、水产养殖等标准化发展。高淳区通过引入食品加工企业，推动农产品附加值提升。</w:t>
      </w:r>
      <w:proofErr w:type="gramStart"/>
      <w:r>
        <w:rPr>
          <w:rFonts w:ascii="Times New Roman" w:eastAsia="仿宋" w:hAnsi="Times New Roman" w:cs="Times New Roman"/>
          <w:sz w:val="32"/>
          <w:szCs w:val="32"/>
        </w:rPr>
        <w:t>六合区</w:t>
      </w:r>
      <w:proofErr w:type="gramEnd"/>
      <w:r>
        <w:rPr>
          <w:rFonts w:ascii="Times New Roman" w:eastAsia="仿宋" w:hAnsi="Times New Roman" w:cs="Times New Roman"/>
          <w:sz w:val="32"/>
          <w:szCs w:val="32"/>
        </w:rPr>
        <w:t>聚焦粮油和特色水产，完成了</w:t>
      </w:r>
      <w:proofErr w:type="gramStart"/>
      <w:r>
        <w:rPr>
          <w:rFonts w:ascii="Times New Roman" w:eastAsia="仿宋" w:hAnsi="Times New Roman" w:cs="Times New Roman"/>
          <w:sz w:val="32"/>
          <w:szCs w:val="32"/>
        </w:rPr>
        <w:t>冶山</w:t>
      </w:r>
      <w:proofErr w:type="gramEnd"/>
      <w:r>
        <w:rPr>
          <w:rFonts w:ascii="Times New Roman" w:eastAsia="仿宋" w:hAnsi="Times New Roman" w:cs="Times New Roman"/>
          <w:sz w:val="32"/>
          <w:szCs w:val="32"/>
        </w:rPr>
        <w:t>籼米烘干仓储综合中心建设及</w:t>
      </w:r>
      <w:r>
        <w:rPr>
          <w:rFonts w:ascii="Times New Roman" w:eastAsia="仿宋" w:hAnsi="Times New Roman" w:cs="Times New Roman"/>
          <w:sz w:val="32"/>
          <w:szCs w:val="32"/>
        </w:rPr>
        <w:t>“</w:t>
      </w:r>
      <w:r>
        <w:rPr>
          <w:rFonts w:ascii="Times New Roman" w:eastAsia="仿宋" w:hAnsi="Times New Roman" w:cs="Times New Roman"/>
          <w:sz w:val="32"/>
          <w:szCs w:val="32"/>
        </w:rPr>
        <w:t>龙池鲫鱼</w:t>
      </w:r>
      <w:r>
        <w:rPr>
          <w:rFonts w:ascii="Times New Roman" w:eastAsia="仿宋" w:hAnsi="Times New Roman" w:cs="Times New Roman"/>
          <w:sz w:val="32"/>
          <w:szCs w:val="32"/>
        </w:rPr>
        <w:t>”</w:t>
      </w:r>
      <w:r>
        <w:rPr>
          <w:rFonts w:ascii="Times New Roman" w:eastAsia="仿宋" w:hAnsi="Times New Roman" w:cs="Times New Roman"/>
          <w:sz w:val="32"/>
          <w:szCs w:val="32"/>
        </w:rPr>
        <w:t>示范养殖</w:t>
      </w:r>
      <w:r>
        <w:rPr>
          <w:rFonts w:ascii="Times New Roman" w:eastAsia="仿宋" w:hAnsi="Times New Roman" w:cs="Times New Roman"/>
          <w:sz w:val="32"/>
          <w:szCs w:val="32"/>
        </w:rPr>
        <w:lastRenderedPageBreak/>
        <w:t>基地，进一步提升农业产后处理和品牌化发展能力。项目设计着眼于优化</w:t>
      </w:r>
      <w:r>
        <w:rPr>
          <w:rFonts w:ascii="Times New Roman" w:eastAsia="仿宋" w:hAnsi="Times New Roman" w:cs="Times New Roman"/>
          <w:sz w:val="32"/>
          <w:szCs w:val="32"/>
        </w:rPr>
        <w:t>“</w:t>
      </w:r>
      <w:r>
        <w:rPr>
          <w:rFonts w:ascii="Times New Roman" w:eastAsia="仿宋" w:hAnsi="Times New Roman" w:cs="Times New Roman"/>
          <w:sz w:val="32"/>
          <w:szCs w:val="32"/>
        </w:rPr>
        <w:t>种养</w:t>
      </w:r>
      <w:r>
        <w:rPr>
          <w:rFonts w:ascii="Times New Roman" w:eastAsia="仿宋" w:hAnsi="Times New Roman" w:cs="Times New Roman"/>
          <w:sz w:val="32"/>
          <w:szCs w:val="32"/>
        </w:rPr>
        <w:t>—</w:t>
      </w:r>
      <w:r>
        <w:rPr>
          <w:rFonts w:ascii="Times New Roman" w:eastAsia="仿宋" w:hAnsi="Times New Roman" w:cs="Times New Roman"/>
          <w:sz w:val="32"/>
          <w:szCs w:val="32"/>
        </w:rPr>
        <w:t>加工</w:t>
      </w:r>
      <w:r>
        <w:rPr>
          <w:rFonts w:ascii="Times New Roman" w:eastAsia="仿宋" w:hAnsi="Times New Roman" w:cs="Times New Roman"/>
          <w:sz w:val="32"/>
          <w:szCs w:val="32"/>
        </w:rPr>
        <w:t>—</w:t>
      </w:r>
      <w:r>
        <w:rPr>
          <w:rFonts w:ascii="Times New Roman" w:eastAsia="仿宋" w:hAnsi="Times New Roman" w:cs="Times New Roman"/>
          <w:sz w:val="32"/>
          <w:szCs w:val="32"/>
        </w:rPr>
        <w:t>仓储</w:t>
      </w:r>
      <w:r>
        <w:rPr>
          <w:rFonts w:ascii="Times New Roman" w:eastAsia="仿宋" w:hAnsi="Times New Roman" w:cs="Times New Roman"/>
          <w:sz w:val="32"/>
          <w:szCs w:val="32"/>
        </w:rPr>
        <w:t>—</w:t>
      </w:r>
      <w:r>
        <w:rPr>
          <w:rFonts w:ascii="Times New Roman" w:eastAsia="仿宋" w:hAnsi="Times New Roman" w:cs="Times New Roman"/>
          <w:sz w:val="32"/>
          <w:szCs w:val="32"/>
        </w:rPr>
        <w:t>流通</w:t>
      </w:r>
      <w:r>
        <w:rPr>
          <w:rFonts w:ascii="Times New Roman" w:eastAsia="仿宋" w:hAnsi="Times New Roman" w:cs="Times New Roman"/>
          <w:sz w:val="32"/>
          <w:szCs w:val="32"/>
        </w:rPr>
        <w:t>—</w:t>
      </w:r>
      <w:r>
        <w:rPr>
          <w:rFonts w:ascii="Times New Roman" w:eastAsia="仿宋" w:hAnsi="Times New Roman" w:cs="Times New Roman"/>
          <w:sz w:val="32"/>
          <w:szCs w:val="32"/>
        </w:rPr>
        <w:t>销售</w:t>
      </w:r>
      <w:r>
        <w:rPr>
          <w:rFonts w:ascii="Times New Roman" w:eastAsia="仿宋" w:hAnsi="Times New Roman" w:cs="Times New Roman"/>
          <w:sz w:val="32"/>
          <w:szCs w:val="32"/>
        </w:rPr>
        <w:t>”</w:t>
      </w:r>
      <w:r>
        <w:rPr>
          <w:rFonts w:ascii="Times New Roman" w:eastAsia="仿宋" w:hAnsi="Times New Roman" w:cs="Times New Roman"/>
          <w:sz w:val="32"/>
          <w:szCs w:val="32"/>
        </w:rPr>
        <w:t>环节，有效延伸产业链条。</w:t>
      </w:r>
    </w:p>
    <w:p w:rsidR="007662C3" w:rsidRDefault="00D05E05">
      <w:pPr>
        <w:spacing w:line="560" w:lineRule="exact"/>
        <w:ind w:firstLineChars="200" w:firstLine="640"/>
        <w:outlineLvl w:val="1"/>
        <w:rPr>
          <w:rFonts w:ascii="Times New Roman" w:eastAsia="楷体" w:hAnsi="Times New Roman" w:cs="Times New Roman"/>
          <w:bCs/>
          <w:sz w:val="32"/>
          <w:szCs w:val="32"/>
        </w:rPr>
      </w:pPr>
      <w:r>
        <w:rPr>
          <w:rFonts w:ascii="Times New Roman" w:eastAsia="楷体" w:hAnsi="Times New Roman" w:cs="Times New Roman"/>
          <w:bCs/>
          <w:sz w:val="32"/>
          <w:szCs w:val="32"/>
        </w:rPr>
        <w:t>（三）规范项目资产管理，确保收益精准惠民</w:t>
      </w:r>
      <w:bookmarkEnd w:id="344"/>
      <w:bookmarkEnd w:id="345"/>
    </w:p>
    <w:bookmarkEnd w:id="338"/>
    <w:p w:rsidR="007662C3" w:rsidRDefault="00D05E05">
      <w:pPr>
        <w:adjustRightInd w:val="0"/>
        <w:snapToGrid w:val="0"/>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项目建成后，各地区及时开展验收审计、资产确权移交和后续运营管理。经营性资产普遍采取由村集体直接持有或委托街镇平台、国有</w:t>
      </w:r>
      <w:proofErr w:type="gramStart"/>
      <w:r>
        <w:rPr>
          <w:rFonts w:ascii="Times New Roman" w:eastAsia="仿宋" w:hAnsi="Times New Roman" w:cs="Times New Roman"/>
          <w:sz w:val="32"/>
          <w:szCs w:val="32"/>
        </w:rPr>
        <w:t>企业代持的</w:t>
      </w:r>
      <w:proofErr w:type="gramEnd"/>
      <w:r>
        <w:rPr>
          <w:rFonts w:ascii="Times New Roman" w:eastAsia="仿宋" w:hAnsi="Times New Roman" w:cs="Times New Roman"/>
          <w:sz w:val="32"/>
          <w:szCs w:val="32"/>
        </w:rPr>
        <w:t>方式，明确产权归属与管理责任。资产收益主要通过租赁、合作运营等方式实现，大多数项目按年度兑现了租金收入，部分项目实现了稳定的村集体经济增长（如年增长</w:t>
      </w:r>
      <w:r>
        <w:rPr>
          <w:rFonts w:ascii="Times New Roman" w:eastAsia="仿宋" w:hAnsi="Times New Roman" w:cs="Times New Roman"/>
          <w:sz w:val="32"/>
          <w:szCs w:val="32"/>
        </w:rPr>
        <w:t>3%</w:t>
      </w:r>
      <w:r>
        <w:rPr>
          <w:rFonts w:ascii="Times New Roman" w:eastAsia="仿宋" w:hAnsi="Times New Roman" w:cs="Times New Roman"/>
          <w:sz w:val="32"/>
          <w:szCs w:val="32"/>
        </w:rPr>
        <w:t>或</w:t>
      </w:r>
      <w:r>
        <w:rPr>
          <w:rFonts w:ascii="Times New Roman" w:eastAsia="仿宋" w:hAnsi="Times New Roman" w:cs="Times New Roman"/>
          <w:sz w:val="32"/>
          <w:szCs w:val="32"/>
        </w:rPr>
        <w:t>5%</w:t>
      </w:r>
      <w:r>
        <w:rPr>
          <w:rFonts w:ascii="Times New Roman" w:eastAsia="仿宋" w:hAnsi="Times New Roman" w:cs="Times New Roman"/>
          <w:sz w:val="32"/>
          <w:szCs w:val="32"/>
        </w:rPr>
        <w:t>）。收益资金由村集体统筹使用，重点用于扶持低收入农户、开展节日慰问、改善人居环境及补充村级公益事业。例如，溧水区部分门面房、农业设施用房出租收益定向用于困难群体帮扶；</w:t>
      </w:r>
      <w:proofErr w:type="gramStart"/>
      <w:r>
        <w:rPr>
          <w:rFonts w:ascii="Times New Roman" w:eastAsia="仿宋" w:hAnsi="Times New Roman" w:cs="Times New Roman"/>
          <w:sz w:val="32"/>
          <w:szCs w:val="32"/>
        </w:rPr>
        <w:t>六合区</w:t>
      </w:r>
      <w:proofErr w:type="gramEnd"/>
      <w:r>
        <w:rPr>
          <w:rFonts w:ascii="Times New Roman" w:eastAsia="仿宋" w:hAnsi="Times New Roman" w:cs="Times New Roman"/>
          <w:sz w:val="32"/>
          <w:szCs w:val="32"/>
        </w:rPr>
        <w:t>大侯社区经营性用房项目年租金</w:t>
      </w:r>
      <w:r>
        <w:rPr>
          <w:rFonts w:ascii="Times New Roman" w:eastAsia="仿宋" w:hAnsi="Times New Roman" w:cs="Times New Roman"/>
          <w:sz w:val="32"/>
          <w:szCs w:val="32"/>
        </w:rPr>
        <w:t>23</w:t>
      </w:r>
      <w:r>
        <w:rPr>
          <w:rFonts w:ascii="Times New Roman" w:eastAsia="仿宋" w:hAnsi="Times New Roman" w:cs="Times New Roman"/>
          <w:sz w:val="32"/>
          <w:szCs w:val="32"/>
        </w:rPr>
        <w:t>万元按比例回馈社区。这些做法确保了项目形成的资产能够持续产生效益，并直接惠及农民。</w:t>
      </w:r>
    </w:p>
    <w:p w:rsidR="007662C3" w:rsidRDefault="00D05E05">
      <w:pPr>
        <w:tabs>
          <w:tab w:val="left" w:pos="5529"/>
        </w:tabs>
        <w:spacing w:line="560" w:lineRule="exact"/>
        <w:ind w:firstLineChars="200" w:firstLine="640"/>
        <w:outlineLvl w:val="1"/>
        <w:rPr>
          <w:rFonts w:ascii="Times New Roman" w:eastAsia="楷体" w:hAnsi="Times New Roman" w:cs="Times New Roman"/>
          <w:spacing w:val="-2"/>
          <w:sz w:val="32"/>
          <w:szCs w:val="32"/>
        </w:rPr>
      </w:pPr>
      <w:bookmarkStart w:id="346" w:name="_Toc20411"/>
      <w:r>
        <w:rPr>
          <w:rFonts w:ascii="Times New Roman" w:eastAsia="楷体" w:hAnsi="Times New Roman" w:cs="Times New Roman"/>
          <w:color w:val="000000"/>
          <w:kern w:val="0"/>
          <w:sz w:val="32"/>
          <w:szCs w:val="32"/>
        </w:rPr>
        <w:t>（四）</w:t>
      </w:r>
      <w:bookmarkEnd w:id="346"/>
      <w:r>
        <w:rPr>
          <w:rFonts w:ascii="Times New Roman" w:eastAsia="楷体" w:hAnsi="Times New Roman" w:cs="Times New Roman"/>
          <w:color w:val="000000"/>
          <w:kern w:val="0"/>
          <w:sz w:val="32"/>
          <w:szCs w:val="32"/>
        </w:rPr>
        <w:t>‌</w:t>
      </w:r>
      <w:r>
        <w:rPr>
          <w:rFonts w:ascii="Times New Roman" w:eastAsia="楷体" w:hAnsi="Times New Roman" w:cs="Times New Roman"/>
          <w:color w:val="000000"/>
          <w:kern w:val="0"/>
          <w:sz w:val="32"/>
          <w:szCs w:val="32"/>
        </w:rPr>
        <w:t>探索多元联农带农方式，拓宽农户就业增收渠道</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Times New Roman" w:eastAsia="仿宋" w:hAnsi="Times New Roman" w:cs="Times New Roman"/>
          <w:sz w:val="32"/>
          <w:szCs w:val="32"/>
        </w:rPr>
        <w:t>项目实施过程中，注重通过务工就业、土地流转、订单合作等多种形式建立与农户的利益联结机制。在项目建设期，普遍吸纳了本地劳动力参与施工，提供了大量灵活就业岗位。项目运营后，部分产业类项目创造了固定或季节性岗位，如水产养殖基地、茶叶生产用房、粮食烘干中心等在农忙时节雇佣当地村民从事生产、加工、管护等工作。例如，</w:t>
      </w:r>
      <w:proofErr w:type="gramStart"/>
      <w:r>
        <w:rPr>
          <w:rFonts w:ascii="Times New Roman" w:eastAsia="仿宋" w:hAnsi="Times New Roman" w:cs="Times New Roman"/>
          <w:sz w:val="32"/>
          <w:szCs w:val="32"/>
        </w:rPr>
        <w:t>六合区</w:t>
      </w:r>
      <w:proofErr w:type="gramEnd"/>
      <w:r>
        <w:rPr>
          <w:rFonts w:ascii="Times New Roman" w:eastAsia="仿宋" w:hAnsi="Times New Roman" w:cs="Times New Roman"/>
          <w:sz w:val="32"/>
          <w:szCs w:val="32"/>
        </w:rPr>
        <w:t>“</w:t>
      </w:r>
      <w:r>
        <w:rPr>
          <w:rFonts w:ascii="Times New Roman" w:eastAsia="仿宋" w:hAnsi="Times New Roman" w:cs="Times New Roman"/>
          <w:sz w:val="32"/>
          <w:szCs w:val="32"/>
        </w:rPr>
        <w:t>龙池鲫鱼</w:t>
      </w:r>
      <w:r>
        <w:rPr>
          <w:rFonts w:ascii="Times New Roman" w:eastAsia="仿宋" w:hAnsi="Times New Roman" w:cs="Times New Roman"/>
          <w:sz w:val="32"/>
          <w:szCs w:val="32"/>
        </w:rPr>
        <w:t>”</w:t>
      </w:r>
      <w:r>
        <w:rPr>
          <w:rFonts w:ascii="Times New Roman" w:eastAsia="仿宋" w:hAnsi="Times New Roman" w:cs="Times New Roman"/>
          <w:sz w:val="32"/>
          <w:szCs w:val="32"/>
        </w:rPr>
        <w:t>项目</w:t>
      </w:r>
      <w:proofErr w:type="gramStart"/>
      <w:r>
        <w:rPr>
          <w:rFonts w:ascii="Times New Roman" w:eastAsia="仿宋" w:hAnsi="Times New Roman" w:cs="Times New Roman"/>
          <w:sz w:val="32"/>
          <w:szCs w:val="32"/>
        </w:rPr>
        <w:t>与盒马等</w:t>
      </w:r>
      <w:proofErr w:type="gramEnd"/>
      <w:r>
        <w:rPr>
          <w:rFonts w:ascii="Times New Roman" w:eastAsia="仿宋" w:hAnsi="Times New Roman" w:cs="Times New Roman"/>
          <w:sz w:val="32"/>
          <w:szCs w:val="32"/>
        </w:rPr>
        <w:t>平台合作，将生产订单分配给周边农户；溧水区向阳村粮食运转</w:t>
      </w:r>
      <w:r>
        <w:rPr>
          <w:rFonts w:ascii="Times New Roman" w:eastAsia="仿宋" w:hAnsi="Times New Roman" w:cs="Times New Roman"/>
          <w:sz w:val="32"/>
          <w:szCs w:val="32"/>
        </w:rPr>
        <w:lastRenderedPageBreak/>
        <w:t>设备采购后由村集体合作社运营，农忙时节带动散工需求。此外，部分园区和厂房项目通过引进劳动密集型产业，预期将进一步扩大本地就业容量，促进农户在家门口增收，逐步形成</w:t>
      </w:r>
      <w:r>
        <w:rPr>
          <w:rFonts w:ascii="Times New Roman" w:eastAsia="仿宋" w:hAnsi="Times New Roman" w:cs="Times New Roman"/>
          <w:sz w:val="32"/>
          <w:szCs w:val="32"/>
        </w:rPr>
        <w:t>“</w:t>
      </w:r>
      <w:r>
        <w:rPr>
          <w:rFonts w:ascii="Times New Roman" w:eastAsia="仿宋" w:hAnsi="Times New Roman" w:cs="Times New Roman"/>
          <w:sz w:val="32"/>
          <w:szCs w:val="32"/>
        </w:rPr>
        <w:t>项目带动、农户参与、集体增收</w:t>
      </w:r>
      <w:r>
        <w:rPr>
          <w:rFonts w:ascii="Times New Roman" w:eastAsia="仿宋" w:hAnsi="Times New Roman" w:cs="Times New Roman"/>
          <w:sz w:val="32"/>
          <w:szCs w:val="32"/>
        </w:rPr>
        <w:t>”</w:t>
      </w:r>
      <w:r>
        <w:rPr>
          <w:rFonts w:ascii="Times New Roman" w:eastAsia="仿宋" w:hAnsi="Times New Roman" w:cs="Times New Roman"/>
          <w:sz w:val="32"/>
          <w:szCs w:val="32"/>
        </w:rPr>
        <w:t>的良性发展格局。</w:t>
      </w:r>
    </w:p>
    <w:p w:rsidR="007662C3" w:rsidRDefault="00D05E05">
      <w:pPr>
        <w:adjustRightInd w:val="0"/>
        <w:snapToGrid w:val="0"/>
        <w:spacing w:line="560" w:lineRule="exact"/>
        <w:ind w:firstLineChars="200" w:firstLine="640"/>
        <w:outlineLvl w:val="0"/>
        <w:rPr>
          <w:rFonts w:ascii="黑体" w:eastAsia="黑体" w:hAnsi="黑体" w:cs="黑体"/>
          <w:sz w:val="32"/>
          <w:szCs w:val="32"/>
        </w:rPr>
      </w:pPr>
      <w:bookmarkStart w:id="347" w:name="_Toc25383"/>
      <w:bookmarkStart w:id="348" w:name="_Toc29157"/>
      <w:r>
        <w:rPr>
          <w:rFonts w:ascii="黑体" w:eastAsia="黑体" w:hAnsi="黑体" w:cs="黑体" w:hint="eastAsia"/>
          <w:sz w:val="32"/>
          <w:szCs w:val="32"/>
        </w:rPr>
        <w:t>四、存在问题及原因分析</w:t>
      </w:r>
      <w:bookmarkEnd w:id="339"/>
      <w:bookmarkEnd w:id="347"/>
      <w:bookmarkEnd w:id="348"/>
    </w:p>
    <w:p w:rsidR="007662C3" w:rsidRDefault="00D05E05">
      <w:pPr>
        <w:widowControl/>
        <w:spacing w:line="560" w:lineRule="exact"/>
        <w:ind w:firstLineChars="200" w:firstLine="640"/>
        <w:jc w:val="left"/>
        <w:outlineLvl w:val="1"/>
        <w:rPr>
          <w:rFonts w:ascii="楷体" w:eastAsia="楷体" w:hAnsi="楷体" w:cs="楷体"/>
          <w:color w:val="000000"/>
          <w:kern w:val="0"/>
          <w:sz w:val="32"/>
          <w:szCs w:val="32"/>
        </w:rPr>
      </w:pPr>
      <w:bookmarkStart w:id="349" w:name="_Toc107846029"/>
      <w:bookmarkStart w:id="350" w:name="_Toc1423"/>
      <w:bookmarkStart w:id="351" w:name="_Toc1384"/>
      <w:bookmarkStart w:id="352" w:name="OLE_LINK1"/>
      <w:bookmarkStart w:id="353" w:name="OLE_LINK3"/>
      <w:bookmarkStart w:id="354" w:name="_Toc31242"/>
      <w:bookmarkStart w:id="355" w:name="_Toc3103"/>
      <w:r>
        <w:rPr>
          <w:rFonts w:ascii="楷体" w:eastAsia="楷体" w:hAnsi="楷体" w:cs="楷体" w:hint="eastAsia"/>
          <w:color w:val="000000"/>
          <w:kern w:val="0"/>
          <w:sz w:val="32"/>
          <w:szCs w:val="32"/>
        </w:rPr>
        <w:t>（一）</w:t>
      </w:r>
      <w:bookmarkEnd w:id="349"/>
      <w:bookmarkEnd w:id="350"/>
      <w:bookmarkEnd w:id="351"/>
      <w:r>
        <w:rPr>
          <w:rFonts w:ascii="楷体" w:eastAsia="楷体" w:hAnsi="楷体" w:cs="楷体" w:hint="eastAsia"/>
          <w:color w:val="000000"/>
          <w:kern w:val="0"/>
          <w:sz w:val="32"/>
          <w:szCs w:val="32"/>
        </w:rPr>
        <w:t>部分项目建设进度滞后</w:t>
      </w:r>
    </w:p>
    <w:p w:rsidR="007662C3" w:rsidRDefault="00D05E05">
      <w:pPr>
        <w:widowControl/>
        <w:spacing w:line="560" w:lineRule="exact"/>
        <w:ind w:firstLineChars="200" w:firstLine="640"/>
        <w:jc w:val="left"/>
        <w:outlineLvl w:val="1"/>
        <w:rPr>
          <w:rFonts w:ascii="仿宋" w:eastAsia="仿宋" w:hAnsi="仿宋" w:cs="仿宋"/>
          <w:sz w:val="32"/>
          <w:szCs w:val="32"/>
        </w:rPr>
      </w:pPr>
      <w:r>
        <w:rPr>
          <w:rFonts w:ascii="仿宋" w:eastAsia="仿宋" w:hAnsi="仿宋" w:cs="仿宋" w:hint="eastAsia"/>
          <w:sz w:val="32"/>
          <w:szCs w:val="32"/>
        </w:rPr>
        <w:t>尽管部分项目已完成立项手续，但因用地审批、财政评审等前期程序复杂导致实际开工滞后。例如，江宁区淳化</w:t>
      </w:r>
      <w:proofErr w:type="gramStart"/>
      <w:r>
        <w:rPr>
          <w:rFonts w:ascii="仿宋" w:eastAsia="仿宋" w:hAnsi="仿宋" w:cs="仿宋" w:hint="eastAsia"/>
          <w:sz w:val="32"/>
          <w:szCs w:val="32"/>
        </w:rPr>
        <w:t>街道西埠村</w:t>
      </w:r>
      <w:proofErr w:type="gramEnd"/>
      <w:r>
        <w:rPr>
          <w:rFonts w:ascii="仿宋" w:eastAsia="仿宋" w:hAnsi="仿宋" w:cs="仿宋" w:hint="eastAsia"/>
          <w:sz w:val="32"/>
          <w:szCs w:val="32"/>
        </w:rPr>
        <w:t>粮食烘干仓储厂房项目虽已完成招投标，但因用地备案手续繁琐、区级投资评审中心需对控制价二次复核，至今未能进场施工；栖霞区八卦洲农产品冷储中心二期等项目因土地设施备案审批问题未能启动；此外，部分项目虽已进入施工阶段但关键配套设备采购缓慢，如丹桂社区农事服务中心大米加工设备</w:t>
      </w:r>
      <w:proofErr w:type="gramStart"/>
      <w:r>
        <w:rPr>
          <w:rFonts w:ascii="仿宋" w:eastAsia="仿宋" w:hAnsi="仿宋" w:cs="仿宋" w:hint="eastAsia"/>
          <w:sz w:val="32"/>
          <w:szCs w:val="32"/>
        </w:rPr>
        <w:t>采购受招</w:t>
      </w:r>
      <w:proofErr w:type="gramEnd"/>
      <w:r>
        <w:rPr>
          <w:rFonts w:ascii="仿宋" w:eastAsia="仿宋" w:hAnsi="仿宋" w:cs="仿宋" w:hint="eastAsia"/>
          <w:sz w:val="32"/>
          <w:szCs w:val="32"/>
        </w:rPr>
        <w:t>投标流程影响，拖延至2026年5月才完成开标，直接影响了项目按时完工。</w:t>
      </w:r>
    </w:p>
    <w:p w:rsidR="007662C3" w:rsidRDefault="00D05E05">
      <w:pPr>
        <w:widowControl/>
        <w:spacing w:line="560" w:lineRule="exact"/>
        <w:ind w:firstLineChars="200" w:firstLine="640"/>
        <w:jc w:val="left"/>
        <w:outlineLvl w:val="1"/>
        <w:rPr>
          <w:rFonts w:ascii="楷体" w:eastAsia="楷体" w:hAnsi="楷体" w:cs="楷体"/>
          <w:color w:val="000000"/>
          <w:kern w:val="0"/>
          <w:sz w:val="32"/>
          <w:szCs w:val="32"/>
        </w:rPr>
      </w:pPr>
      <w:bookmarkStart w:id="356" w:name="_Toc24496"/>
      <w:bookmarkStart w:id="357" w:name="_Toc2346"/>
      <w:r>
        <w:rPr>
          <w:rFonts w:ascii="楷体" w:eastAsia="楷体" w:hAnsi="楷体" w:cs="楷体" w:hint="eastAsia"/>
          <w:color w:val="000000"/>
          <w:kern w:val="0"/>
          <w:sz w:val="32"/>
          <w:szCs w:val="32"/>
        </w:rPr>
        <w:t>（二）</w:t>
      </w:r>
      <w:bookmarkEnd w:id="356"/>
      <w:bookmarkEnd w:id="357"/>
      <w:r>
        <w:rPr>
          <w:rFonts w:ascii="楷体" w:eastAsia="楷体" w:hAnsi="楷体" w:cs="楷体" w:hint="eastAsia"/>
          <w:color w:val="000000"/>
          <w:kern w:val="0"/>
          <w:sz w:val="32"/>
          <w:szCs w:val="32"/>
        </w:rPr>
        <w:t>项目资产确权</w:t>
      </w:r>
      <w:proofErr w:type="gramStart"/>
      <w:r>
        <w:rPr>
          <w:rFonts w:ascii="楷体" w:eastAsia="楷体" w:hAnsi="楷体" w:cs="楷体" w:hint="eastAsia"/>
          <w:color w:val="000000"/>
          <w:kern w:val="0"/>
          <w:sz w:val="32"/>
          <w:szCs w:val="32"/>
        </w:rPr>
        <w:t>移交仍</w:t>
      </w:r>
      <w:proofErr w:type="gramEnd"/>
      <w:r>
        <w:rPr>
          <w:rFonts w:ascii="楷体" w:eastAsia="楷体" w:hAnsi="楷体" w:cs="楷体" w:hint="eastAsia"/>
          <w:color w:val="000000"/>
          <w:kern w:val="0"/>
          <w:sz w:val="32"/>
          <w:szCs w:val="32"/>
        </w:rPr>
        <w:t>不彻底</w:t>
      </w:r>
    </w:p>
    <w:p w:rsidR="007662C3" w:rsidRDefault="00D05E05">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经核查，已完成竣工验收的资产划转程序中仍存在办理不及时、记账不规范问题。高淳区薛城村门面房购置项目虽已按期收到租金，但房产证仍在办理中；溧水区洪蓝街道青</w:t>
      </w:r>
      <w:proofErr w:type="gramStart"/>
      <w:r>
        <w:rPr>
          <w:rFonts w:ascii="仿宋" w:eastAsia="仿宋" w:hAnsi="仿宋" w:cs="仿宋" w:hint="eastAsia"/>
          <w:sz w:val="32"/>
          <w:szCs w:val="32"/>
        </w:rPr>
        <w:t>锋村商铺</w:t>
      </w:r>
      <w:proofErr w:type="gramEnd"/>
      <w:r>
        <w:rPr>
          <w:rFonts w:ascii="仿宋" w:eastAsia="仿宋" w:hAnsi="仿宋" w:cs="仿宋" w:hint="eastAsia"/>
          <w:sz w:val="32"/>
          <w:szCs w:val="32"/>
        </w:rPr>
        <w:t>因涉及保障房产权关系，尚</w:t>
      </w:r>
      <w:r w:rsidR="001D3525">
        <w:rPr>
          <w:rFonts w:ascii="仿宋" w:eastAsia="仿宋" w:hAnsi="仿宋" w:cs="仿宋" w:hint="eastAsia"/>
          <w:sz w:val="32"/>
          <w:szCs w:val="32"/>
        </w:rPr>
        <w:t>未办理至村集体的过户登记，资产仍列于应收账款；同时高淳区和平</w:t>
      </w:r>
      <w:proofErr w:type="gramStart"/>
      <w:r w:rsidR="001D3525">
        <w:rPr>
          <w:rFonts w:ascii="仿宋" w:eastAsia="仿宋" w:hAnsi="仿宋" w:cs="仿宋" w:hint="eastAsia"/>
          <w:sz w:val="32"/>
          <w:szCs w:val="32"/>
        </w:rPr>
        <w:t>村绿</w:t>
      </w:r>
      <w:bookmarkStart w:id="358" w:name="_GoBack"/>
      <w:bookmarkEnd w:id="358"/>
      <w:r>
        <w:rPr>
          <w:rFonts w:ascii="仿宋" w:eastAsia="仿宋" w:hAnsi="仿宋" w:cs="仿宋" w:hint="eastAsia"/>
          <w:sz w:val="32"/>
          <w:szCs w:val="32"/>
        </w:rPr>
        <w:t>植</w:t>
      </w:r>
      <w:proofErr w:type="gramEnd"/>
      <w:r>
        <w:rPr>
          <w:rFonts w:ascii="仿宋" w:eastAsia="仿宋" w:hAnsi="仿宋" w:cs="仿宋" w:hint="eastAsia"/>
          <w:sz w:val="32"/>
          <w:szCs w:val="32"/>
        </w:rPr>
        <w:t>生态空间项目验收审计后尚未结转固定资产，多个村社资产虽然入账但未统一执行折旧计提标准，资产账面管理与实物移交同步性有待提升。</w:t>
      </w:r>
    </w:p>
    <w:p w:rsidR="007662C3" w:rsidRDefault="00D05E05">
      <w:pPr>
        <w:spacing w:line="560" w:lineRule="exact"/>
        <w:ind w:firstLineChars="200" w:firstLine="640"/>
        <w:outlineLvl w:val="1"/>
        <w:rPr>
          <w:rFonts w:ascii="楷体" w:eastAsia="楷体" w:hAnsi="楷体" w:cs="仿宋"/>
          <w:bCs/>
          <w:sz w:val="32"/>
          <w:szCs w:val="32"/>
        </w:rPr>
      </w:pPr>
      <w:bookmarkStart w:id="359" w:name="_Toc27337"/>
      <w:bookmarkStart w:id="360" w:name="_Toc16301"/>
      <w:bookmarkStart w:id="361" w:name="OLE_LINK2"/>
      <w:r>
        <w:rPr>
          <w:rFonts w:ascii="楷体" w:eastAsia="楷体" w:hAnsi="楷体" w:cs="仿宋" w:hint="eastAsia"/>
          <w:bCs/>
          <w:sz w:val="32"/>
          <w:szCs w:val="32"/>
        </w:rPr>
        <w:lastRenderedPageBreak/>
        <w:t>（三）</w:t>
      </w:r>
      <w:bookmarkEnd w:id="359"/>
      <w:bookmarkEnd w:id="360"/>
      <w:r>
        <w:rPr>
          <w:rFonts w:ascii="楷体" w:eastAsia="楷体" w:hAnsi="楷体" w:cs="仿宋" w:hint="eastAsia"/>
          <w:bCs/>
          <w:sz w:val="32"/>
          <w:szCs w:val="32"/>
        </w:rPr>
        <w:t>预算编制精细度不足</w:t>
      </w:r>
    </w:p>
    <w:bookmarkEnd w:id="361"/>
    <w:p w:rsidR="007662C3" w:rsidRDefault="00D05E05">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不少项目在编制预算时未能细化设备、工程或材料的分项价格，导致后续资金支付依据不够具体。此外，市级补助资金拨付滞后的情况较为普遍，已核查发现，溧水区白马镇浮山村茶叶厂房项目设备采购预算明细不够具体，虽竣工审计尚未完成但已预拨付市级资金；同时</w:t>
      </w:r>
      <w:proofErr w:type="gramStart"/>
      <w:r>
        <w:rPr>
          <w:rFonts w:ascii="仿宋" w:eastAsia="仿宋" w:hAnsi="仿宋" w:cs="仿宋" w:hint="eastAsia"/>
          <w:sz w:val="32"/>
          <w:szCs w:val="32"/>
        </w:rPr>
        <w:t>六合区</w:t>
      </w:r>
      <w:proofErr w:type="gramEnd"/>
      <w:r>
        <w:rPr>
          <w:rFonts w:ascii="仿宋" w:eastAsia="仿宋" w:hAnsi="仿宋" w:cs="仿宋" w:hint="eastAsia"/>
          <w:sz w:val="32"/>
          <w:szCs w:val="32"/>
        </w:rPr>
        <w:t>多个项目如</w:t>
      </w:r>
      <w:proofErr w:type="gramStart"/>
      <w:r>
        <w:rPr>
          <w:rFonts w:ascii="仿宋" w:eastAsia="仿宋" w:hAnsi="仿宋" w:cs="仿宋" w:hint="eastAsia"/>
          <w:sz w:val="32"/>
          <w:szCs w:val="32"/>
        </w:rPr>
        <w:t>冶山</w:t>
      </w:r>
      <w:proofErr w:type="gramEnd"/>
      <w:r>
        <w:rPr>
          <w:rFonts w:ascii="仿宋" w:eastAsia="仿宋" w:hAnsi="仿宋" w:cs="仿宋" w:hint="eastAsia"/>
          <w:sz w:val="32"/>
          <w:szCs w:val="32"/>
        </w:rPr>
        <w:t>籼米烘干仓储等项目工程审计仍在进行，资金尚未完全拨付到项目单位，部分年度预算未形成实际支出，影响了施工进度与资金的整体运转效率。</w:t>
      </w:r>
    </w:p>
    <w:p w:rsidR="007662C3" w:rsidRDefault="00D05E05">
      <w:pPr>
        <w:spacing w:line="560" w:lineRule="exact"/>
        <w:ind w:firstLineChars="200" w:firstLine="640"/>
        <w:outlineLvl w:val="1"/>
        <w:rPr>
          <w:rFonts w:ascii="楷体" w:eastAsia="楷体" w:hAnsi="楷体" w:cs="仿宋"/>
          <w:bCs/>
          <w:sz w:val="32"/>
          <w:szCs w:val="32"/>
        </w:rPr>
      </w:pPr>
      <w:bookmarkStart w:id="362" w:name="_Toc12192"/>
      <w:bookmarkStart w:id="363" w:name="_Toc17761"/>
      <w:r>
        <w:rPr>
          <w:rFonts w:ascii="楷体" w:eastAsia="楷体" w:hAnsi="楷体" w:cs="仿宋" w:hint="eastAsia"/>
          <w:bCs/>
          <w:sz w:val="32"/>
          <w:szCs w:val="32"/>
        </w:rPr>
        <w:t>（四）</w:t>
      </w:r>
      <w:bookmarkEnd w:id="362"/>
      <w:bookmarkEnd w:id="363"/>
      <w:r>
        <w:rPr>
          <w:rFonts w:ascii="楷体" w:eastAsia="楷体" w:hAnsi="楷体" w:cs="仿宋" w:hint="eastAsia"/>
          <w:bCs/>
          <w:sz w:val="32"/>
          <w:szCs w:val="32"/>
        </w:rPr>
        <w:t>运营收益变现能力不一</w:t>
      </w:r>
    </w:p>
    <w:bookmarkEnd w:id="352"/>
    <w:p w:rsidR="007662C3" w:rsidRDefault="00D05E05">
      <w:pPr>
        <w:spacing w:line="560" w:lineRule="exact"/>
        <w:ind w:firstLineChars="200" w:firstLine="640"/>
        <w:outlineLvl w:val="1"/>
        <w:rPr>
          <w:rFonts w:ascii="仿宋" w:eastAsia="仿宋" w:hAnsi="仿宋" w:cs="仿宋"/>
          <w:sz w:val="32"/>
          <w:szCs w:val="32"/>
        </w:rPr>
      </w:pPr>
      <w:r>
        <w:rPr>
          <w:rFonts w:ascii="仿宋" w:eastAsia="仿宋" w:hAnsi="仿宋" w:cs="仿宋" w:hint="eastAsia"/>
          <w:sz w:val="32"/>
          <w:szCs w:val="32"/>
        </w:rPr>
        <w:t>项目建成后的经济效益转化出现差距，部分项目虽然已有年度租金收益，但产业带动和低收入农户增收效果尚不显著。高淳区红松村园区标准厂房等项目虽资产已确权并有明确分红收益，但其对周边农户就业的带动作用不明显。溧水区和</w:t>
      </w:r>
      <w:proofErr w:type="gramStart"/>
      <w:r>
        <w:rPr>
          <w:rFonts w:ascii="仿宋" w:eastAsia="仿宋" w:hAnsi="仿宋" w:cs="仿宋" w:hint="eastAsia"/>
          <w:sz w:val="32"/>
          <w:szCs w:val="32"/>
        </w:rPr>
        <w:t>凤镇</w:t>
      </w:r>
      <w:proofErr w:type="gramEnd"/>
      <w:r>
        <w:rPr>
          <w:rFonts w:ascii="仿宋" w:eastAsia="仿宋" w:hAnsi="仿宋" w:cs="仿宋" w:hint="eastAsia"/>
          <w:sz w:val="32"/>
          <w:szCs w:val="32"/>
        </w:rPr>
        <w:t>优质稻米社会化服务平台等项目已完成硬件建设，但具体运营方案仍不明确，未来创收能力存在不确定性。</w:t>
      </w:r>
    </w:p>
    <w:p w:rsidR="007662C3" w:rsidRDefault="00D05E05">
      <w:pPr>
        <w:spacing w:line="560" w:lineRule="exact"/>
        <w:ind w:firstLineChars="200" w:firstLine="640"/>
        <w:outlineLvl w:val="1"/>
        <w:rPr>
          <w:rFonts w:ascii="楷体" w:eastAsia="楷体" w:hAnsi="楷体" w:cs="仿宋"/>
          <w:bCs/>
          <w:sz w:val="32"/>
          <w:szCs w:val="32"/>
        </w:rPr>
      </w:pPr>
      <w:bookmarkStart w:id="364" w:name="OLE_LINK5"/>
      <w:bookmarkStart w:id="365" w:name="_Toc7633"/>
      <w:bookmarkStart w:id="366" w:name="_Toc1584"/>
      <w:r>
        <w:rPr>
          <w:rFonts w:ascii="楷体" w:eastAsia="楷体" w:hAnsi="楷体" w:cs="仿宋" w:hint="eastAsia"/>
          <w:bCs/>
          <w:sz w:val="32"/>
          <w:szCs w:val="32"/>
        </w:rPr>
        <w:t>（五）</w:t>
      </w:r>
      <w:bookmarkEnd w:id="364"/>
      <w:bookmarkEnd w:id="365"/>
      <w:bookmarkEnd w:id="366"/>
      <w:r>
        <w:rPr>
          <w:rFonts w:ascii="楷体" w:eastAsia="楷体" w:hAnsi="楷体" w:cs="仿宋" w:hint="eastAsia"/>
          <w:bCs/>
          <w:sz w:val="32"/>
          <w:szCs w:val="32"/>
        </w:rPr>
        <w:t>项目巡查与动态管理不足</w:t>
      </w:r>
    </w:p>
    <w:bookmarkEnd w:id="353"/>
    <w:p w:rsidR="007662C3" w:rsidRDefault="00D05E05">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日常监管中巡查记录缺失或形式化问题较为普遍。溧水区多数项目虽“正常巡查”但“未形成巡查记录”；</w:t>
      </w:r>
      <w:proofErr w:type="gramStart"/>
      <w:r>
        <w:rPr>
          <w:rFonts w:ascii="仿宋" w:eastAsia="仿宋" w:hAnsi="仿宋" w:cs="仿宋" w:hint="eastAsia"/>
          <w:sz w:val="32"/>
          <w:szCs w:val="32"/>
        </w:rPr>
        <w:t>六合区</w:t>
      </w:r>
      <w:proofErr w:type="gramEnd"/>
      <w:r>
        <w:rPr>
          <w:rFonts w:ascii="仿宋" w:eastAsia="仿宋" w:hAnsi="仿宋" w:cs="仿宋" w:hint="eastAsia"/>
          <w:sz w:val="32"/>
          <w:szCs w:val="32"/>
        </w:rPr>
        <w:t>部分项目同样存在“日常巡查，没有留下记录”的情况。这使得过程跟踪难以有效追溯，对进度滞后、设计变更等问题的动态掌握不足，影响项目风险预警和绩效持续跟踪的实效。</w:t>
      </w:r>
    </w:p>
    <w:p w:rsidR="007662C3" w:rsidRDefault="00D05E05">
      <w:pPr>
        <w:ind w:firstLineChars="200" w:firstLine="640"/>
        <w:outlineLvl w:val="1"/>
        <w:rPr>
          <w:rFonts w:ascii="楷体" w:eastAsia="楷体" w:hAnsi="楷体" w:cs="楷体"/>
          <w:sz w:val="32"/>
          <w:szCs w:val="32"/>
        </w:rPr>
      </w:pPr>
      <w:bookmarkStart w:id="367" w:name="_Toc22334"/>
      <w:r>
        <w:rPr>
          <w:rFonts w:ascii="楷体" w:eastAsia="楷体" w:hAnsi="楷体" w:cs="楷体" w:hint="eastAsia"/>
          <w:sz w:val="32"/>
          <w:szCs w:val="32"/>
        </w:rPr>
        <w:t>（六）</w:t>
      </w:r>
      <w:bookmarkEnd w:id="367"/>
      <w:r>
        <w:rPr>
          <w:rFonts w:ascii="楷体" w:eastAsia="楷体" w:hAnsi="楷体" w:cs="楷体" w:hint="eastAsia"/>
          <w:sz w:val="32"/>
          <w:szCs w:val="32"/>
        </w:rPr>
        <w:t>项目收益兑现与联农带</w:t>
      </w:r>
      <w:proofErr w:type="gramStart"/>
      <w:r>
        <w:rPr>
          <w:rFonts w:ascii="楷体" w:eastAsia="楷体" w:hAnsi="楷体" w:cs="楷体" w:hint="eastAsia"/>
          <w:sz w:val="32"/>
          <w:szCs w:val="32"/>
        </w:rPr>
        <w:t>农效益</w:t>
      </w:r>
      <w:proofErr w:type="gramEnd"/>
      <w:r>
        <w:rPr>
          <w:rFonts w:ascii="楷体" w:eastAsia="楷体" w:hAnsi="楷体" w:cs="楷体" w:hint="eastAsia"/>
          <w:sz w:val="32"/>
          <w:szCs w:val="32"/>
        </w:rPr>
        <w:t>参差不齐</w:t>
      </w:r>
    </w:p>
    <w:p w:rsidR="007662C3" w:rsidRDefault="00D05E05">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部分项目虽已实现租金收益，但对低收入农户的带动作用有</w:t>
      </w:r>
      <w:r>
        <w:rPr>
          <w:rFonts w:ascii="仿宋" w:eastAsia="仿宋" w:hAnsi="仿宋" w:cs="仿宋" w:hint="eastAsia"/>
          <w:bCs/>
          <w:sz w:val="32"/>
          <w:szCs w:val="32"/>
        </w:rPr>
        <w:lastRenderedPageBreak/>
        <w:t>限。高淳区多个门面房购置项目及溧水区部分仓储用房项目，村集体虽然能按约收取租金，但带动低收入人口增收的效果未达预期。另外，一些项目尚处于建设或试运营阶段，还未产生稳定收益，如</w:t>
      </w:r>
      <w:proofErr w:type="gramStart"/>
      <w:r>
        <w:rPr>
          <w:rFonts w:ascii="仿宋" w:eastAsia="仿宋" w:hAnsi="仿宋" w:cs="仿宋" w:hint="eastAsia"/>
          <w:bCs/>
          <w:sz w:val="32"/>
          <w:szCs w:val="32"/>
        </w:rPr>
        <w:t>六合区</w:t>
      </w:r>
      <w:proofErr w:type="gramEnd"/>
      <w:r>
        <w:rPr>
          <w:rFonts w:ascii="仿宋" w:eastAsia="仿宋" w:hAnsi="仿宋" w:cs="仿宋" w:hint="eastAsia"/>
          <w:bCs/>
          <w:sz w:val="32"/>
          <w:szCs w:val="32"/>
        </w:rPr>
        <w:t>“龙池鲫鱼”示范养殖基地仅有意向协议、南京茉莉</w:t>
      </w:r>
      <w:proofErr w:type="gramStart"/>
      <w:r>
        <w:rPr>
          <w:rFonts w:ascii="仿宋" w:eastAsia="仿宋" w:hAnsi="仿宋" w:cs="仿宋" w:hint="eastAsia"/>
          <w:bCs/>
          <w:sz w:val="32"/>
          <w:szCs w:val="32"/>
        </w:rPr>
        <w:t>六合振村产业</w:t>
      </w:r>
      <w:proofErr w:type="gramEnd"/>
      <w:r>
        <w:rPr>
          <w:rFonts w:ascii="仿宋" w:eastAsia="仿宋" w:hAnsi="仿宋" w:cs="仿宋" w:hint="eastAsia"/>
          <w:bCs/>
          <w:sz w:val="32"/>
          <w:szCs w:val="32"/>
        </w:rPr>
        <w:t>园尚在招商引资中，未能实现预期收益。</w:t>
      </w:r>
    </w:p>
    <w:p w:rsidR="007662C3" w:rsidRDefault="00D05E05">
      <w:pPr>
        <w:adjustRightInd w:val="0"/>
        <w:snapToGrid w:val="0"/>
        <w:spacing w:line="560" w:lineRule="exact"/>
        <w:ind w:firstLineChars="200" w:firstLine="640"/>
        <w:outlineLvl w:val="0"/>
        <w:rPr>
          <w:rFonts w:ascii="黑体" w:eastAsia="黑体" w:hAnsi="黑体" w:cs="黑体"/>
          <w:sz w:val="32"/>
          <w:szCs w:val="32"/>
        </w:rPr>
      </w:pPr>
      <w:bookmarkStart w:id="368" w:name="_Toc11433"/>
      <w:bookmarkStart w:id="369" w:name="_Toc12392"/>
      <w:bookmarkEnd w:id="354"/>
      <w:r>
        <w:rPr>
          <w:rFonts w:ascii="黑体" w:eastAsia="黑体" w:hAnsi="黑体" w:cs="黑体" w:hint="eastAsia"/>
          <w:sz w:val="32"/>
          <w:szCs w:val="32"/>
        </w:rPr>
        <w:t>五、有关建议</w:t>
      </w:r>
      <w:bookmarkEnd w:id="355"/>
      <w:bookmarkEnd w:id="368"/>
      <w:bookmarkEnd w:id="369"/>
    </w:p>
    <w:p w:rsidR="007662C3" w:rsidRDefault="00D05E05">
      <w:pPr>
        <w:widowControl/>
        <w:spacing w:line="560" w:lineRule="exact"/>
        <w:ind w:firstLineChars="200" w:firstLine="640"/>
        <w:jc w:val="left"/>
        <w:outlineLvl w:val="1"/>
        <w:rPr>
          <w:rFonts w:ascii="楷体" w:eastAsia="楷体" w:hAnsi="楷体" w:cs="楷体"/>
          <w:color w:val="000000"/>
          <w:kern w:val="0"/>
          <w:sz w:val="32"/>
          <w:szCs w:val="32"/>
        </w:rPr>
      </w:pPr>
      <w:bookmarkStart w:id="370" w:name="_Toc107846033"/>
      <w:bookmarkStart w:id="371" w:name="_Toc16743"/>
      <w:bookmarkStart w:id="372" w:name="_Toc4914"/>
      <w:bookmarkStart w:id="373" w:name="OLE_LINK4"/>
      <w:r>
        <w:rPr>
          <w:rFonts w:ascii="楷体" w:eastAsia="楷体" w:hAnsi="楷体" w:cs="楷体" w:hint="eastAsia"/>
          <w:color w:val="000000"/>
          <w:kern w:val="0"/>
          <w:sz w:val="32"/>
          <w:szCs w:val="32"/>
        </w:rPr>
        <w:t>（一）</w:t>
      </w:r>
      <w:bookmarkEnd w:id="370"/>
      <w:bookmarkEnd w:id="371"/>
      <w:bookmarkEnd w:id="372"/>
      <w:r>
        <w:rPr>
          <w:rFonts w:ascii="楷体" w:eastAsia="楷体" w:hAnsi="楷体" w:cs="楷体" w:hint="eastAsia"/>
          <w:color w:val="000000"/>
          <w:kern w:val="0"/>
          <w:sz w:val="32"/>
          <w:szCs w:val="32"/>
        </w:rPr>
        <w:t>优化项目前期并联审批机制</w:t>
      </w:r>
    </w:p>
    <w:p w:rsidR="007662C3" w:rsidRDefault="00D05E05">
      <w:pPr>
        <w:widowControl/>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区要优化项目审批机制，打通审批流程中的堵点，一是建立用地备案、财政评审等环节的并联办理通道，对涉农重点项目提前介入预审，将控制价二次复核等环节的办理时限明确压缩至15个工作日内，避免流程串行导致的时间损耗。二是针对设备采购类项目提前启动招标前置准备，在项目主体施工阶段同步完成设备参数论证、招标文件编制，</w:t>
      </w:r>
      <w:proofErr w:type="gramStart"/>
      <w:r>
        <w:rPr>
          <w:rFonts w:ascii="仿宋" w:eastAsia="仿宋" w:hAnsi="仿宋" w:cs="仿宋" w:hint="eastAsia"/>
          <w:sz w:val="32"/>
          <w:szCs w:val="32"/>
        </w:rPr>
        <w:t>待主体</w:t>
      </w:r>
      <w:proofErr w:type="gramEnd"/>
      <w:r>
        <w:rPr>
          <w:rFonts w:ascii="仿宋" w:eastAsia="仿宋" w:hAnsi="仿宋" w:cs="仿宋" w:hint="eastAsia"/>
          <w:sz w:val="32"/>
          <w:szCs w:val="32"/>
        </w:rPr>
        <w:t>完工后即可快速完成开标，减少采购环节的空窗等待期。三是组建区级重点项目要素保障专班，对每个滞后项目建立问题清单，明确专人对接审批部门，每周跟进手续办理进度，确保符合条件的项目尽快进场施工。</w:t>
      </w:r>
    </w:p>
    <w:p w:rsidR="007662C3" w:rsidRDefault="00D05E05">
      <w:pPr>
        <w:widowControl/>
        <w:spacing w:line="560" w:lineRule="exact"/>
        <w:ind w:firstLineChars="200" w:firstLine="640"/>
        <w:jc w:val="left"/>
        <w:outlineLvl w:val="1"/>
        <w:rPr>
          <w:rFonts w:ascii="楷体" w:eastAsia="楷体" w:hAnsi="楷体" w:cs="楷体"/>
          <w:color w:val="000000"/>
          <w:kern w:val="0"/>
          <w:sz w:val="32"/>
          <w:szCs w:val="32"/>
        </w:rPr>
      </w:pPr>
      <w:bookmarkStart w:id="374" w:name="_Toc24216"/>
      <w:bookmarkStart w:id="375" w:name="_Toc335"/>
      <w:r>
        <w:rPr>
          <w:rFonts w:ascii="楷体" w:eastAsia="楷体" w:hAnsi="楷体" w:cs="楷体" w:hint="eastAsia"/>
          <w:color w:val="000000"/>
          <w:kern w:val="0"/>
          <w:sz w:val="32"/>
          <w:szCs w:val="32"/>
        </w:rPr>
        <w:t>（二）</w:t>
      </w:r>
      <w:bookmarkEnd w:id="374"/>
      <w:bookmarkEnd w:id="375"/>
      <w:r>
        <w:rPr>
          <w:rFonts w:ascii="楷体" w:eastAsia="楷体" w:hAnsi="楷体" w:cs="楷体" w:hint="eastAsia"/>
          <w:color w:val="000000"/>
          <w:kern w:val="0"/>
          <w:sz w:val="32"/>
          <w:szCs w:val="32"/>
        </w:rPr>
        <w:t>细化资产确权移交全流程规范</w:t>
      </w:r>
    </w:p>
    <w:p w:rsidR="007662C3" w:rsidRDefault="00D05E05">
      <w:pPr>
        <w:widowControl/>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区应夯实产权管理基础，细化确权移交全流程规范，一是制定村级项目资产移交操作指引，明确竣工验收后30日内必须完成资产划转手续，同步梳理产权登记的材料清单和办理流程，安排专人对接不动产登记部门，</w:t>
      </w:r>
      <w:proofErr w:type="gramStart"/>
      <w:r>
        <w:rPr>
          <w:rFonts w:ascii="仿宋" w:eastAsia="仿宋" w:hAnsi="仿宋" w:cs="仿宋" w:hint="eastAsia"/>
          <w:sz w:val="32"/>
          <w:szCs w:val="32"/>
        </w:rPr>
        <w:t>开辟村</w:t>
      </w:r>
      <w:proofErr w:type="gramEnd"/>
      <w:r>
        <w:rPr>
          <w:rFonts w:ascii="仿宋" w:eastAsia="仿宋" w:hAnsi="仿宋" w:cs="仿宋" w:hint="eastAsia"/>
          <w:sz w:val="32"/>
          <w:szCs w:val="32"/>
        </w:rPr>
        <w:t>集体资产过户的绿色通道。二是统一全区村社固定资产入账和折旧计提标准，组织财务人员开展专题培训，对已验收未结转的资产限期完成固定资产账务处</w:t>
      </w:r>
      <w:r>
        <w:rPr>
          <w:rFonts w:ascii="仿宋" w:eastAsia="仿宋" w:hAnsi="仿宋" w:cs="仿宋" w:hint="eastAsia"/>
          <w:sz w:val="32"/>
          <w:szCs w:val="32"/>
        </w:rPr>
        <w:lastRenderedPageBreak/>
        <w:t>理，确保账面数据和实物状态完全同步。三是针对涉及保障房等复杂产权关系的项目，建立“一事一议”协调机制，由属地街道牵头梳理产权历史遗留问题，推动相关部门出具权属认定意见，尽快完成资产过户登记。</w:t>
      </w:r>
    </w:p>
    <w:p w:rsidR="007662C3" w:rsidRDefault="00D05E05">
      <w:pPr>
        <w:widowControl/>
        <w:spacing w:line="560" w:lineRule="exact"/>
        <w:ind w:firstLineChars="200" w:firstLine="640"/>
        <w:outlineLvl w:val="1"/>
        <w:rPr>
          <w:rFonts w:ascii="仿宋" w:eastAsia="仿宋" w:hAnsi="仿宋" w:cs="仿宋"/>
          <w:sz w:val="32"/>
          <w:szCs w:val="32"/>
        </w:rPr>
      </w:pPr>
      <w:bookmarkStart w:id="376" w:name="_Toc2156"/>
      <w:r>
        <w:rPr>
          <w:rFonts w:ascii="楷体" w:eastAsia="楷体" w:hAnsi="楷体" w:cs="楷体" w:hint="eastAsia"/>
          <w:color w:val="000000"/>
          <w:kern w:val="0"/>
          <w:sz w:val="32"/>
          <w:szCs w:val="32"/>
        </w:rPr>
        <w:t>（三）</w:t>
      </w:r>
      <w:bookmarkEnd w:id="376"/>
      <w:r>
        <w:rPr>
          <w:rFonts w:ascii="楷体" w:eastAsia="楷体" w:hAnsi="楷体" w:cs="楷体" w:hint="eastAsia"/>
          <w:color w:val="000000"/>
          <w:kern w:val="0"/>
          <w:sz w:val="32"/>
          <w:szCs w:val="32"/>
        </w:rPr>
        <w:t>强化预算全周期精准管控</w:t>
      </w:r>
    </w:p>
    <w:p w:rsidR="007662C3" w:rsidRDefault="00D05E05">
      <w:pPr>
        <w:widowControl/>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为保证资金拨付与建设节奏同频，各区应强化预算全周期精准管控，一是在项目预算编制环节严格要求细化设备、工程、材料的分项价格清单，无明确明细的预算不予审核通过，从源头补齐资金支付的依据短板。二是建立市级补助资金拨付和项目建设进度的挂钩机制，对照项目施工节点制定分批次拨付计划，在确保合</w:t>
      </w:r>
      <w:proofErr w:type="gramStart"/>
      <w:r>
        <w:rPr>
          <w:rFonts w:ascii="仿宋" w:eastAsia="仿宋" w:hAnsi="仿宋" w:cs="仿宋" w:hint="eastAsia"/>
          <w:sz w:val="32"/>
          <w:szCs w:val="32"/>
        </w:rPr>
        <w:t>规</w:t>
      </w:r>
      <w:proofErr w:type="gramEnd"/>
      <w:r>
        <w:rPr>
          <w:rFonts w:ascii="仿宋" w:eastAsia="仿宋" w:hAnsi="仿宋" w:cs="仿宋" w:hint="eastAsia"/>
          <w:sz w:val="32"/>
          <w:szCs w:val="32"/>
        </w:rPr>
        <w:t>的前提下，对已完成竣工审计的项目及时完成剩余资金拨付，避免资金长期滞留。三是对跨年度项目建立预算执行动态跟踪台账，每季度梳理未形成实际支出的预算资金，及时优化调整拨付节奏，既保障资金安全，也避免因资金不到位拖慢施工进度。</w:t>
      </w:r>
    </w:p>
    <w:p w:rsidR="007662C3" w:rsidRDefault="00D05E05">
      <w:pPr>
        <w:widowControl/>
        <w:spacing w:line="560" w:lineRule="exact"/>
        <w:ind w:firstLineChars="200" w:firstLine="640"/>
        <w:jc w:val="left"/>
        <w:outlineLvl w:val="1"/>
        <w:rPr>
          <w:rFonts w:ascii="楷体" w:eastAsia="楷体" w:hAnsi="楷体" w:cs="楷体"/>
          <w:color w:val="000000"/>
          <w:kern w:val="0"/>
          <w:sz w:val="32"/>
          <w:szCs w:val="32"/>
        </w:rPr>
      </w:pPr>
      <w:bookmarkStart w:id="377" w:name="OLE_LINK6"/>
      <w:bookmarkStart w:id="378" w:name="_Toc5847"/>
      <w:bookmarkStart w:id="379" w:name="_Toc19189"/>
      <w:r>
        <w:rPr>
          <w:rFonts w:ascii="楷体" w:eastAsia="楷体" w:hAnsi="楷体" w:cs="楷体" w:hint="eastAsia"/>
          <w:color w:val="000000"/>
          <w:kern w:val="0"/>
          <w:sz w:val="32"/>
          <w:szCs w:val="32"/>
        </w:rPr>
        <w:t>（四）</w:t>
      </w:r>
      <w:bookmarkEnd w:id="377"/>
      <w:bookmarkEnd w:id="378"/>
      <w:bookmarkEnd w:id="379"/>
      <w:r>
        <w:rPr>
          <w:rFonts w:ascii="楷体" w:eastAsia="楷体" w:hAnsi="楷体" w:cs="楷体" w:hint="eastAsia"/>
          <w:color w:val="000000"/>
          <w:kern w:val="0"/>
          <w:sz w:val="32"/>
          <w:szCs w:val="32"/>
        </w:rPr>
        <w:t>分类施策激活项目运营潜能</w:t>
      </w:r>
    </w:p>
    <w:p w:rsidR="007662C3" w:rsidRDefault="00D05E05">
      <w:pPr>
        <w:widowControl/>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区应构建长效收益增长体系，分类施策激活项目运营潜能，一是对已产生租金收益的标准厂房类项目，出台配套的就业吸纳激励政策，对吸纳本地农户就业达到一定比例的运营主体，给予相应的政策补贴，强化产业就业带动作用。二是对已完成硬件建设但运营方案缺失的项目，聘请专业乡村运营师团队介入，结合项目区位和资源禀赋量身定制运营方案，</w:t>
      </w:r>
      <w:proofErr w:type="gramStart"/>
      <w:r>
        <w:rPr>
          <w:rFonts w:ascii="仿宋" w:eastAsia="仿宋" w:hAnsi="仿宋" w:cs="仿宋" w:hint="eastAsia"/>
          <w:sz w:val="32"/>
          <w:szCs w:val="32"/>
        </w:rPr>
        <w:t>明确业</w:t>
      </w:r>
      <w:proofErr w:type="gramEnd"/>
      <w:r>
        <w:rPr>
          <w:rFonts w:ascii="仿宋" w:eastAsia="仿宋" w:hAnsi="仿宋" w:cs="仿宋" w:hint="eastAsia"/>
          <w:sz w:val="32"/>
          <w:szCs w:val="32"/>
        </w:rPr>
        <w:t>态布局、收益分配等核心内容，快速打通创收路径。三是对已竣工未投用的规模性项目，建立区级层面的资源对接平台，联动周边产业主体开展</w:t>
      </w:r>
      <w:r>
        <w:rPr>
          <w:rFonts w:ascii="仿宋" w:eastAsia="仿宋" w:hAnsi="仿宋" w:cs="仿宋" w:hint="eastAsia"/>
          <w:sz w:val="32"/>
          <w:szCs w:val="32"/>
        </w:rPr>
        <w:lastRenderedPageBreak/>
        <w:t>精准招商，帮助项目尽快落地运营，为村集体带来稳定的经营性收入。</w:t>
      </w:r>
    </w:p>
    <w:p w:rsidR="007662C3" w:rsidRDefault="00D05E05">
      <w:pPr>
        <w:widowControl/>
        <w:spacing w:line="560" w:lineRule="exact"/>
        <w:ind w:firstLineChars="200" w:firstLine="640"/>
        <w:jc w:val="left"/>
        <w:outlineLvl w:val="1"/>
        <w:rPr>
          <w:rFonts w:ascii="楷体" w:eastAsia="楷体" w:hAnsi="楷体" w:cs="楷体"/>
          <w:color w:val="000000"/>
          <w:sz w:val="32"/>
          <w:szCs w:val="32"/>
        </w:rPr>
      </w:pPr>
      <w:bookmarkStart w:id="380" w:name="_Toc107846035"/>
      <w:bookmarkStart w:id="381" w:name="OLE_LINK7"/>
      <w:bookmarkStart w:id="382" w:name="_Toc6260"/>
      <w:bookmarkStart w:id="383" w:name="_Toc15598"/>
      <w:r>
        <w:rPr>
          <w:rFonts w:ascii="楷体" w:eastAsia="楷体" w:hAnsi="楷体" w:cs="楷体" w:hint="eastAsia"/>
          <w:color w:val="000000"/>
          <w:kern w:val="0"/>
          <w:sz w:val="32"/>
          <w:szCs w:val="32"/>
        </w:rPr>
        <w:t>（五）</w:t>
      </w:r>
      <w:bookmarkEnd w:id="380"/>
      <w:bookmarkEnd w:id="381"/>
      <w:bookmarkEnd w:id="382"/>
      <w:bookmarkEnd w:id="383"/>
      <w:r>
        <w:rPr>
          <w:rFonts w:ascii="楷体" w:eastAsia="楷体" w:hAnsi="楷体" w:cs="楷体" w:hint="eastAsia"/>
          <w:color w:val="000000"/>
          <w:kern w:val="0"/>
          <w:sz w:val="32"/>
          <w:szCs w:val="32"/>
        </w:rPr>
        <w:t>完善项目动态巡查管理体系</w:t>
      </w:r>
    </w:p>
    <w:bookmarkEnd w:id="373"/>
    <w:p w:rsidR="007662C3" w:rsidRDefault="00D05E05">
      <w:pPr>
        <w:widowControl/>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各区应完善项目动态巡查管理体系，做实过程</w:t>
      </w:r>
      <w:proofErr w:type="gramStart"/>
      <w:r>
        <w:rPr>
          <w:rFonts w:ascii="仿宋" w:eastAsia="仿宋" w:hAnsi="仿宋" w:cs="仿宋" w:hint="eastAsia"/>
          <w:sz w:val="32"/>
          <w:szCs w:val="32"/>
        </w:rPr>
        <w:t>监管全</w:t>
      </w:r>
      <w:proofErr w:type="gramEnd"/>
      <w:r>
        <w:rPr>
          <w:rFonts w:ascii="仿宋" w:eastAsia="仿宋" w:hAnsi="仿宋" w:cs="仿宋" w:hint="eastAsia"/>
          <w:sz w:val="32"/>
          <w:szCs w:val="32"/>
        </w:rPr>
        <w:t>链条留痕，一是统一印制全区涉农项目专用</w:t>
      </w:r>
      <w:proofErr w:type="gramStart"/>
      <w:r>
        <w:rPr>
          <w:rFonts w:ascii="仿宋" w:eastAsia="仿宋" w:hAnsi="仿宋" w:cs="仿宋" w:hint="eastAsia"/>
          <w:sz w:val="32"/>
          <w:szCs w:val="32"/>
        </w:rPr>
        <w:t>巡查台</w:t>
      </w:r>
      <w:proofErr w:type="gramEnd"/>
      <w:r>
        <w:rPr>
          <w:rFonts w:ascii="仿宋" w:eastAsia="仿宋" w:hAnsi="仿宋" w:cs="仿宋" w:hint="eastAsia"/>
          <w:sz w:val="32"/>
          <w:szCs w:val="32"/>
        </w:rPr>
        <w:t>账，明确巡查必须记录的核心要素，包括项目进度、存在问题、整改措施等内容，要求巡查人员现场填报、实时存档，杜绝巡查记录缺失的问题。二是依托数字化管理平台为每个项目建立电子动态档案，每次巡查后同步上</w:t>
      </w:r>
      <w:proofErr w:type="gramStart"/>
      <w:r>
        <w:rPr>
          <w:rFonts w:ascii="仿宋" w:eastAsia="仿宋" w:hAnsi="仿宋" w:cs="仿宋" w:hint="eastAsia"/>
          <w:sz w:val="32"/>
          <w:szCs w:val="32"/>
        </w:rPr>
        <w:t>传现场</w:t>
      </w:r>
      <w:proofErr w:type="gramEnd"/>
      <w:r>
        <w:rPr>
          <w:rFonts w:ascii="仿宋" w:eastAsia="仿宋" w:hAnsi="仿宋" w:cs="仿宋" w:hint="eastAsia"/>
          <w:sz w:val="32"/>
          <w:szCs w:val="32"/>
        </w:rPr>
        <w:t>照片、问题说明等资料，实现项目全周期过程可追溯，对进度滞后、设计变更等异常情况自动触发风险预警。三是将巡查留痕工作纳入项目年度绩效考核指标，定期对各街道项目巡查记录开展抽查，对巡查形式化、记录缺失的责任主体进行通报整改，切实提升过程监管实效。</w:t>
      </w:r>
    </w:p>
    <w:p w:rsidR="007662C3" w:rsidRDefault="00D05E05">
      <w:pPr>
        <w:ind w:firstLineChars="200" w:firstLine="640"/>
        <w:outlineLvl w:val="1"/>
        <w:rPr>
          <w:rFonts w:ascii="楷体" w:eastAsia="楷体" w:hAnsi="楷体" w:cs="楷体"/>
          <w:sz w:val="32"/>
          <w:szCs w:val="32"/>
        </w:rPr>
      </w:pPr>
      <w:bookmarkStart w:id="384" w:name="_Toc14007"/>
      <w:r>
        <w:rPr>
          <w:rFonts w:ascii="楷体" w:eastAsia="楷体" w:hAnsi="楷体" w:cs="楷体" w:hint="eastAsia"/>
          <w:sz w:val="32"/>
          <w:szCs w:val="32"/>
        </w:rPr>
        <w:t>（六）</w:t>
      </w:r>
      <w:bookmarkEnd w:id="384"/>
      <w:r>
        <w:rPr>
          <w:rFonts w:ascii="楷体" w:eastAsia="楷体" w:hAnsi="楷体" w:cs="楷体" w:hint="eastAsia"/>
          <w:sz w:val="32"/>
          <w:szCs w:val="32"/>
        </w:rPr>
        <w:t>深化联农带农利益联结机制</w:t>
      </w:r>
    </w:p>
    <w:p w:rsidR="007662C3" w:rsidRDefault="00D05E05">
      <w:pPr>
        <w:widowControl/>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各区应深化联农带农利益联结机制，推动收益精准惠及农户，一是对已产生稳定租金收益的门面房、仓储类项目，明确要求在收益分配方案中设置专门的农户增收板块，通过设置公益性岗位、发放就业补贴、收益二次分红等方式，定向带动低收入农户增收。二是对处于建设或试运营阶段的项目，提前将联农带农条款纳入运营合作协议，明确项目投用后优先吸纳本地农户就业、优先收购本地农产品的硬性要求，从源头保障联农属性。三是建立联农带</w:t>
      </w:r>
      <w:proofErr w:type="gramStart"/>
      <w:r>
        <w:rPr>
          <w:rFonts w:ascii="仿宋" w:eastAsia="仿宋" w:hAnsi="仿宋" w:cs="仿宋" w:hint="eastAsia"/>
          <w:sz w:val="32"/>
          <w:szCs w:val="32"/>
        </w:rPr>
        <w:t>农成效</w:t>
      </w:r>
      <w:proofErr w:type="gramEnd"/>
      <w:r>
        <w:rPr>
          <w:rFonts w:ascii="仿宋" w:eastAsia="仿宋" w:hAnsi="仿宋" w:cs="仿宋" w:hint="eastAsia"/>
          <w:sz w:val="32"/>
          <w:szCs w:val="32"/>
        </w:rPr>
        <w:t>年度评估机制，每年对项目带动农户的就业人数、增收</w:t>
      </w:r>
      <w:r>
        <w:rPr>
          <w:rFonts w:ascii="仿宋" w:eastAsia="仿宋" w:hAnsi="仿宋" w:cs="仿宋" w:hint="eastAsia"/>
          <w:sz w:val="32"/>
          <w:szCs w:val="32"/>
        </w:rPr>
        <w:lastRenderedPageBreak/>
        <w:t>金额进行核查，评估结果与后续项目扶持政策挂钩，确保联农带农机制</w:t>
      </w:r>
      <w:proofErr w:type="gramStart"/>
      <w:r>
        <w:rPr>
          <w:rFonts w:ascii="仿宋" w:eastAsia="仿宋" w:hAnsi="仿宋" w:cs="仿宋" w:hint="eastAsia"/>
          <w:sz w:val="32"/>
          <w:szCs w:val="32"/>
        </w:rPr>
        <w:t>不</w:t>
      </w:r>
      <w:proofErr w:type="gramEnd"/>
      <w:r>
        <w:rPr>
          <w:rFonts w:ascii="仿宋" w:eastAsia="仿宋" w:hAnsi="仿宋" w:cs="仿宋" w:hint="eastAsia"/>
          <w:sz w:val="32"/>
          <w:szCs w:val="32"/>
        </w:rPr>
        <w:t>走过场、落地见效。</w:t>
      </w:r>
    </w:p>
    <w:p w:rsidR="007662C3" w:rsidRDefault="007662C3">
      <w:pPr>
        <w:adjustRightInd w:val="0"/>
        <w:snapToGrid w:val="0"/>
        <w:spacing w:line="560" w:lineRule="exact"/>
        <w:rPr>
          <w:rFonts w:ascii="仿宋" w:eastAsia="仿宋" w:hAnsi="仿宋" w:cs="仿宋"/>
          <w:sz w:val="32"/>
          <w:szCs w:val="32"/>
        </w:rPr>
      </w:pPr>
    </w:p>
    <w:p w:rsidR="007662C3" w:rsidRDefault="00D05E05">
      <w:pPr>
        <w:ind w:firstLineChars="100" w:firstLine="321"/>
        <w:outlineLvl w:val="0"/>
        <w:rPr>
          <w:rFonts w:ascii="仿宋_GB2312" w:eastAsia="仿宋_GB2312" w:hAnsi="仿宋" w:cs="仿宋"/>
          <w:b/>
          <w:bCs/>
          <w:sz w:val="32"/>
          <w:szCs w:val="32"/>
        </w:rPr>
      </w:pPr>
      <w:bookmarkStart w:id="385" w:name="_Toc26501"/>
      <w:bookmarkStart w:id="386" w:name="_Toc9459"/>
      <w:r>
        <w:rPr>
          <w:rFonts w:ascii="仿宋_GB2312" w:eastAsia="仿宋_GB2312" w:hAnsi="仿宋" w:cs="仿宋" w:hint="eastAsia"/>
          <w:b/>
          <w:bCs/>
          <w:sz w:val="32"/>
          <w:szCs w:val="32"/>
        </w:rPr>
        <w:t>附件：2025年度南京市市级衔接推进乡村振兴补助资金绩效评价评分表</w:t>
      </w:r>
      <w:bookmarkEnd w:id="385"/>
      <w:bookmarkEnd w:id="386"/>
    </w:p>
    <w:p w:rsidR="007662C3" w:rsidRDefault="007662C3">
      <w:pPr>
        <w:widowControl/>
        <w:spacing w:line="500" w:lineRule="exact"/>
        <w:jc w:val="right"/>
        <w:rPr>
          <w:rFonts w:ascii="仿宋_GB2312" w:eastAsia="仿宋_GB2312" w:hAnsi="仿宋" w:cs="仿宋"/>
          <w:sz w:val="32"/>
          <w:szCs w:val="32"/>
        </w:rPr>
      </w:pPr>
    </w:p>
    <w:p w:rsidR="007662C3" w:rsidRDefault="00D05E05">
      <w:pPr>
        <w:widowControl/>
        <w:spacing w:line="500" w:lineRule="exact"/>
        <w:jc w:val="right"/>
        <w:rPr>
          <w:rFonts w:ascii="仿宋_GB2312" w:eastAsia="仿宋_GB2312" w:hAnsi="仿宋" w:cs="仿宋"/>
          <w:bCs/>
          <w:sz w:val="32"/>
          <w:szCs w:val="32"/>
        </w:rPr>
      </w:pPr>
      <w:r>
        <w:rPr>
          <w:rFonts w:ascii="仿宋_GB2312" w:eastAsia="仿宋_GB2312" w:hAnsi="仿宋" w:cs="仿宋" w:hint="eastAsia"/>
          <w:bCs/>
          <w:sz w:val="32"/>
          <w:szCs w:val="32"/>
        </w:rPr>
        <w:t>南京市农业农村局</w:t>
      </w:r>
    </w:p>
    <w:p w:rsidR="007662C3" w:rsidRDefault="00D05E05">
      <w:pPr>
        <w:widowControl/>
        <w:spacing w:line="500" w:lineRule="exact"/>
        <w:jc w:val="right"/>
        <w:rPr>
          <w:rFonts w:ascii="仿宋_GB2312" w:eastAsia="仿宋_GB2312" w:hAnsi="仿宋" w:cs="仿宋"/>
          <w:bCs/>
          <w:sz w:val="32"/>
          <w:szCs w:val="32"/>
        </w:rPr>
        <w:sectPr w:rsidR="007662C3">
          <w:footerReference w:type="default" r:id="rId11"/>
          <w:pgSz w:w="11906" w:h="16838"/>
          <w:pgMar w:top="2098" w:right="1474" w:bottom="1417" w:left="1587" w:header="851" w:footer="992" w:gutter="0"/>
          <w:cols w:space="720"/>
          <w:docGrid w:type="lines" w:linePitch="319"/>
        </w:sectPr>
      </w:pPr>
      <w:r>
        <w:rPr>
          <w:rFonts w:ascii="仿宋_GB2312" w:eastAsia="仿宋_GB2312" w:hAnsi="仿宋" w:cs="仿宋" w:hint="eastAsia"/>
          <w:bCs/>
          <w:sz w:val="32"/>
          <w:szCs w:val="32"/>
        </w:rPr>
        <w:t>2026年6月25日</w:t>
      </w:r>
    </w:p>
    <w:p w:rsidR="007662C3" w:rsidRDefault="00D05E05">
      <w:pPr>
        <w:spacing w:line="360" w:lineRule="auto"/>
        <w:ind w:leftChars="64" w:left="134" w:firstLineChars="200" w:firstLine="723"/>
        <w:jc w:val="center"/>
        <w:outlineLvl w:val="0"/>
        <w:rPr>
          <w:rFonts w:ascii="仿宋" w:eastAsia="仿宋" w:hAnsi="仿宋" w:cs="仿宋"/>
          <w:b/>
          <w:bCs/>
          <w:kern w:val="0"/>
          <w:sz w:val="36"/>
          <w:szCs w:val="36"/>
          <w:lang w:bidi="ar"/>
        </w:rPr>
      </w:pPr>
      <w:bookmarkStart w:id="387" w:name="_Toc22710"/>
      <w:r>
        <w:rPr>
          <w:rFonts w:ascii="仿宋" w:eastAsia="仿宋" w:hAnsi="仿宋" w:cs="仿宋" w:hint="eastAsia"/>
          <w:b/>
          <w:bCs/>
          <w:kern w:val="0"/>
          <w:sz w:val="36"/>
          <w:szCs w:val="36"/>
          <w:lang w:bidi="ar"/>
        </w:rPr>
        <w:lastRenderedPageBreak/>
        <w:t>2025年度南京市市级衔接推进乡村振兴补助资金绩效评价评分表</w:t>
      </w:r>
      <w:bookmarkEnd w:id="387"/>
    </w:p>
    <w:tbl>
      <w:tblPr>
        <w:tblW w:w="15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1164"/>
        <w:gridCol w:w="1010"/>
        <w:gridCol w:w="772"/>
        <w:gridCol w:w="1943"/>
        <w:gridCol w:w="1309"/>
        <w:gridCol w:w="4143"/>
        <w:gridCol w:w="1863"/>
        <w:gridCol w:w="747"/>
        <w:gridCol w:w="985"/>
      </w:tblGrid>
      <w:tr w:rsidR="007662C3">
        <w:trPr>
          <w:tblHeader/>
          <w:jc w:val="center"/>
        </w:trPr>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b/>
                <w:bCs/>
                <w:kern w:val="0"/>
                <w:szCs w:val="21"/>
                <w:lang w:bidi="ar"/>
              </w:rPr>
            </w:pPr>
            <w:r>
              <w:rPr>
                <w:rFonts w:ascii="仿宋" w:eastAsia="仿宋" w:hAnsi="仿宋" w:cs="仿宋" w:hint="eastAsia"/>
                <w:b/>
                <w:bCs/>
                <w:kern w:val="0"/>
                <w:szCs w:val="21"/>
                <w:lang w:bidi="ar"/>
              </w:rPr>
              <w:t>一级指标</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kern w:val="0"/>
                <w:szCs w:val="21"/>
                <w:lang w:bidi="ar"/>
              </w:rPr>
              <w:t>二级指标</w:t>
            </w:r>
          </w:p>
        </w:tc>
        <w:tc>
          <w:tcPr>
            <w:tcW w:w="1010"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kern w:val="0"/>
                <w:szCs w:val="21"/>
                <w:lang w:bidi="ar"/>
              </w:rPr>
              <w:t>三级指标</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kern w:val="0"/>
                <w:szCs w:val="21"/>
                <w:lang w:bidi="ar"/>
              </w:rPr>
              <w:t>权重</w:t>
            </w:r>
          </w:p>
        </w:tc>
        <w:tc>
          <w:tcPr>
            <w:tcW w:w="1943"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kern w:val="0"/>
                <w:szCs w:val="21"/>
                <w:lang w:bidi="ar"/>
              </w:rPr>
              <w:t>指标解释</w:t>
            </w:r>
          </w:p>
        </w:tc>
        <w:tc>
          <w:tcPr>
            <w:tcW w:w="1309" w:type="dxa"/>
            <w:tcBorders>
              <w:tl2br w:val="nil"/>
              <w:tr2bl w:val="nil"/>
            </w:tcBorders>
            <w:shd w:val="clear" w:color="auto" w:fill="auto"/>
            <w:noWrap/>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szCs w:val="21"/>
              </w:rPr>
              <w:t>年度目标值</w:t>
            </w:r>
          </w:p>
        </w:tc>
        <w:tc>
          <w:tcPr>
            <w:tcW w:w="4143" w:type="dxa"/>
            <w:tcBorders>
              <w:tl2br w:val="nil"/>
              <w:tr2bl w:val="nil"/>
            </w:tcBorders>
            <w:shd w:val="clear" w:color="auto" w:fill="auto"/>
            <w:noWrap/>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szCs w:val="21"/>
              </w:rPr>
              <w:t>评分标准</w:t>
            </w:r>
          </w:p>
        </w:tc>
        <w:tc>
          <w:tcPr>
            <w:tcW w:w="1863" w:type="dxa"/>
            <w:tcBorders>
              <w:tl2br w:val="nil"/>
              <w:tr2bl w:val="nil"/>
            </w:tcBorders>
            <w:shd w:val="clear" w:color="auto" w:fill="auto"/>
            <w:noWrap/>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szCs w:val="21"/>
              </w:rPr>
              <w:t>评分过程</w:t>
            </w:r>
          </w:p>
        </w:tc>
        <w:tc>
          <w:tcPr>
            <w:tcW w:w="747" w:type="dxa"/>
            <w:tcBorders>
              <w:tl2br w:val="nil"/>
              <w:tr2bl w:val="nil"/>
            </w:tcBorders>
            <w:shd w:val="clear" w:color="auto" w:fill="auto"/>
            <w:noWrap/>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szCs w:val="21"/>
              </w:rPr>
              <w:t>得分</w:t>
            </w:r>
          </w:p>
        </w:tc>
        <w:tc>
          <w:tcPr>
            <w:tcW w:w="985" w:type="dxa"/>
            <w:tcBorders>
              <w:tl2br w:val="nil"/>
              <w:tr2bl w:val="nil"/>
            </w:tcBorders>
            <w:shd w:val="clear" w:color="auto" w:fill="auto"/>
            <w:noWrap/>
            <w:vAlign w:val="center"/>
          </w:tcPr>
          <w:p w:rsidR="007662C3" w:rsidRDefault="00D05E05">
            <w:pPr>
              <w:widowControl/>
              <w:snapToGrid w:val="0"/>
              <w:jc w:val="center"/>
              <w:textAlignment w:val="center"/>
              <w:rPr>
                <w:rFonts w:ascii="仿宋" w:eastAsia="仿宋" w:hAnsi="仿宋" w:cs="仿宋"/>
                <w:b/>
                <w:bCs/>
                <w:szCs w:val="21"/>
              </w:rPr>
            </w:pPr>
            <w:r>
              <w:rPr>
                <w:rFonts w:ascii="仿宋" w:eastAsia="仿宋" w:hAnsi="仿宋" w:cs="仿宋" w:hint="eastAsia"/>
                <w:b/>
                <w:bCs/>
                <w:szCs w:val="21"/>
              </w:rPr>
              <w:t>得分率</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t>决策</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项目</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立项</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立项依据</w:t>
            </w:r>
          </w:p>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lang w:bidi="ar"/>
              </w:rPr>
              <w:t>充分性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项目立项是否符合法律法规、相</w:t>
            </w:r>
          </w:p>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关政策、发展规划以及部门职 责，用以反映和考核项目立项依据情况。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充分</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①项目立项是否符合国家法律法规、国民经济发展规划和相关政策；</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②项目立项是否符合行业发展规划和政策要求；</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③项目立项是否与部门职责相符</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属于部门履职所需；</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 xml:space="preserve">④项目是否属于公共财政支持范围，是否符合中央、地方事权支出责任划分原则； </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⑤项目是否与相关部门同类项目或部门内部相关项目重复。</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以上每项占20%分值，评分按照各项得分累加，全部符合得满分。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项目决策考虑充分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t>决策</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项目</w:t>
            </w:r>
          </w:p>
          <w:p w:rsidR="007662C3" w:rsidRDefault="00D05E05">
            <w:pPr>
              <w:snapToGrid w:val="0"/>
              <w:jc w:val="center"/>
              <w:rPr>
                <w:rFonts w:ascii="仿宋" w:eastAsia="仿宋" w:hAnsi="仿宋" w:cs="仿宋"/>
                <w:szCs w:val="21"/>
              </w:rPr>
            </w:pPr>
            <w:r>
              <w:rPr>
                <w:rFonts w:ascii="仿宋" w:eastAsia="仿宋" w:hAnsi="仿宋" w:cs="仿宋" w:hint="eastAsia"/>
                <w:szCs w:val="21"/>
              </w:rPr>
              <w:t>立项</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立项程序</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规范性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lang w:bidi="ar"/>
              </w:rPr>
              <w:t>项目申请、设立过程是否符合相关要求，用以反映和考核项目立项的规范情况。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lang w:bidi="ar"/>
              </w:rPr>
            </w:pPr>
            <w:r>
              <w:rPr>
                <w:rFonts w:ascii="仿宋" w:eastAsia="仿宋" w:hAnsi="仿宋" w:cs="仿宋" w:hint="eastAsia"/>
                <w:szCs w:val="21"/>
                <w:lang w:bidi="ar"/>
              </w:rPr>
              <w:t>规范</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①项目是否按照规定的程序申请设立；</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②审批文件、材料是否符合相关要求：</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③事前是否已经过必要的可行性研究、专家论证、风险评估、绩效评估、集体决策。</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以上每项占33%分值。评分按照各项得分累加，全部符合得满分。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立项规范，未发现不规范的立项</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t>决策</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szCs w:val="21"/>
              </w:rPr>
            </w:pPr>
            <w:r>
              <w:rPr>
                <w:rFonts w:ascii="仿宋" w:eastAsia="仿宋" w:hAnsi="仿宋" w:cs="仿宋" w:hint="eastAsia"/>
                <w:szCs w:val="21"/>
              </w:rPr>
              <w:t>绩效</w:t>
            </w:r>
          </w:p>
          <w:p w:rsidR="007662C3" w:rsidRDefault="00D05E05">
            <w:pPr>
              <w:snapToGrid w:val="0"/>
              <w:jc w:val="center"/>
              <w:rPr>
                <w:rFonts w:ascii="仿宋" w:eastAsia="仿宋" w:hAnsi="仿宋" w:cs="仿宋"/>
                <w:szCs w:val="21"/>
              </w:rPr>
            </w:pPr>
            <w:r>
              <w:rPr>
                <w:rFonts w:ascii="仿宋" w:eastAsia="仿宋" w:hAnsi="仿宋" w:cs="仿宋" w:hint="eastAsia"/>
                <w:szCs w:val="21"/>
              </w:rPr>
              <w:t>目标</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绩效目标合理性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项目所设定的绩效目标是否依据充分，是否符合客观实际，用以反映和考核项目绩效目标与项目实施的相符情况。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lang w:bidi="ar"/>
              </w:rPr>
            </w:pPr>
            <w:r>
              <w:rPr>
                <w:rFonts w:ascii="仿宋" w:eastAsia="仿宋" w:hAnsi="仿宋" w:cs="仿宋" w:hint="eastAsia"/>
                <w:szCs w:val="21"/>
                <w:lang w:bidi="ar"/>
              </w:rPr>
              <w:t>合理</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项目没有绩效目标，则本指标得0分；有，则根据下列要点得分；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①项目绩效目标与实际工作内容完全相关，得50%分值；不完全相关，得25%分值；完全不相关，得0分；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②项目预期产出效益和效果符合正常的业绩水平，得50%分值；不完全符合，得25%分值；完全不符合，得0分；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指标得分为上述各项得分之和，全部符合得满分。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kern w:val="0"/>
                <w:szCs w:val="21"/>
                <w:lang w:bidi="ar"/>
              </w:rPr>
              <w:lastRenderedPageBreak/>
              <w:t>项目设懂绩效</w:t>
            </w:r>
            <w:proofErr w:type="gramEnd"/>
            <w:r>
              <w:rPr>
                <w:rFonts w:ascii="仿宋" w:eastAsia="仿宋" w:hAnsi="仿宋" w:cs="仿宋" w:hint="eastAsia"/>
                <w:kern w:val="0"/>
                <w:szCs w:val="21"/>
                <w:lang w:bidi="ar"/>
              </w:rPr>
              <w:t>目标依据充分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lastRenderedPageBreak/>
              <w:t>决策</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szCs w:val="21"/>
              </w:rPr>
            </w:pPr>
            <w:r>
              <w:rPr>
                <w:rFonts w:ascii="仿宋" w:eastAsia="仿宋" w:hAnsi="仿宋" w:cs="仿宋" w:hint="eastAsia"/>
                <w:szCs w:val="21"/>
              </w:rPr>
              <w:t>绩效</w:t>
            </w:r>
          </w:p>
          <w:p w:rsidR="007662C3" w:rsidRDefault="00D05E05">
            <w:pPr>
              <w:snapToGrid w:val="0"/>
              <w:jc w:val="center"/>
              <w:rPr>
                <w:rFonts w:ascii="仿宋" w:eastAsia="仿宋" w:hAnsi="仿宋" w:cs="仿宋"/>
                <w:szCs w:val="21"/>
              </w:rPr>
            </w:pPr>
            <w:r>
              <w:rPr>
                <w:rFonts w:ascii="仿宋" w:eastAsia="仿宋" w:hAnsi="仿宋" w:cs="仿宋" w:hint="eastAsia"/>
                <w:szCs w:val="21"/>
              </w:rPr>
              <w:t>目标</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绩效指标明确性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绩效指标是否清晰、量化、可衡量。</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明确</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没有将项目绩效目标细化分解为具体的绩效指标，则本指标得0分；有分解，则根据下列要点得分：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①通过具体、清晰、可衡量的指标</w:t>
            </w:r>
            <w:proofErr w:type="gramStart"/>
            <w:r>
              <w:rPr>
                <w:rFonts w:ascii="仿宋" w:eastAsia="仿宋" w:hAnsi="仿宋" w:cs="仿宋" w:hint="eastAsia"/>
                <w:kern w:val="0"/>
                <w:szCs w:val="21"/>
                <w:lang w:bidi="ar"/>
              </w:rPr>
              <w:t>值予以</w:t>
            </w:r>
            <w:proofErr w:type="gramEnd"/>
            <w:r>
              <w:rPr>
                <w:rFonts w:ascii="仿宋" w:eastAsia="仿宋" w:hAnsi="仿宋" w:cs="仿宋" w:hint="eastAsia"/>
                <w:kern w:val="0"/>
                <w:szCs w:val="21"/>
                <w:lang w:bidi="ar"/>
              </w:rPr>
              <w:t>体现，得50%分值；未通过具体、清晰、可衡量的指标</w:t>
            </w:r>
            <w:proofErr w:type="gramStart"/>
            <w:r>
              <w:rPr>
                <w:rFonts w:ascii="仿宋" w:eastAsia="仿宋" w:hAnsi="仿宋" w:cs="仿宋" w:hint="eastAsia"/>
                <w:kern w:val="0"/>
                <w:szCs w:val="21"/>
                <w:lang w:bidi="ar"/>
              </w:rPr>
              <w:t>值予以</w:t>
            </w:r>
            <w:proofErr w:type="gramEnd"/>
            <w:r>
              <w:rPr>
                <w:rFonts w:ascii="仿宋" w:eastAsia="仿宋" w:hAnsi="仿宋" w:cs="仿宋" w:hint="eastAsia"/>
                <w:kern w:val="0"/>
                <w:szCs w:val="21"/>
                <w:lang w:bidi="ar"/>
              </w:rPr>
              <w:t>体现，得0分；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②与项目目标任务数或计划数相对应，得50%分值；不对应，得0分；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指标得分为上述各项得分之和，全部符合得满分。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项目绩效指标清晰可量化</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t>决策</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szCs w:val="21"/>
              </w:rPr>
            </w:pPr>
            <w:r>
              <w:rPr>
                <w:rFonts w:ascii="仿宋" w:eastAsia="仿宋" w:hAnsi="仿宋" w:cs="仿宋" w:hint="eastAsia"/>
                <w:szCs w:val="21"/>
              </w:rPr>
              <w:t>资金</w:t>
            </w:r>
          </w:p>
          <w:p w:rsidR="007662C3" w:rsidRDefault="00D05E05">
            <w:pPr>
              <w:snapToGrid w:val="0"/>
              <w:jc w:val="center"/>
              <w:rPr>
                <w:rFonts w:ascii="仿宋" w:eastAsia="仿宋" w:hAnsi="仿宋" w:cs="仿宋"/>
                <w:kern w:val="0"/>
                <w:szCs w:val="21"/>
              </w:rPr>
            </w:pPr>
            <w:r>
              <w:rPr>
                <w:rFonts w:ascii="仿宋" w:eastAsia="仿宋" w:hAnsi="仿宋" w:cs="仿宋" w:hint="eastAsia"/>
                <w:szCs w:val="21"/>
              </w:rPr>
              <w:t>投入</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szCs w:val="21"/>
              </w:rPr>
              <w:t>预算编制科学性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项目预算编制是否经过科学论证、有明确标准，资金额度与年度目标是否相适应，用以反映和考核项目预算编制的科学性、合理性情况。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科学</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①项目预算编制经过科学论证；</w:t>
            </w:r>
          </w:p>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lang w:bidi="ar"/>
              </w:rPr>
              <w:t>②</w:t>
            </w:r>
            <w:r>
              <w:rPr>
                <w:rFonts w:ascii="仿宋" w:eastAsia="仿宋" w:hAnsi="仿宋" w:cs="仿宋" w:hint="eastAsia"/>
                <w:kern w:val="0"/>
                <w:szCs w:val="21"/>
              </w:rPr>
              <w:t>资金额度与年度目标相适应。</w:t>
            </w:r>
          </w:p>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lang w:bidi="ar"/>
              </w:rPr>
              <w:t>以上每项占50%分值，评分按照各项得分累加，全部符合得满分。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部分项目预算编制</w:t>
            </w:r>
            <w:proofErr w:type="gramStart"/>
            <w:r>
              <w:rPr>
                <w:rFonts w:ascii="仿宋" w:eastAsia="仿宋" w:hAnsi="仿宋" w:cs="仿宋" w:hint="eastAsia"/>
                <w:kern w:val="0"/>
                <w:szCs w:val="21"/>
                <w:lang w:bidi="ar"/>
              </w:rPr>
              <w:t>不</w:t>
            </w:r>
            <w:proofErr w:type="gramEnd"/>
            <w:r>
              <w:rPr>
                <w:rFonts w:ascii="仿宋" w:eastAsia="仿宋" w:hAnsi="仿宋" w:cs="仿宋" w:hint="eastAsia"/>
                <w:kern w:val="0"/>
                <w:szCs w:val="21"/>
                <w:lang w:bidi="ar"/>
              </w:rPr>
              <w:t>细化</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szCs w:val="21"/>
              </w:rPr>
            </w:pPr>
            <w:r>
              <w:rPr>
                <w:rFonts w:ascii="仿宋" w:eastAsia="仿宋" w:hAnsi="仿宋" w:cs="仿宋" w:hint="eastAsia"/>
                <w:szCs w:val="21"/>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66.67%</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t>决策</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szCs w:val="21"/>
              </w:rPr>
            </w:pPr>
            <w:r>
              <w:rPr>
                <w:rFonts w:ascii="仿宋" w:eastAsia="仿宋" w:hAnsi="仿宋" w:cs="仿宋" w:hint="eastAsia"/>
                <w:szCs w:val="21"/>
              </w:rPr>
              <w:t>资金</w:t>
            </w:r>
          </w:p>
          <w:p w:rsidR="007662C3" w:rsidRDefault="00D05E05">
            <w:pPr>
              <w:snapToGrid w:val="0"/>
              <w:jc w:val="center"/>
              <w:rPr>
                <w:rFonts w:ascii="仿宋" w:eastAsia="仿宋" w:hAnsi="仿宋" w:cs="仿宋"/>
                <w:kern w:val="0"/>
                <w:szCs w:val="21"/>
              </w:rPr>
            </w:pPr>
            <w:r>
              <w:rPr>
                <w:rFonts w:ascii="仿宋" w:eastAsia="仿宋" w:hAnsi="仿宋" w:cs="仿宋" w:hint="eastAsia"/>
                <w:szCs w:val="21"/>
              </w:rPr>
              <w:t>投入</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资金分配合理性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rPr>
              <w:t>项目预算资金分配是否有测算依据，与补助单位或地方实际是否相适应，用以反映和考核项目预算资金分配的科学性、合理性情况。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合理</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①预算资金分配依据是否充分；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②资金分配额度是否合理，与项目单位或地方实际是否相适应。</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以上每项占50%分值，评分按照各项得分累加，全部符合得满分。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各区资金分配与其申报的项目相适应，分配依据充分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szCs w:val="21"/>
              </w:rPr>
            </w:pPr>
            <w:r>
              <w:rPr>
                <w:rFonts w:ascii="仿宋" w:eastAsia="仿宋" w:hAnsi="仿宋" w:cs="仿宋" w:hint="eastAsia"/>
                <w:szCs w:val="21"/>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rPr>
            </w:pPr>
            <w:r>
              <w:rPr>
                <w:rFonts w:ascii="仿宋" w:eastAsia="仿宋" w:hAnsi="仿宋" w:cs="仿宋" w:hint="eastAsia"/>
                <w:b/>
                <w:bCs/>
                <w:color w:val="000000"/>
                <w:kern w:val="0"/>
                <w:szCs w:val="21"/>
                <w:lang w:bidi="ar"/>
              </w:rPr>
              <w:lastRenderedPageBreak/>
              <w:t>过程</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kern w:val="0"/>
                <w:szCs w:val="21"/>
              </w:rPr>
            </w:pPr>
            <w:r>
              <w:rPr>
                <w:rFonts w:ascii="仿宋" w:eastAsia="仿宋" w:hAnsi="仿宋" w:cs="仿宋" w:hint="eastAsia"/>
                <w:kern w:val="0"/>
                <w:szCs w:val="21"/>
              </w:rPr>
              <w:t>资金</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rPr>
              <w:t>管理</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资金到位率</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实际到位资金与预算资金的比率，用以反映和考核资金落实情况对项目实施的总体保障程度。</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100%</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资金是否拨付到各区农业局，</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zCs w:val="21"/>
              </w:rPr>
              <w:t>资金到位率</w:t>
            </w:r>
            <w:r>
              <w:rPr>
                <w:rFonts w:ascii="仿宋" w:eastAsia="仿宋" w:hAnsi="仿宋" w:cs="仿宋" w:hint="eastAsia"/>
                <w:kern w:val="0"/>
                <w:szCs w:val="21"/>
                <w:lang w:bidi="ar"/>
              </w:rPr>
              <w:t>达到100%，得满分；在100%以下则按实际预算执行率与目标值的比值，乘以满分分值计分。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资金拨付到各区农业局</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kern w:val="0"/>
                <w:szCs w:val="21"/>
              </w:rPr>
            </w:pPr>
            <w:r>
              <w:rPr>
                <w:rFonts w:ascii="仿宋" w:eastAsia="仿宋" w:hAnsi="仿宋" w:cs="仿宋" w:hint="eastAsia"/>
                <w:kern w:val="0"/>
                <w:szCs w:val="21"/>
              </w:rPr>
              <w:t>资金</w:t>
            </w:r>
          </w:p>
          <w:p w:rsidR="007662C3" w:rsidRDefault="00D05E05">
            <w:pPr>
              <w:snapToGrid w:val="0"/>
              <w:jc w:val="center"/>
              <w:rPr>
                <w:rFonts w:ascii="仿宋" w:eastAsia="仿宋" w:hAnsi="仿宋" w:cs="仿宋"/>
                <w:kern w:val="0"/>
                <w:szCs w:val="21"/>
              </w:rPr>
            </w:pPr>
            <w:r>
              <w:rPr>
                <w:rFonts w:ascii="仿宋" w:eastAsia="仿宋" w:hAnsi="仿宋" w:cs="仿宋" w:hint="eastAsia"/>
                <w:kern w:val="0"/>
                <w:szCs w:val="21"/>
              </w:rPr>
              <w:t>管理</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预算执行率</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项目预算资金是否按照计划执行，以反映或考核项目预算执行情况。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100%</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各区农业局是否把资金拨付到各街镇村，</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预算执行率达到100%，得满分；在100%以下则按实际预算执行率与目标值的比值，乘以满分分值计分。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江宁区168.40万元还未拨付到镇街村，预算执行率为97.37%，评分为3*97.37%=2.92</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szCs w:val="21"/>
              </w:rPr>
            </w:pPr>
            <w:r>
              <w:rPr>
                <w:rFonts w:ascii="仿宋" w:eastAsia="仿宋" w:hAnsi="仿宋" w:cs="仿宋" w:hint="eastAsia"/>
                <w:szCs w:val="21"/>
              </w:rPr>
              <w:t>2.92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97.33%</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snapToGrid w:val="0"/>
              <w:jc w:val="center"/>
              <w:rPr>
                <w:rFonts w:ascii="仿宋" w:eastAsia="仿宋" w:hAnsi="仿宋" w:cs="仿宋"/>
                <w:kern w:val="0"/>
                <w:szCs w:val="21"/>
              </w:rPr>
            </w:pPr>
            <w:r>
              <w:rPr>
                <w:rFonts w:ascii="仿宋" w:eastAsia="仿宋" w:hAnsi="仿宋" w:cs="仿宋" w:hint="eastAsia"/>
                <w:kern w:val="0"/>
                <w:szCs w:val="21"/>
              </w:rPr>
              <w:t>资金</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rPr>
              <w:t>管理</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rPr>
              <w:t>资金使用合</w:t>
            </w:r>
            <w:proofErr w:type="gramStart"/>
            <w:r>
              <w:rPr>
                <w:rFonts w:ascii="仿宋" w:eastAsia="仿宋" w:hAnsi="仿宋" w:cs="仿宋" w:hint="eastAsia"/>
                <w:kern w:val="0"/>
                <w:szCs w:val="21"/>
              </w:rPr>
              <w:t>规</w:t>
            </w:r>
            <w:proofErr w:type="gramEnd"/>
            <w:r>
              <w:rPr>
                <w:rFonts w:ascii="仿宋" w:eastAsia="仿宋" w:hAnsi="仿宋" w:cs="仿宋" w:hint="eastAsia"/>
                <w:kern w:val="0"/>
                <w:szCs w:val="21"/>
              </w:rPr>
              <w:t>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rPr>
              <w:t>项目资金使用是否符合相关的财务管理制度规定，用以反映和考核项目资金的规范运行情况。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合</w:t>
            </w:r>
            <w:proofErr w:type="gramStart"/>
            <w:r>
              <w:rPr>
                <w:rFonts w:ascii="仿宋" w:eastAsia="仿宋" w:hAnsi="仿宋" w:cs="仿宋" w:hint="eastAsia"/>
                <w:kern w:val="0"/>
                <w:szCs w:val="21"/>
                <w:lang w:bidi="ar"/>
              </w:rPr>
              <w:t>规</w:t>
            </w:r>
            <w:proofErr w:type="gramEnd"/>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①是否符合国家财经法规和财务管理制度以及有关专项资金管理办法的规定；</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②资金的拨付是否有完整的审批程序和手续；</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③是否符合项目预算批复规定的用途；</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④是否存在截留、挤占、挪用、虚列支出等情况。</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以上每项占25%分值，评分按照各项得分累加，全部符合得满分。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未发现不合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的情况</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组织</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实施</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管理制度健全性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rPr>
              <w:t>项目实施单位的财务和业务管理制度是否健全，用以反映和考核财务和业务管理制度对项目顺利实施的保障情况。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健全</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 xml:space="preserve">①是否已制定或具有相应的财务管理制度； </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 xml:space="preserve">②是否已制定或具有相应的业务管理制度； </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③财务管理制度是否合法、合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、完整；</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④业务管理制度是否合法、合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、完整。</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以上每项占25%分值，评分按照各项得分累加，全部符合得满分。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未建立财务和业务管理制度，酌情扣50%分值</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1</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50.00%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组织</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lang w:bidi="ar"/>
              </w:rPr>
              <w:lastRenderedPageBreak/>
              <w:t>实施</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lastRenderedPageBreak/>
              <w:t>项目调</w:t>
            </w:r>
            <w:r>
              <w:rPr>
                <w:rFonts w:ascii="仿宋" w:eastAsia="仿宋" w:hAnsi="仿宋" w:cs="仿宋" w:hint="eastAsia"/>
                <w:kern w:val="0"/>
                <w:szCs w:val="21"/>
              </w:rPr>
              <w:lastRenderedPageBreak/>
              <w:t>整合</w:t>
            </w:r>
            <w:proofErr w:type="gramStart"/>
            <w:r>
              <w:rPr>
                <w:rFonts w:ascii="仿宋" w:eastAsia="仿宋" w:hAnsi="仿宋" w:cs="仿宋" w:hint="eastAsia"/>
                <w:kern w:val="0"/>
                <w:szCs w:val="21"/>
              </w:rPr>
              <w:t>规</w:t>
            </w:r>
            <w:proofErr w:type="gramEnd"/>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lastRenderedPageBreak/>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项目内容或资金用</w:t>
            </w:r>
            <w:r>
              <w:rPr>
                <w:rFonts w:ascii="仿宋" w:eastAsia="仿宋" w:hAnsi="仿宋" w:cs="仿宋" w:hint="eastAsia"/>
                <w:kern w:val="0"/>
                <w:szCs w:val="21"/>
              </w:rPr>
              <w:lastRenderedPageBreak/>
              <w:t>途调整是否履行审批程序。</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合</w:t>
            </w:r>
            <w:proofErr w:type="gramStart"/>
            <w:r>
              <w:rPr>
                <w:rFonts w:ascii="仿宋" w:eastAsia="仿宋" w:hAnsi="仿宋" w:cs="仿宋" w:hint="eastAsia"/>
                <w:kern w:val="0"/>
                <w:szCs w:val="21"/>
                <w:lang w:bidi="ar"/>
              </w:rPr>
              <w:t>规</w:t>
            </w:r>
            <w:proofErr w:type="gramEnd"/>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color w:val="000000"/>
                <w:kern w:val="0"/>
                <w:szCs w:val="21"/>
                <w:lang w:bidi="ar"/>
              </w:rPr>
            </w:pPr>
            <w:r>
              <w:rPr>
                <w:rFonts w:ascii="仿宋" w:eastAsia="仿宋" w:hAnsi="仿宋" w:cs="仿宋" w:hint="eastAsia"/>
                <w:kern w:val="0"/>
                <w:szCs w:val="21"/>
                <w:lang w:bidi="ar"/>
              </w:rPr>
              <w:t>发现一个不合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的项目调整扣30%分值，扣</w:t>
            </w:r>
            <w:r>
              <w:rPr>
                <w:rFonts w:ascii="仿宋" w:eastAsia="仿宋" w:hAnsi="仿宋" w:cs="仿宋" w:hint="eastAsia"/>
                <w:kern w:val="0"/>
                <w:szCs w:val="21"/>
                <w:lang w:bidi="ar"/>
              </w:rPr>
              <w:lastRenderedPageBreak/>
              <w:t>完即止。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未发现项目调增</w:t>
            </w:r>
            <w:r>
              <w:rPr>
                <w:rFonts w:ascii="仿宋" w:eastAsia="仿宋" w:hAnsi="仿宋" w:cs="仿宋" w:hint="eastAsia"/>
                <w:kern w:val="0"/>
                <w:szCs w:val="21"/>
                <w:lang w:bidi="ar"/>
              </w:rPr>
              <w:lastRenderedPageBreak/>
              <w:t>不合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的情况</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lastRenderedPageBreak/>
              <w:t>过程</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组织</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lang w:bidi="ar"/>
              </w:rPr>
              <w:t>实施</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审查制度执行有效性</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szCs w:val="21"/>
              </w:rPr>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color w:val="000000"/>
                <w:kern w:val="0"/>
                <w:szCs w:val="21"/>
                <w:lang w:bidi="ar"/>
              </w:rPr>
            </w:pPr>
            <w:r>
              <w:rPr>
                <w:rFonts w:ascii="仿宋" w:eastAsia="仿宋" w:hAnsi="仿宋" w:cs="仿宋" w:hint="eastAsia"/>
                <w:kern w:val="0"/>
                <w:szCs w:val="21"/>
              </w:rPr>
              <w:t>项目管理制度执行是否有效。</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有效</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color w:val="000000"/>
                <w:kern w:val="0"/>
                <w:szCs w:val="21"/>
                <w:lang w:bidi="ar"/>
              </w:rPr>
            </w:pPr>
            <w:r>
              <w:rPr>
                <w:rFonts w:ascii="仿宋" w:eastAsia="仿宋" w:hAnsi="仿宋" w:cs="仿宋" w:hint="eastAsia"/>
                <w:color w:val="000000"/>
                <w:kern w:val="0"/>
                <w:szCs w:val="21"/>
                <w:lang w:bidi="ar"/>
              </w:rPr>
              <w:t>项目制度执行有效得满分，否则每有一项未有效执行，扣10%权重分，扣完为止。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未发现制度执行无效的情形</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组织</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lang w:bidi="ar"/>
              </w:rPr>
              <w:t>实施</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项目库管理</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是否按要求纳入项目库。</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建立</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lang w:bidi="ar"/>
              </w:rPr>
              <w:t>项目入库是否及时充分、程序是否规范、内容是否完整，有无专家论证意见，项目安排是否从入库项目中选择等方面，发现1个问题扣20%分值，扣完为止。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未发现实施的项目未纳入项目库</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组织</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lang w:bidi="ar"/>
              </w:rPr>
              <w:t>实施</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项目信息</w:t>
            </w:r>
          </w:p>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管理</w:t>
            </w:r>
          </w:p>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规范性（信息</w:t>
            </w:r>
          </w:p>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公开）</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评价资金项目信息公开和公示公告制度执行情况，各类检查、绩效评价整改落实情况，以及按照要求公开衔接乡村振兴有关政策、资金使用和项目安排等情况。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规范</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color w:val="000000"/>
                <w:kern w:val="0"/>
                <w:szCs w:val="21"/>
                <w:lang w:bidi="ar"/>
              </w:rPr>
              <w:t>根据实际情况评分，未及时公开公示或未及时落实整改要求的，每发现一次（一项）扣30%分值，扣完为止。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未发现公开公示不及时的情形</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过程</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组织</w:t>
            </w:r>
          </w:p>
          <w:p w:rsidR="007662C3" w:rsidRDefault="00D05E05">
            <w:pPr>
              <w:snapToGrid w:val="0"/>
              <w:jc w:val="center"/>
              <w:rPr>
                <w:rFonts w:ascii="仿宋" w:eastAsia="仿宋" w:hAnsi="仿宋" w:cs="仿宋"/>
                <w:szCs w:val="21"/>
              </w:rPr>
            </w:pPr>
            <w:r>
              <w:rPr>
                <w:rFonts w:ascii="仿宋" w:eastAsia="仿宋" w:hAnsi="仿宋" w:cs="仿宋" w:hint="eastAsia"/>
                <w:kern w:val="0"/>
                <w:szCs w:val="21"/>
                <w:lang w:bidi="ar"/>
              </w:rPr>
              <w:t>实施</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“五不得”执行合</w:t>
            </w:r>
            <w:proofErr w:type="gramStart"/>
            <w:r>
              <w:rPr>
                <w:rFonts w:ascii="仿宋" w:eastAsia="仿宋" w:hAnsi="仿宋" w:cs="仿宋" w:hint="eastAsia"/>
                <w:kern w:val="0"/>
                <w:szCs w:val="21"/>
              </w:rPr>
              <w:t>规</w:t>
            </w:r>
            <w:proofErr w:type="gramEnd"/>
            <w:r>
              <w:rPr>
                <w:rFonts w:ascii="仿宋" w:eastAsia="仿宋" w:hAnsi="仿宋" w:cs="仿宋" w:hint="eastAsia"/>
                <w:kern w:val="0"/>
                <w:szCs w:val="21"/>
              </w:rPr>
              <w:t>率</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‌资金使用是否违反“不得用于人员工资、考察旅游、办公设备、三公支出、行政管理”规定。</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有效</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lang w:bidi="ar"/>
              </w:rPr>
              <w:t>发现一次不符合规定的支出扣30%分值，扣完即止。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未发现不合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的情形</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szCs w:val="21"/>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数量</w:t>
            </w:r>
          </w:p>
          <w:p w:rsidR="007662C3" w:rsidRDefault="007662C3">
            <w:pPr>
              <w:widowControl/>
              <w:snapToGrid w:val="0"/>
              <w:jc w:val="center"/>
              <w:textAlignment w:val="center"/>
              <w:rPr>
                <w:rFonts w:ascii="仿宋" w:eastAsia="仿宋" w:hAnsi="仿宋" w:cs="仿宋"/>
                <w:szCs w:val="21"/>
              </w:rPr>
            </w:pP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片区关键工程</w:t>
            </w:r>
          </w:p>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rPr>
              <w:t>项目支持镇街</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szCs w:val="21"/>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rPr>
              <w:t>片区关键工程项目支持镇</w:t>
            </w:r>
            <w:proofErr w:type="gramStart"/>
            <w:r>
              <w:rPr>
                <w:rFonts w:ascii="仿宋" w:eastAsia="仿宋" w:hAnsi="仿宋" w:cs="仿宋" w:hint="eastAsia"/>
                <w:kern w:val="0"/>
                <w:szCs w:val="21"/>
              </w:rPr>
              <w:t>街数量</w:t>
            </w:r>
            <w:proofErr w:type="gramEnd"/>
            <w:r>
              <w:rPr>
                <w:rFonts w:ascii="仿宋" w:eastAsia="仿宋" w:hAnsi="仿宋" w:cs="仿宋" w:hint="eastAsia"/>
                <w:kern w:val="0"/>
                <w:szCs w:val="21"/>
              </w:rPr>
              <w:t>是否达标。</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≥市下达各</w:t>
            </w:r>
          </w:p>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区约束性任</w:t>
            </w:r>
          </w:p>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kern w:val="0"/>
                <w:szCs w:val="21"/>
              </w:rPr>
              <w:t>务</w:t>
            </w:r>
            <w:proofErr w:type="gramEnd"/>
            <w:r>
              <w:rPr>
                <w:rFonts w:ascii="仿宋" w:eastAsia="仿宋" w:hAnsi="仿宋" w:cs="仿宋" w:hint="eastAsia"/>
                <w:kern w:val="0"/>
                <w:szCs w:val="21"/>
              </w:rPr>
              <w:t>指标</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rPr>
              <w:t>片区关键工程项目支持镇</w:t>
            </w:r>
            <w:proofErr w:type="gramStart"/>
            <w:r>
              <w:rPr>
                <w:rFonts w:ascii="仿宋" w:eastAsia="仿宋" w:hAnsi="仿宋" w:cs="仿宋" w:hint="eastAsia"/>
                <w:kern w:val="0"/>
                <w:szCs w:val="21"/>
              </w:rPr>
              <w:t>街数量</w:t>
            </w:r>
            <w:proofErr w:type="gramEnd"/>
            <w:r>
              <w:rPr>
                <w:rFonts w:ascii="仿宋" w:eastAsia="仿宋" w:hAnsi="仿宋" w:cs="仿宋" w:hint="eastAsia"/>
                <w:kern w:val="0"/>
                <w:szCs w:val="21"/>
              </w:rPr>
              <w:t>达到市下达各区约束性任务指标得满分，每少一个扣10%的分值。</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 xml:space="preserve">  达标</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lastRenderedPageBreak/>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数量</w:t>
            </w:r>
          </w:p>
        </w:tc>
        <w:tc>
          <w:tcPr>
            <w:tcW w:w="1010" w:type="dxa"/>
            <w:tcBorders>
              <w:tl2br w:val="nil"/>
              <w:tr2bl w:val="nil"/>
            </w:tcBorders>
            <w:shd w:val="clear" w:color="auto" w:fill="auto"/>
            <w:vAlign w:val="center"/>
          </w:tcPr>
          <w:p w:rsidR="007662C3" w:rsidRDefault="00D05E05">
            <w:pPr>
              <w:snapToGrid w:val="0"/>
              <w:spacing w:before="88"/>
              <w:jc w:val="left"/>
              <w:rPr>
                <w:rFonts w:ascii="仿宋" w:eastAsia="仿宋" w:hAnsi="仿宋" w:cs="仿宋"/>
                <w:kern w:val="0"/>
                <w:szCs w:val="21"/>
              </w:rPr>
            </w:pPr>
            <w:r>
              <w:rPr>
                <w:rFonts w:ascii="仿宋" w:eastAsia="仿宋" w:hAnsi="仿宋" w:cs="仿宋" w:hint="eastAsia"/>
                <w:spacing w:val="4"/>
                <w:szCs w:val="21"/>
              </w:rPr>
              <w:t>重点镇</w:t>
            </w:r>
            <w:proofErr w:type="gramStart"/>
            <w:r>
              <w:rPr>
                <w:rFonts w:ascii="仿宋" w:eastAsia="仿宋" w:hAnsi="仿宋" w:cs="仿宋" w:hint="eastAsia"/>
                <w:spacing w:val="4"/>
                <w:szCs w:val="21"/>
              </w:rPr>
              <w:t>街项目</w:t>
            </w:r>
            <w:proofErr w:type="gramEnd"/>
            <w:r>
              <w:rPr>
                <w:rFonts w:ascii="仿宋" w:eastAsia="仿宋" w:hAnsi="仿宋" w:cs="仿宋" w:hint="eastAsia"/>
                <w:spacing w:val="-2"/>
                <w:szCs w:val="21"/>
              </w:rPr>
              <w:t>支持镇街</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重点镇</w:t>
            </w:r>
            <w:proofErr w:type="gramStart"/>
            <w:r>
              <w:rPr>
                <w:rFonts w:ascii="仿宋" w:eastAsia="仿宋" w:hAnsi="仿宋" w:cs="仿宋" w:hint="eastAsia"/>
                <w:szCs w:val="21"/>
              </w:rPr>
              <w:t>街项目</w:t>
            </w:r>
            <w:proofErr w:type="gramEnd"/>
            <w:r>
              <w:rPr>
                <w:rFonts w:ascii="仿宋" w:eastAsia="仿宋" w:hAnsi="仿宋" w:cs="仿宋" w:hint="eastAsia"/>
                <w:szCs w:val="21"/>
              </w:rPr>
              <w:t>支持镇</w:t>
            </w:r>
            <w:proofErr w:type="gramStart"/>
            <w:r>
              <w:rPr>
                <w:rFonts w:ascii="仿宋" w:eastAsia="仿宋" w:hAnsi="仿宋" w:cs="仿宋" w:hint="eastAsia"/>
                <w:szCs w:val="21"/>
              </w:rPr>
              <w:t>街数量</w:t>
            </w:r>
            <w:proofErr w:type="gramEnd"/>
            <w:r>
              <w:rPr>
                <w:rFonts w:ascii="仿宋" w:eastAsia="仿宋" w:hAnsi="仿宋" w:cs="仿宋" w:hint="eastAsia"/>
                <w:szCs w:val="21"/>
              </w:rPr>
              <w:t>是否达标。</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≥市下达各</w:t>
            </w:r>
          </w:p>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区约束性任</w:t>
            </w:r>
          </w:p>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szCs w:val="21"/>
              </w:rPr>
              <w:t>务</w:t>
            </w:r>
            <w:proofErr w:type="gramEnd"/>
            <w:r>
              <w:rPr>
                <w:rFonts w:ascii="仿宋" w:eastAsia="仿宋" w:hAnsi="仿宋" w:cs="仿宋" w:hint="eastAsia"/>
                <w:szCs w:val="21"/>
              </w:rPr>
              <w:t>指标</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重点镇</w:t>
            </w:r>
            <w:proofErr w:type="gramStart"/>
            <w:r>
              <w:rPr>
                <w:rFonts w:ascii="仿宋" w:eastAsia="仿宋" w:hAnsi="仿宋" w:cs="仿宋" w:hint="eastAsia"/>
                <w:kern w:val="0"/>
                <w:szCs w:val="21"/>
                <w:lang w:bidi="ar"/>
              </w:rPr>
              <w:t>街项目</w:t>
            </w:r>
            <w:proofErr w:type="gramEnd"/>
            <w:r>
              <w:rPr>
                <w:rFonts w:ascii="仿宋" w:eastAsia="仿宋" w:hAnsi="仿宋" w:cs="仿宋" w:hint="eastAsia"/>
                <w:kern w:val="0"/>
                <w:szCs w:val="21"/>
                <w:lang w:bidi="ar"/>
              </w:rPr>
              <w:t>支持镇</w:t>
            </w:r>
            <w:proofErr w:type="gramStart"/>
            <w:r>
              <w:rPr>
                <w:rFonts w:ascii="仿宋" w:eastAsia="仿宋" w:hAnsi="仿宋" w:cs="仿宋" w:hint="eastAsia"/>
                <w:kern w:val="0"/>
                <w:szCs w:val="21"/>
                <w:lang w:bidi="ar"/>
              </w:rPr>
              <w:t>街数量</w:t>
            </w:r>
            <w:proofErr w:type="gramEnd"/>
            <w:r>
              <w:rPr>
                <w:rFonts w:ascii="仿宋" w:eastAsia="仿宋" w:hAnsi="仿宋" w:cs="仿宋" w:hint="eastAsia"/>
                <w:kern w:val="0"/>
                <w:szCs w:val="21"/>
                <w:lang w:bidi="ar"/>
              </w:rPr>
              <w:t>达到市下达各区约束性任务指标得满分，每少一个扣</w:t>
            </w:r>
            <w:r>
              <w:rPr>
                <w:rFonts w:ascii="仿宋" w:eastAsia="仿宋" w:hAnsi="仿宋" w:cs="仿宋" w:hint="eastAsia"/>
                <w:kern w:val="0"/>
                <w:szCs w:val="21"/>
              </w:rPr>
              <w:t>10%的分值。</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 xml:space="preserve"> 达标</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数量</w:t>
            </w:r>
          </w:p>
        </w:tc>
        <w:tc>
          <w:tcPr>
            <w:tcW w:w="1010" w:type="dxa"/>
            <w:tcBorders>
              <w:tl2br w:val="nil"/>
              <w:tr2bl w:val="nil"/>
            </w:tcBorders>
            <w:shd w:val="clear" w:color="auto" w:fill="auto"/>
            <w:vAlign w:val="center"/>
          </w:tcPr>
          <w:p w:rsidR="007662C3" w:rsidRDefault="00D05E05">
            <w:pPr>
              <w:snapToGrid w:val="0"/>
              <w:spacing w:before="97"/>
              <w:jc w:val="left"/>
              <w:rPr>
                <w:rFonts w:ascii="仿宋" w:eastAsia="仿宋" w:hAnsi="仿宋" w:cs="仿宋"/>
                <w:kern w:val="0"/>
                <w:szCs w:val="21"/>
              </w:rPr>
            </w:pPr>
            <w:r>
              <w:rPr>
                <w:rFonts w:ascii="仿宋" w:eastAsia="仿宋" w:hAnsi="仿宋" w:cs="仿宋" w:hint="eastAsia"/>
                <w:spacing w:val="-2"/>
                <w:szCs w:val="21"/>
              </w:rPr>
              <w:t>重点帮促村项</w:t>
            </w:r>
            <w:r>
              <w:rPr>
                <w:rFonts w:ascii="仿宋" w:eastAsia="仿宋" w:hAnsi="仿宋" w:cs="仿宋" w:hint="eastAsia"/>
                <w:spacing w:val="1"/>
                <w:szCs w:val="21"/>
              </w:rPr>
              <w:t>目支持村社</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重点帮促村项目支持村社数量是否达标。</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≥市下达各</w:t>
            </w:r>
          </w:p>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区约束性任</w:t>
            </w:r>
          </w:p>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szCs w:val="21"/>
              </w:rPr>
              <w:t>务</w:t>
            </w:r>
            <w:proofErr w:type="gramEnd"/>
            <w:r>
              <w:rPr>
                <w:rFonts w:ascii="仿宋" w:eastAsia="仿宋" w:hAnsi="仿宋" w:cs="仿宋" w:hint="eastAsia"/>
                <w:szCs w:val="21"/>
              </w:rPr>
              <w:t>指标</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重点帮促村项目支持村社数量达到市下达各区约束性任务指标得满分，每少一个扣10%的分值。</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 xml:space="preserve"> 达标</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数量</w:t>
            </w:r>
          </w:p>
        </w:tc>
        <w:tc>
          <w:tcPr>
            <w:tcW w:w="1010" w:type="dxa"/>
            <w:tcBorders>
              <w:tl2br w:val="nil"/>
              <w:tr2bl w:val="nil"/>
            </w:tcBorders>
            <w:shd w:val="clear" w:color="auto" w:fill="auto"/>
            <w:vAlign w:val="center"/>
          </w:tcPr>
          <w:p w:rsidR="007662C3" w:rsidRDefault="00D05E05">
            <w:pPr>
              <w:snapToGrid w:val="0"/>
              <w:spacing w:before="168"/>
              <w:jc w:val="left"/>
              <w:rPr>
                <w:rFonts w:ascii="仿宋" w:eastAsia="仿宋" w:hAnsi="仿宋" w:cs="仿宋"/>
                <w:kern w:val="0"/>
                <w:szCs w:val="21"/>
              </w:rPr>
            </w:pPr>
            <w:proofErr w:type="spellStart"/>
            <w:r>
              <w:rPr>
                <w:rFonts w:ascii="仿宋" w:eastAsia="仿宋" w:hAnsi="仿宋" w:cs="仿宋" w:hint="eastAsia"/>
                <w:spacing w:val="-1"/>
                <w:szCs w:val="21"/>
                <w:lang w:eastAsia="en-US"/>
              </w:rPr>
              <w:t>村级稳定性收</w:t>
            </w:r>
            <w:r>
              <w:rPr>
                <w:rFonts w:ascii="仿宋" w:eastAsia="仿宋" w:hAnsi="仿宋" w:cs="仿宋" w:hint="eastAsia"/>
                <w:spacing w:val="-2"/>
                <w:szCs w:val="21"/>
                <w:lang w:eastAsia="en-US"/>
              </w:rPr>
              <w:t>入增长</w:t>
            </w:r>
            <w:proofErr w:type="spellEnd"/>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项目支持</w:t>
            </w:r>
            <w:proofErr w:type="gramStart"/>
            <w:r>
              <w:rPr>
                <w:rFonts w:ascii="仿宋" w:eastAsia="仿宋" w:hAnsi="仿宋" w:cs="仿宋" w:hint="eastAsia"/>
                <w:szCs w:val="21"/>
              </w:rPr>
              <w:t>相关村</w:t>
            </w:r>
            <w:proofErr w:type="gramEnd"/>
            <w:r>
              <w:rPr>
                <w:rFonts w:ascii="仿宋" w:eastAsia="仿宋" w:hAnsi="仿宋" w:cs="仿宋" w:hint="eastAsia"/>
                <w:szCs w:val="21"/>
              </w:rPr>
              <w:t>集体当年平均稳定性收入较上年是</w:t>
            </w:r>
          </w:p>
          <w:p w:rsidR="007662C3" w:rsidRDefault="00D05E05">
            <w:pPr>
              <w:widowControl/>
              <w:snapToGrid w:val="0"/>
              <w:jc w:val="left"/>
              <w:textAlignment w:val="center"/>
              <w:rPr>
                <w:rFonts w:ascii="仿宋" w:eastAsia="仿宋" w:hAnsi="仿宋" w:cs="仿宋"/>
                <w:szCs w:val="21"/>
              </w:rPr>
            </w:pPr>
            <w:proofErr w:type="gramStart"/>
            <w:r>
              <w:rPr>
                <w:rFonts w:ascii="仿宋" w:eastAsia="仿宋" w:hAnsi="仿宋" w:cs="仿宋" w:hint="eastAsia"/>
                <w:szCs w:val="21"/>
              </w:rPr>
              <w:t>否</w:t>
            </w:r>
            <w:proofErr w:type="gramEnd"/>
            <w:r>
              <w:rPr>
                <w:rFonts w:ascii="仿宋" w:eastAsia="仿宋" w:hAnsi="仿宋" w:cs="仿宋" w:hint="eastAsia"/>
                <w:szCs w:val="21"/>
              </w:rPr>
              <w:t>增长。</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较上年是否</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zCs w:val="21"/>
              </w:rPr>
              <w:t>增长</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收入增长率≥5%的得满分，增长率在0至5%之间的按比例计分，≤0的不得分。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村集体增长率普遍为3%，得分为4*3%/3%=2.4分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1.8</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60.00%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数量</w:t>
            </w:r>
          </w:p>
        </w:tc>
        <w:tc>
          <w:tcPr>
            <w:tcW w:w="1010" w:type="dxa"/>
            <w:tcBorders>
              <w:tl2br w:val="nil"/>
              <w:tr2bl w:val="nil"/>
            </w:tcBorders>
            <w:shd w:val="clear" w:color="auto" w:fill="auto"/>
            <w:vAlign w:val="center"/>
          </w:tcPr>
          <w:p w:rsidR="007662C3" w:rsidRDefault="00D05E05">
            <w:pPr>
              <w:snapToGrid w:val="0"/>
              <w:spacing w:before="269"/>
              <w:jc w:val="left"/>
              <w:rPr>
                <w:rFonts w:ascii="仿宋" w:eastAsia="仿宋" w:hAnsi="仿宋" w:cs="仿宋"/>
                <w:kern w:val="0"/>
                <w:szCs w:val="21"/>
              </w:rPr>
            </w:pPr>
            <w:proofErr w:type="spellStart"/>
            <w:r>
              <w:rPr>
                <w:rFonts w:ascii="仿宋" w:eastAsia="仿宋" w:hAnsi="仿宋" w:cs="仿宋" w:hint="eastAsia"/>
                <w:spacing w:val="-2"/>
                <w:szCs w:val="21"/>
                <w:lang w:eastAsia="en-US"/>
              </w:rPr>
              <w:t>项目收益兑现</w:t>
            </w:r>
            <w:proofErr w:type="spellEnd"/>
            <w:r>
              <w:rPr>
                <w:rFonts w:ascii="仿宋" w:eastAsia="仿宋" w:hAnsi="仿宋" w:cs="仿宋" w:hint="eastAsia"/>
                <w:spacing w:val="2"/>
                <w:szCs w:val="21"/>
              </w:rPr>
              <w:t>率</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pacing w:val="-4"/>
                <w:szCs w:val="21"/>
              </w:rPr>
              <w:t>项目合同约定的收益是否兑现。</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pacing w:val="-4"/>
                <w:szCs w:val="21"/>
              </w:rPr>
              <w:t>100%</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预期收益金额计算，收益兑现率100%得满分，未达标按照偏差比例计算分值。</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部分项目收益未兑现，扣1分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66.67%</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数量</w:t>
            </w:r>
          </w:p>
        </w:tc>
        <w:tc>
          <w:tcPr>
            <w:tcW w:w="1010" w:type="dxa"/>
            <w:tcBorders>
              <w:tl2br w:val="nil"/>
              <w:tr2bl w:val="nil"/>
            </w:tcBorders>
            <w:shd w:val="clear" w:color="auto" w:fill="auto"/>
            <w:vAlign w:val="center"/>
          </w:tcPr>
          <w:p w:rsidR="007662C3" w:rsidRDefault="00D05E05">
            <w:pPr>
              <w:snapToGrid w:val="0"/>
              <w:spacing w:before="181"/>
              <w:jc w:val="left"/>
              <w:rPr>
                <w:rFonts w:ascii="仿宋" w:eastAsia="仿宋" w:hAnsi="仿宋" w:cs="仿宋"/>
                <w:kern w:val="0"/>
                <w:szCs w:val="21"/>
              </w:rPr>
            </w:pPr>
            <w:proofErr w:type="spellStart"/>
            <w:r>
              <w:rPr>
                <w:rFonts w:ascii="仿宋" w:eastAsia="仿宋" w:hAnsi="仿宋" w:cs="仿宋" w:hint="eastAsia"/>
                <w:spacing w:val="-2"/>
                <w:szCs w:val="21"/>
                <w:lang w:eastAsia="en-US"/>
              </w:rPr>
              <w:t>项目资产确权移交</w:t>
            </w:r>
            <w:proofErr w:type="spellEnd"/>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项目形成的资产是否及时进行产权登记、资产移交，是否明确资产经营管护方式。</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pacing w:val="-2"/>
                <w:szCs w:val="21"/>
              </w:rPr>
              <w:t>确权移交</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①已到建设期限的项目，若按时完成资产确权登记的，得20%分值；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②若完成资产移交手续的，得20%分值；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③未到建设期限的项目，若清晰界定产权归属主体的，得20%分值；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④若明确资产移交时间节点的，得20%分值；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⑤</w:t>
            </w:r>
            <w:proofErr w:type="gramStart"/>
            <w:r>
              <w:rPr>
                <w:rFonts w:ascii="仿宋" w:eastAsia="仿宋" w:hAnsi="仿宋" w:cs="仿宋" w:hint="eastAsia"/>
                <w:kern w:val="0"/>
                <w:szCs w:val="21"/>
                <w:lang w:bidi="ar"/>
              </w:rPr>
              <w:t>若项目</w:t>
            </w:r>
            <w:proofErr w:type="gramEnd"/>
            <w:r>
              <w:rPr>
                <w:rFonts w:ascii="仿宋" w:eastAsia="仿宋" w:hAnsi="仿宋" w:cs="仿宋" w:hint="eastAsia"/>
                <w:kern w:val="0"/>
                <w:szCs w:val="21"/>
                <w:lang w:bidi="ar"/>
              </w:rPr>
              <w:t>资产的运营与管护方式有明确制度或方案的，得20%分值。</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个别项目移交不及时，扣1分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66.67%</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数量</w:t>
            </w:r>
          </w:p>
        </w:tc>
        <w:tc>
          <w:tcPr>
            <w:tcW w:w="1010" w:type="dxa"/>
            <w:tcBorders>
              <w:tl2br w:val="nil"/>
              <w:tr2bl w:val="nil"/>
            </w:tcBorders>
            <w:shd w:val="clear" w:color="auto" w:fill="auto"/>
            <w:vAlign w:val="center"/>
          </w:tcPr>
          <w:p w:rsidR="007662C3" w:rsidRDefault="00D05E05">
            <w:pPr>
              <w:snapToGrid w:val="0"/>
              <w:spacing w:before="172"/>
              <w:jc w:val="left"/>
              <w:rPr>
                <w:rFonts w:ascii="仿宋" w:eastAsia="仿宋" w:hAnsi="仿宋" w:cs="仿宋"/>
                <w:kern w:val="0"/>
                <w:szCs w:val="21"/>
              </w:rPr>
            </w:pPr>
            <w:proofErr w:type="spellStart"/>
            <w:r>
              <w:rPr>
                <w:rFonts w:ascii="仿宋" w:eastAsia="仿宋" w:hAnsi="仿宋" w:cs="仿宋" w:hint="eastAsia"/>
                <w:spacing w:val="-2"/>
                <w:szCs w:val="21"/>
                <w:lang w:eastAsia="en-US"/>
              </w:rPr>
              <w:t>建立联农带农机制</w:t>
            </w:r>
            <w:proofErr w:type="spellEnd"/>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lang w:bidi="ar"/>
              </w:rPr>
              <w:t>项目是否有明确的联农带农机制，是否取得实际效果。</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建立</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①专项资金建立入股、分红等</w:t>
            </w:r>
            <w:proofErr w:type="gramStart"/>
            <w:r>
              <w:rPr>
                <w:rFonts w:ascii="仿宋" w:eastAsia="仿宋" w:hAnsi="仿宋" w:cs="仿宋" w:hint="eastAsia"/>
                <w:kern w:val="0"/>
                <w:szCs w:val="21"/>
                <w:lang w:bidi="ar"/>
              </w:rPr>
              <w:t>紧密型利益</w:t>
            </w:r>
            <w:proofErr w:type="gramEnd"/>
            <w:r>
              <w:rPr>
                <w:rFonts w:ascii="仿宋" w:eastAsia="仿宋" w:hAnsi="仿宋" w:cs="仿宋" w:hint="eastAsia"/>
                <w:kern w:val="0"/>
                <w:szCs w:val="21"/>
                <w:lang w:bidi="ar"/>
              </w:rPr>
              <w:t>联结机制。</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②带动村集体经济发展，得25%分值；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③带动农村合作社发展，得25%分值；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④带动家庭农场发展，得25%分值；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⑤带动低收入农户增收，得25%分值。</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低收入农户增收带动不明显，扣0.75分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2.25</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75.00%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lastRenderedPageBreak/>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质量</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szCs w:val="21"/>
              </w:rPr>
              <w:t>巩固拓展脱贫攻坚成果</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项目是否有效实现脱贫攻坚。</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有效</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项目有效巩固脱贫攻坚得满分，否则不得分。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有效巩固脱贫攻坚</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质量</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项目验收合格率</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项目工程质量水平是否满足设计要求，达到合同约定要求，工程验收是否合格。</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100%</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工程质量达到合同约定要求，工程验收合格得满分，否则每有一项不合格扣20%分值，扣完为止。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已完工项目均验收合格</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质量</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跟踪督促及问题整改</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项目在审计、督查、巡视等工作中被检查出问题的整改落实的及时性和有效性，用以反映和考察项目对发现的问题的整改落实情况。</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整改</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到位</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①项目根据审计、督查、巡视等工作中被检查出的问题，及时根据相应要求进行整改；</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②整改措施全面有效，符合相关要求。</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w:t>
            </w:r>
            <w:proofErr w:type="gramStart"/>
            <w:r>
              <w:rPr>
                <w:rFonts w:ascii="仿宋" w:eastAsia="仿宋" w:hAnsi="仿宋" w:cs="仿宋" w:hint="eastAsia"/>
                <w:kern w:val="0"/>
                <w:szCs w:val="21"/>
                <w:lang w:bidi="ar"/>
              </w:rPr>
              <w:t>分值占</w:t>
            </w:r>
            <w:proofErr w:type="gramEnd"/>
            <w:r>
              <w:rPr>
                <w:rFonts w:ascii="仿宋" w:eastAsia="仿宋" w:hAnsi="仿宋" w:cs="仿宋" w:hint="eastAsia"/>
                <w:kern w:val="0"/>
                <w:szCs w:val="21"/>
                <w:lang w:bidi="ar"/>
              </w:rPr>
              <w:t>比50%，全部达标得满分。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未发现整改不到位的情况</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产出时效</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zCs w:val="21"/>
              </w:rPr>
              <w:t>按时完成</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zCs w:val="21"/>
              </w:rPr>
              <w:t>项目是否按计划工期完成。</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按时</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项目按计划工期完成得满分，否则，每有一项</w:t>
            </w:r>
            <w:proofErr w:type="gramStart"/>
            <w:r>
              <w:rPr>
                <w:rFonts w:ascii="仿宋" w:eastAsia="仿宋" w:hAnsi="仿宋" w:cs="仿宋" w:hint="eastAsia"/>
                <w:kern w:val="0"/>
                <w:szCs w:val="21"/>
                <w:lang w:bidi="ar"/>
              </w:rPr>
              <w:t>未完成扣</w:t>
            </w:r>
            <w:proofErr w:type="gramEnd"/>
            <w:r>
              <w:rPr>
                <w:rFonts w:ascii="仿宋" w:eastAsia="仿宋" w:hAnsi="仿宋" w:cs="仿宋" w:hint="eastAsia"/>
                <w:kern w:val="0"/>
                <w:szCs w:val="21"/>
                <w:lang w:bidi="ar"/>
              </w:rPr>
              <w:t>10%权重分，扣完为止。</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有五个项目未完成，扣1分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66.67%</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产出</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产出</w:t>
            </w:r>
          </w:p>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成本</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zCs w:val="21"/>
              </w:rPr>
              <w:t>成本节约</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考察项目成本控制是否有效节约成本。</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节约</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①是否落实相关成本开支范围、费用开支标准、工程预算定额等规定；‌</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②是否采取有效手段</w:t>
            </w:r>
            <w:proofErr w:type="gramStart"/>
            <w:r>
              <w:rPr>
                <w:rFonts w:ascii="仿宋" w:eastAsia="仿宋" w:hAnsi="仿宋" w:cs="仿宋" w:hint="eastAsia"/>
                <w:kern w:val="0"/>
                <w:szCs w:val="21"/>
                <w:lang w:bidi="ar"/>
              </w:rPr>
              <w:t>管控各类</w:t>
            </w:r>
            <w:proofErr w:type="gramEnd"/>
            <w:r>
              <w:rPr>
                <w:rFonts w:ascii="仿宋" w:eastAsia="仿宋" w:hAnsi="仿宋" w:cs="仿宋" w:hint="eastAsia"/>
                <w:kern w:val="0"/>
                <w:szCs w:val="21"/>
                <w:lang w:bidi="ar"/>
              </w:rPr>
              <w:t>生产要素，明确参建各方责任，防止因部门职责不清或盲目施工导致合同外项目签证增加，引发非必要建设成本上升；‌</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③是否管控其他影响效率与资源消耗的因素，防止其带来的成本增长；‌</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④对于确需调整投资概算的项目，应制</w:t>
            </w:r>
            <w:proofErr w:type="gramStart"/>
            <w:r>
              <w:rPr>
                <w:rFonts w:ascii="仿宋" w:eastAsia="仿宋" w:hAnsi="仿宋" w:cs="仿宋" w:hint="eastAsia"/>
                <w:kern w:val="0"/>
                <w:szCs w:val="21"/>
                <w:lang w:bidi="ar"/>
              </w:rPr>
              <w:t>定调整</w:t>
            </w:r>
            <w:proofErr w:type="gramEnd"/>
            <w:r>
              <w:rPr>
                <w:rFonts w:ascii="仿宋" w:eastAsia="仿宋" w:hAnsi="仿宋" w:cs="仿宋" w:hint="eastAsia"/>
                <w:kern w:val="0"/>
                <w:szCs w:val="21"/>
                <w:lang w:bidi="ar"/>
              </w:rPr>
              <w:t>方案并明确资金来源，按程序报原初步设计审批部门或投资概算核定部门批准。‌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⑤应严格控制建设工期，防止因工期延误造成成本与费用增加。</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w:t>
            </w:r>
            <w:proofErr w:type="gramStart"/>
            <w:r>
              <w:rPr>
                <w:rFonts w:ascii="仿宋" w:eastAsia="仿宋" w:hAnsi="仿宋" w:cs="仿宋" w:hint="eastAsia"/>
                <w:kern w:val="0"/>
                <w:szCs w:val="21"/>
                <w:lang w:bidi="ar"/>
              </w:rPr>
              <w:t>分值占</w:t>
            </w:r>
            <w:proofErr w:type="gramEnd"/>
            <w:r>
              <w:rPr>
                <w:rFonts w:ascii="仿宋" w:eastAsia="仿宋" w:hAnsi="仿宋" w:cs="仿宋" w:hint="eastAsia"/>
                <w:kern w:val="0"/>
                <w:szCs w:val="21"/>
                <w:lang w:bidi="ar"/>
              </w:rPr>
              <w:t>比20%，全部完成得满分</w:t>
            </w:r>
          </w:p>
        </w:tc>
        <w:tc>
          <w:tcPr>
            <w:tcW w:w="186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各项目的</w:t>
            </w:r>
            <w:proofErr w:type="gramStart"/>
            <w:r>
              <w:rPr>
                <w:rFonts w:ascii="仿宋" w:eastAsia="仿宋" w:hAnsi="仿宋" w:cs="仿宋" w:hint="eastAsia"/>
                <w:kern w:val="0"/>
                <w:szCs w:val="21"/>
                <w:lang w:bidi="ar"/>
              </w:rPr>
              <w:t>决算价</w:t>
            </w:r>
            <w:proofErr w:type="gramEnd"/>
            <w:r>
              <w:rPr>
                <w:rFonts w:ascii="仿宋" w:eastAsia="仿宋" w:hAnsi="仿宋" w:cs="仿宋" w:hint="eastAsia"/>
                <w:kern w:val="0"/>
                <w:szCs w:val="21"/>
                <w:lang w:bidi="ar"/>
              </w:rPr>
              <w:t>均为超过投资概算</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lastRenderedPageBreak/>
              <w:t>效益</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经济效益</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项目对本地农村农业人员就业吸纳数量</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szCs w:val="21"/>
              </w:rPr>
              <w:t>项目直接吸纳本地劳动力。</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吸纳</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lang w:bidi="ar"/>
              </w:rPr>
              <w:t>在项目实施过程中，聘用本村或本乡镇劳动力的，有效吸纳得满分，吸纳人数较少，得50%分值，未聘用本村本镇劳动力，不得分。</w:t>
            </w:r>
          </w:p>
        </w:tc>
        <w:tc>
          <w:tcPr>
            <w:tcW w:w="1863" w:type="dxa"/>
            <w:tcBorders>
              <w:tl2br w:val="nil"/>
              <w:tr2bl w:val="nil"/>
            </w:tcBorders>
            <w:shd w:val="clear" w:color="auto" w:fill="auto"/>
            <w:vAlign w:val="center"/>
          </w:tcPr>
          <w:p w:rsidR="007662C3" w:rsidRDefault="00D05E05">
            <w:pPr>
              <w:widowControl/>
              <w:tabs>
                <w:tab w:val="center" w:pos="684"/>
                <w:tab w:val="right" w:pos="1489"/>
              </w:tabs>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涉及项目建设的项目均吸纳本地劳动力，少数购买商铺门面房的项目不涉及劳动力就业，酌情扣1分</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75.00%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效益</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经济效益</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推动产业</w:t>
            </w:r>
            <w:proofErr w:type="gramStart"/>
            <w:r>
              <w:rPr>
                <w:rFonts w:ascii="仿宋" w:eastAsia="仿宋" w:hAnsi="仿宋" w:cs="仿宋" w:hint="eastAsia"/>
                <w:szCs w:val="21"/>
              </w:rPr>
              <w:t>链发展</w:t>
            </w:r>
            <w:proofErr w:type="gramEnd"/>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项目推动当地农业农村产业链发展。</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推动</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①对于当地农业产业</w:t>
            </w:r>
            <w:proofErr w:type="gramStart"/>
            <w:r>
              <w:rPr>
                <w:rFonts w:ascii="仿宋" w:eastAsia="仿宋" w:hAnsi="仿宋" w:cs="仿宋" w:hint="eastAsia"/>
                <w:kern w:val="0"/>
                <w:szCs w:val="21"/>
                <w:lang w:bidi="ar"/>
              </w:rPr>
              <w:t>链发展</w:t>
            </w:r>
            <w:proofErr w:type="gramEnd"/>
            <w:r>
              <w:rPr>
                <w:rFonts w:ascii="仿宋" w:eastAsia="仿宋" w:hAnsi="仿宋" w:cs="仿宋" w:hint="eastAsia"/>
                <w:kern w:val="0"/>
                <w:szCs w:val="21"/>
                <w:lang w:bidi="ar"/>
              </w:rPr>
              <w:t>有较强带动作用。</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②提升农业加工生产产业链完整度，提高产品附加值；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以上各项各占50%分值，全部完成得满分。</w:t>
            </w:r>
          </w:p>
        </w:tc>
        <w:tc>
          <w:tcPr>
            <w:tcW w:w="1863" w:type="dxa"/>
            <w:tcBorders>
              <w:tl2br w:val="nil"/>
              <w:tr2bl w:val="nil"/>
            </w:tcBorders>
            <w:shd w:val="clear" w:color="auto" w:fill="auto"/>
            <w:vAlign w:val="center"/>
          </w:tcPr>
          <w:p w:rsidR="007662C3" w:rsidRDefault="00D05E05">
            <w:pPr>
              <w:widowControl/>
              <w:tabs>
                <w:tab w:val="center" w:pos="684"/>
                <w:tab w:val="right" w:pos="1489"/>
              </w:tabs>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各区项目均有效推动了产业</w:t>
            </w:r>
            <w:proofErr w:type="gramStart"/>
            <w:r>
              <w:rPr>
                <w:rFonts w:ascii="仿宋" w:eastAsia="仿宋" w:hAnsi="仿宋" w:cs="仿宋" w:hint="eastAsia"/>
                <w:kern w:val="0"/>
                <w:szCs w:val="21"/>
                <w:lang w:bidi="ar"/>
              </w:rPr>
              <w:t>链发展</w:t>
            </w:r>
            <w:proofErr w:type="gramEnd"/>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效益</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社会</w:t>
            </w:r>
          </w:p>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效益</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农村基础设施</w:t>
            </w:r>
          </w:p>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szCs w:val="21"/>
              </w:rPr>
              <w:t>和基本公共服</w:t>
            </w:r>
          </w:p>
          <w:p w:rsidR="007662C3" w:rsidRDefault="00D05E05">
            <w:pPr>
              <w:widowControl/>
              <w:snapToGrid w:val="0"/>
              <w:jc w:val="left"/>
              <w:textAlignment w:val="center"/>
              <w:rPr>
                <w:rFonts w:ascii="仿宋" w:eastAsia="仿宋" w:hAnsi="仿宋" w:cs="仿宋"/>
                <w:szCs w:val="21"/>
              </w:rPr>
            </w:pPr>
            <w:proofErr w:type="gramStart"/>
            <w:r>
              <w:rPr>
                <w:rFonts w:ascii="仿宋" w:eastAsia="仿宋" w:hAnsi="仿宋" w:cs="仿宋" w:hint="eastAsia"/>
                <w:szCs w:val="21"/>
              </w:rPr>
              <w:t>务</w:t>
            </w:r>
            <w:proofErr w:type="gramEnd"/>
            <w:r>
              <w:rPr>
                <w:rFonts w:ascii="仿宋" w:eastAsia="仿宋" w:hAnsi="仿宋" w:cs="仿宋" w:hint="eastAsia"/>
                <w:szCs w:val="21"/>
              </w:rPr>
              <w:t>水平</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项目是否提升农村基础设施和基本公共服务水平。</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提升</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有效提升农村基础设施和基本公共服务水平得满分，未能提升，视情况扣分。</w:t>
            </w:r>
          </w:p>
        </w:tc>
        <w:tc>
          <w:tcPr>
            <w:tcW w:w="1863" w:type="dxa"/>
            <w:tcBorders>
              <w:tl2br w:val="nil"/>
              <w:tr2bl w:val="nil"/>
            </w:tcBorders>
            <w:shd w:val="clear" w:color="auto" w:fill="auto"/>
            <w:vAlign w:val="center"/>
          </w:tcPr>
          <w:p w:rsidR="007662C3" w:rsidRDefault="00D05E05">
            <w:pPr>
              <w:widowControl/>
              <w:tabs>
                <w:tab w:val="center" w:pos="684"/>
                <w:tab w:val="right" w:pos="1489"/>
              </w:tabs>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各区项目均有效带动了基础设施建设</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效益</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生态效益</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lang w:bidi="ar"/>
              </w:rPr>
              <w:t>农村人居环境</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szCs w:val="21"/>
              </w:rPr>
            </w:pPr>
            <w:r>
              <w:rPr>
                <w:rFonts w:ascii="仿宋" w:eastAsia="仿宋" w:hAnsi="仿宋" w:cs="仿宋" w:hint="eastAsia"/>
                <w:kern w:val="0"/>
                <w:szCs w:val="21"/>
                <w:lang w:bidi="ar"/>
              </w:rPr>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zCs w:val="21"/>
              </w:rPr>
            </w:pPr>
            <w:r>
              <w:rPr>
                <w:rFonts w:ascii="仿宋" w:eastAsia="仿宋" w:hAnsi="仿宋" w:cs="仿宋" w:hint="eastAsia"/>
                <w:kern w:val="0"/>
                <w:szCs w:val="21"/>
                <w:lang w:bidi="ar"/>
              </w:rPr>
              <w:t>项目是否有效改善农村人居环境。</w:t>
            </w:r>
          </w:p>
        </w:tc>
        <w:tc>
          <w:tcPr>
            <w:tcW w:w="1309"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改善</w:t>
            </w:r>
          </w:p>
        </w:tc>
        <w:tc>
          <w:tcPr>
            <w:tcW w:w="41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spacing w:val="-1"/>
                <w:szCs w:val="21"/>
              </w:rPr>
            </w:pPr>
            <w:r>
              <w:rPr>
                <w:rFonts w:ascii="仿宋" w:eastAsia="仿宋" w:hAnsi="仿宋" w:cs="仿宋" w:hint="eastAsia"/>
                <w:kern w:val="0"/>
                <w:szCs w:val="21"/>
                <w:lang w:bidi="ar"/>
              </w:rPr>
              <w:t>项目有效改善农村人居环境得满分，若未能有效改善，则酌情扣分。</w:t>
            </w:r>
          </w:p>
        </w:tc>
        <w:tc>
          <w:tcPr>
            <w:tcW w:w="1863" w:type="dxa"/>
            <w:tcBorders>
              <w:tl2br w:val="nil"/>
              <w:tr2bl w:val="nil"/>
            </w:tcBorders>
            <w:shd w:val="clear" w:color="auto" w:fill="auto"/>
            <w:vAlign w:val="center"/>
          </w:tcPr>
          <w:p w:rsidR="007662C3" w:rsidRDefault="00D05E05">
            <w:pPr>
              <w:widowControl/>
              <w:tabs>
                <w:tab w:val="center" w:pos="684"/>
                <w:tab w:val="right" w:pos="1489"/>
              </w:tabs>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各区项目基本上改善了农村人居环境</w:t>
            </w:r>
          </w:p>
        </w:tc>
        <w:tc>
          <w:tcPr>
            <w:tcW w:w="747"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2</w:t>
            </w:r>
          </w:p>
        </w:tc>
        <w:tc>
          <w:tcPr>
            <w:tcW w:w="985" w:type="dxa"/>
            <w:tcBorders>
              <w:tl2br w:val="nil"/>
              <w:tr2bl w:val="nil"/>
            </w:tcBorders>
            <w:shd w:val="clear" w:color="auto" w:fill="auto"/>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t>效益</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可持续影</w:t>
            </w:r>
            <w:r>
              <w:rPr>
                <w:rFonts w:ascii="仿宋" w:eastAsia="仿宋" w:hAnsi="仿宋" w:cs="仿宋" w:hint="eastAsia"/>
                <w:kern w:val="0"/>
                <w:szCs w:val="21"/>
                <w:lang w:bidi="ar"/>
              </w:rPr>
              <w:lastRenderedPageBreak/>
              <w:t>响</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项目可</w:t>
            </w:r>
            <w:r>
              <w:rPr>
                <w:rFonts w:ascii="仿宋" w:eastAsia="仿宋" w:hAnsi="仿宋" w:cs="仿宋" w:hint="eastAsia"/>
                <w:kern w:val="0"/>
                <w:szCs w:val="21"/>
                <w:lang w:bidi="ar"/>
              </w:rPr>
              <w:lastRenderedPageBreak/>
              <w:t>持续影响</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2</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考核该项目可持续</w:t>
            </w:r>
            <w:r>
              <w:rPr>
                <w:rFonts w:ascii="仿宋" w:eastAsia="仿宋" w:hAnsi="仿宋" w:cs="仿宋" w:hint="eastAsia"/>
                <w:kern w:val="0"/>
                <w:szCs w:val="21"/>
              </w:rPr>
              <w:lastRenderedPageBreak/>
              <w:t>实施保障情况。</w:t>
            </w:r>
          </w:p>
        </w:tc>
        <w:tc>
          <w:tcPr>
            <w:tcW w:w="1309"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可持续</w:t>
            </w:r>
          </w:p>
        </w:tc>
        <w:tc>
          <w:tcPr>
            <w:tcW w:w="4143"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①建立完善的项目长期管理制度；</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②建立项目后期巩固、维护、发展方案等；</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③建立的制度合法、合</w:t>
            </w:r>
            <w:proofErr w:type="gramStart"/>
            <w:r>
              <w:rPr>
                <w:rFonts w:ascii="仿宋" w:eastAsia="仿宋" w:hAnsi="仿宋" w:cs="仿宋" w:hint="eastAsia"/>
                <w:kern w:val="0"/>
                <w:szCs w:val="21"/>
                <w:lang w:bidi="ar"/>
              </w:rPr>
              <w:t>规</w:t>
            </w:r>
            <w:proofErr w:type="gramEnd"/>
            <w:r>
              <w:rPr>
                <w:rFonts w:ascii="仿宋" w:eastAsia="仿宋" w:hAnsi="仿宋" w:cs="仿宋" w:hint="eastAsia"/>
                <w:kern w:val="0"/>
                <w:szCs w:val="21"/>
                <w:lang w:bidi="ar"/>
              </w:rPr>
              <w:t>、完整；</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以上每项33%分值，全部完成得满分。</w:t>
            </w:r>
          </w:p>
        </w:tc>
        <w:tc>
          <w:tcPr>
            <w:tcW w:w="1863"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项目长期管理制</w:t>
            </w:r>
            <w:r>
              <w:rPr>
                <w:rFonts w:ascii="仿宋" w:eastAsia="仿宋" w:hAnsi="仿宋" w:cs="仿宋" w:hint="eastAsia"/>
                <w:kern w:val="0"/>
                <w:szCs w:val="21"/>
                <w:lang w:bidi="ar"/>
              </w:rPr>
              <w:lastRenderedPageBreak/>
              <w:t>度，后期运营方案完善，制度合法合</w:t>
            </w:r>
            <w:proofErr w:type="gramStart"/>
            <w:r>
              <w:rPr>
                <w:rFonts w:ascii="仿宋" w:eastAsia="仿宋" w:hAnsi="仿宋" w:cs="仿宋" w:hint="eastAsia"/>
                <w:kern w:val="0"/>
                <w:szCs w:val="21"/>
                <w:lang w:bidi="ar"/>
              </w:rPr>
              <w:t>规</w:t>
            </w:r>
            <w:proofErr w:type="gramEnd"/>
          </w:p>
        </w:tc>
        <w:tc>
          <w:tcPr>
            <w:tcW w:w="747" w:type="dxa"/>
            <w:tcBorders>
              <w:tl2br w:val="nil"/>
              <w:tr2bl w:val="nil"/>
            </w:tcBorders>
            <w:shd w:val="clear" w:color="auto" w:fill="auto"/>
            <w:noWrap/>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lastRenderedPageBreak/>
              <w:t>2</w:t>
            </w:r>
          </w:p>
        </w:tc>
        <w:tc>
          <w:tcPr>
            <w:tcW w:w="985" w:type="dxa"/>
            <w:tcBorders>
              <w:tl2br w:val="nil"/>
              <w:tr2bl w:val="nil"/>
            </w:tcBorders>
            <w:shd w:val="clear" w:color="auto" w:fill="auto"/>
            <w:noWrap/>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100.00%</w:t>
            </w:r>
          </w:p>
        </w:tc>
      </w:tr>
      <w:tr w:rsidR="007662C3">
        <w:trPr>
          <w:jc w:val="center"/>
        </w:trPr>
        <w:tc>
          <w:tcPr>
            <w:tcW w:w="1164" w:type="dxa"/>
            <w:tcBorders>
              <w:tl2br w:val="nil"/>
              <w:tr2bl w:val="nil"/>
            </w:tcBorders>
            <w:shd w:val="clear" w:color="auto" w:fill="auto"/>
            <w:vAlign w:val="center"/>
          </w:tcPr>
          <w:p w:rsidR="007662C3" w:rsidRDefault="00D05E05">
            <w:pPr>
              <w:widowControl/>
              <w:jc w:val="center"/>
              <w:textAlignment w:val="center"/>
              <w:rPr>
                <w:rFonts w:ascii="仿宋" w:eastAsia="仿宋" w:hAnsi="仿宋" w:cs="仿宋"/>
                <w:kern w:val="0"/>
                <w:szCs w:val="21"/>
                <w:lang w:bidi="ar"/>
              </w:rPr>
            </w:pPr>
            <w:r>
              <w:rPr>
                <w:rFonts w:ascii="仿宋" w:eastAsia="仿宋" w:hAnsi="仿宋" w:cs="仿宋" w:hint="eastAsia"/>
                <w:b/>
                <w:bCs/>
                <w:color w:val="000000"/>
                <w:kern w:val="0"/>
                <w:szCs w:val="21"/>
                <w:lang w:bidi="ar"/>
              </w:rPr>
              <w:lastRenderedPageBreak/>
              <w:t>效益</w:t>
            </w: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满意度</w:t>
            </w:r>
          </w:p>
        </w:tc>
        <w:tc>
          <w:tcPr>
            <w:tcW w:w="1010"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农村低收入</w:t>
            </w:r>
          </w:p>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kern w:val="0"/>
                <w:szCs w:val="21"/>
                <w:lang w:bidi="ar"/>
              </w:rPr>
              <w:t>口满意</w:t>
            </w:r>
            <w:proofErr w:type="gramEnd"/>
            <w:r>
              <w:rPr>
                <w:rFonts w:ascii="仿宋" w:eastAsia="仿宋" w:hAnsi="仿宋" w:cs="仿宋" w:hint="eastAsia"/>
                <w:kern w:val="0"/>
                <w:szCs w:val="21"/>
                <w:lang w:bidi="ar"/>
              </w:rPr>
              <w:t>度</w:t>
            </w:r>
          </w:p>
        </w:tc>
        <w:tc>
          <w:tcPr>
            <w:tcW w:w="772"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kern w:val="0"/>
                <w:szCs w:val="21"/>
                <w:lang w:bidi="ar"/>
              </w:rPr>
            </w:pPr>
            <w:r>
              <w:rPr>
                <w:rFonts w:ascii="仿宋" w:eastAsia="仿宋" w:hAnsi="仿宋" w:cs="仿宋" w:hint="eastAsia"/>
                <w:kern w:val="0"/>
                <w:szCs w:val="21"/>
                <w:lang w:bidi="ar"/>
              </w:rPr>
              <w:t>4</w:t>
            </w:r>
          </w:p>
        </w:tc>
        <w:tc>
          <w:tcPr>
            <w:tcW w:w="1943" w:type="dxa"/>
            <w:tcBorders>
              <w:tl2br w:val="nil"/>
              <w:tr2bl w:val="nil"/>
            </w:tcBorders>
            <w:shd w:val="clear" w:color="auto" w:fill="auto"/>
            <w:vAlign w:val="center"/>
          </w:tcPr>
          <w:p w:rsidR="007662C3" w:rsidRDefault="00D05E05">
            <w:pPr>
              <w:widowControl/>
              <w:snapToGrid w:val="0"/>
              <w:jc w:val="left"/>
              <w:textAlignment w:val="center"/>
              <w:rPr>
                <w:rFonts w:ascii="仿宋" w:eastAsia="仿宋" w:hAnsi="仿宋" w:cs="仿宋"/>
                <w:kern w:val="0"/>
                <w:szCs w:val="21"/>
              </w:rPr>
            </w:pPr>
            <w:r>
              <w:rPr>
                <w:rFonts w:ascii="仿宋" w:eastAsia="仿宋" w:hAnsi="仿宋" w:cs="仿宋" w:hint="eastAsia"/>
                <w:kern w:val="0"/>
                <w:szCs w:val="21"/>
              </w:rPr>
              <w:t>社会公众对衔接资金项目政策实施的满意度是否达到90%。</w:t>
            </w:r>
          </w:p>
        </w:tc>
        <w:tc>
          <w:tcPr>
            <w:tcW w:w="1309"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100%</w:t>
            </w:r>
          </w:p>
        </w:tc>
        <w:tc>
          <w:tcPr>
            <w:tcW w:w="4143"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仅对项目涉及自然村进行满意度调查，</w:t>
            </w:r>
          </w:p>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kern w:val="0"/>
                <w:szCs w:val="21"/>
                <w:lang w:bidi="ar"/>
              </w:rPr>
              <w:t>若满意</w:t>
            </w:r>
            <w:proofErr w:type="gramEnd"/>
            <w:r>
              <w:rPr>
                <w:rFonts w:ascii="仿宋" w:eastAsia="仿宋" w:hAnsi="仿宋" w:cs="仿宋" w:hint="eastAsia"/>
                <w:kern w:val="0"/>
                <w:szCs w:val="21"/>
                <w:lang w:bidi="ar"/>
              </w:rPr>
              <w:t>度=100%，得满分；</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若95%≤满意度＜100%，得95%分值；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若90%≤满意度＜95%，得90%分值；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80%≤满意度＜90%，得80%分值；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若70%≤满意度＜80%，得70%分值；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若65%≤满意度＜70%，得65%分值；</w:t>
            </w:r>
          </w:p>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若60%≤满意度＜65%，得60%分值；</w:t>
            </w:r>
          </w:p>
          <w:p w:rsidR="007662C3" w:rsidRDefault="00D05E05">
            <w:pPr>
              <w:widowControl/>
              <w:snapToGrid w:val="0"/>
              <w:jc w:val="left"/>
              <w:textAlignment w:val="center"/>
              <w:rPr>
                <w:rFonts w:ascii="仿宋" w:eastAsia="仿宋" w:hAnsi="仿宋" w:cs="仿宋"/>
                <w:kern w:val="0"/>
                <w:szCs w:val="21"/>
                <w:lang w:bidi="ar"/>
              </w:rPr>
            </w:pPr>
            <w:proofErr w:type="gramStart"/>
            <w:r>
              <w:rPr>
                <w:rFonts w:ascii="仿宋" w:eastAsia="仿宋" w:hAnsi="仿宋" w:cs="仿宋" w:hint="eastAsia"/>
                <w:kern w:val="0"/>
                <w:szCs w:val="21"/>
                <w:lang w:bidi="ar"/>
              </w:rPr>
              <w:t>若满意</w:t>
            </w:r>
            <w:proofErr w:type="gramEnd"/>
            <w:r>
              <w:rPr>
                <w:rFonts w:ascii="仿宋" w:eastAsia="仿宋" w:hAnsi="仿宋" w:cs="仿宋" w:hint="eastAsia"/>
                <w:kern w:val="0"/>
                <w:szCs w:val="21"/>
                <w:lang w:bidi="ar"/>
              </w:rPr>
              <w:t>度＜60%，不得分。</w:t>
            </w:r>
          </w:p>
        </w:tc>
        <w:tc>
          <w:tcPr>
            <w:tcW w:w="1863"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kern w:val="0"/>
                <w:szCs w:val="21"/>
                <w:lang w:bidi="ar"/>
              </w:rPr>
            </w:pPr>
            <w:r>
              <w:rPr>
                <w:rFonts w:ascii="仿宋" w:eastAsia="仿宋" w:hAnsi="仿宋" w:cs="仿宋" w:hint="eastAsia"/>
                <w:kern w:val="0"/>
                <w:szCs w:val="21"/>
                <w:lang w:bidi="ar"/>
              </w:rPr>
              <w:t>通过问卷调查，依据满意</w:t>
            </w:r>
            <w:proofErr w:type="gramStart"/>
            <w:r>
              <w:rPr>
                <w:rFonts w:ascii="仿宋" w:eastAsia="仿宋" w:hAnsi="仿宋" w:cs="仿宋" w:hint="eastAsia"/>
                <w:kern w:val="0"/>
                <w:szCs w:val="21"/>
                <w:lang w:bidi="ar"/>
              </w:rPr>
              <w:t>度数据</w:t>
            </w:r>
            <w:proofErr w:type="gramEnd"/>
            <w:r>
              <w:rPr>
                <w:rFonts w:ascii="仿宋" w:eastAsia="仿宋" w:hAnsi="仿宋" w:cs="仿宋" w:hint="eastAsia"/>
                <w:kern w:val="0"/>
                <w:szCs w:val="21"/>
                <w:lang w:bidi="ar"/>
              </w:rPr>
              <w:t>评分</w:t>
            </w:r>
          </w:p>
        </w:tc>
        <w:tc>
          <w:tcPr>
            <w:tcW w:w="747" w:type="dxa"/>
            <w:tcBorders>
              <w:tl2br w:val="nil"/>
              <w:tr2bl w:val="nil"/>
            </w:tcBorders>
            <w:shd w:val="clear" w:color="auto" w:fill="auto"/>
            <w:noWrap/>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仿宋" w:cs="仿宋" w:hint="eastAsia"/>
                <w:kern w:val="0"/>
                <w:szCs w:val="21"/>
                <w:lang w:bidi="ar"/>
              </w:rPr>
              <w:t>3.6</w:t>
            </w:r>
          </w:p>
        </w:tc>
        <w:tc>
          <w:tcPr>
            <w:tcW w:w="985" w:type="dxa"/>
            <w:tcBorders>
              <w:tl2br w:val="nil"/>
              <w:tr2bl w:val="nil"/>
            </w:tcBorders>
            <w:shd w:val="clear" w:color="auto" w:fill="auto"/>
            <w:noWrap/>
            <w:vAlign w:val="center"/>
          </w:tcPr>
          <w:p w:rsidR="007662C3" w:rsidRDefault="00D05E05">
            <w:pPr>
              <w:widowControl/>
              <w:snapToGrid w:val="0"/>
              <w:jc w:val="right"/>
              <w:textAlignment w:val="center"/>
              <w:rPr>
                <w:rFonts w:ascii="仿宋" w:eastAsia="仿宋" w:hAnsi="仿宋" w:cs="仿宋"/>
                <w:kern w:val="0"/>
                <w:szCs w:val="21"/>
                <w:lang w:bidi="ar"/>
              </w:rPr>
            </w:pPr>
            <w:r>
              <w:rPr>
                <w:rFonts w:ascii="仿宋" w:eastAsia="仿宋" w:hAnsi="宋体" w:cs="宋体" w:hint="eastAsia"/>
                <w:color w:val="000000"/>
                <w:kern w:val="0"/>
                <w:szCs w:val="22"/>
                <w:lang w:bidi="ar"/>
              </w:rPr>
              <w:t>90%</w:t>
            </w:r>
          </w:p>
        </w:tc>
      </w:tr>
      <w:tr w:rsidR="007662C3">
        <w:trPr>
          <w:jc w:val="center"/>
        </w:trPr>
        <w:tc>
          <w:tcPr>
            <w:tcW w:w="1164" w:type="dxa"/>
            <w:tcBorders>
              <w:tl2br w:val="nil"/>
              <w:tr2bl w:val="nil"/>
            </w:tcBorders>
            <w:shd w:val="clear" w:color="auto" w:fill="auto"/>
            <w:vAlign w:val="center"/>
          </w:tcPr>
          <w:p w:rsidR="007662C3" w:rsidRDefault="007662C3">
            <w:pPr>
              <w:widowControl/>
              <w:snapToGrid w:val="0"/>
              <w:jc w:val="center"/>
              <w:textAlignment w:val="center"/>
              <w:rPr>
                <w:rFonts w:ascii="仿宋" w:eastAsia="仿宋" w:hAnsi="仿宋" w:cs="仿宋"/>
                <w:b/>
                <w:kern w:val="0"/>
                <w:szCs w:val="21"/>
                <w:lang w:bidi="ar"/>
              </w:rPr>
            </w:pPr>
          </w:p>
        </w:tc>
        <w:tc>
          <w:tcPr>
            <w:tcW w:w="1164" w:type="dxa"/>
            <w:tcBorders>
              <w:tl2br w:val="nil"/>
              <w:tr2bl w:val="nil"/>
            </w:tcBorders>
            <w:shd w:val="clear" w:color="auto" w:fill="auto"/>
            <w:vAlign w:val="center"/>
          </w:tcPr>
          <w:p w:rsidR="007662C3" w:rsidRDefault="00D05E05">
            <w:pPr>
              <w:widowControl/>
              <w:snapToGrid w:val="0"/>
              <w:jc w:val="center"/>
              <w:textAlignment w:val="center"/>
              <w:rPr>
                <w:rFonts w:ascii="仿宋" w:eastAsia="仿宋" w:hAnsi="仿宋" w:cs="仿宋"/>
                <w:b/>
                <w:kern w:val="0"/>
                <w:szCs w:val="21"/>
                <w:lang w:bidi="ar"/>
              </w:rPr>
            </w:pPr>
            <w:r>
              <w:rPr>
                <w:rFonts w:ascii="仿宋" w:eastAsia="仿宋" w:hAnsi="仿宋" w:cs="仿宋" w:hint="eastAsia"/>
                <w:b/>
                <w:kern w:val="0"/>
                <w:szCs w:val="21"/>
                <w:lang w:bidi="ar"/>
              </w:rPr>
              <w:t>合计</w:t>
            </w:r>
          </w:p>
        </w:tc>
        <w:tc>
          <w:tcPr>
            <w:tcW w:w="1010" w:type="dxa"/>
            <w:tcBorders>
              <w:tl2br w:val="nil"/>
              <w:tr2bl w:val="nil"/>
            </w:tcBorders>
            <w:shd w:val="clear" w:color="auto" w:fill="auto"/>
            <w:vAlign w:val="center"/>
          </w:tcPr>
          <w:p w:rsidR="007662C3" w:rsidRDefault="007662C3">
            <w:pPr>
              <w:widowControl/>
              <w:snapToGrid w:val="0"/>
              <w:jc w:val="left"/>
              <w:textAlignment w:val="center"/>
              <w:rPr>
                <w:rFonts w:ascii="仿宋" w:eastAsia="仿宋" w:hAnsi="仿宋" w:cs="仿宋"/>
                <w:b/>
                <w:kern w:val="0"/>
                <w:szCs w:val="21"/>
                <w:lang w:bidi="ar"/>
              </w:rPr>
            </w:pPr>
          </w:p>
        </w:tc>
        <w:tc>
          <w:tcPr>
            <w:tcW w:w="772" w:type="dxa"/>
            <w:tcBorders>
              <w:tl2br w:val="nil"/>
              <w:tr2bl w:val="nil"/>
            </w:tcBorders>
            <w:shd w:val="clear" w:color="auto" w:fill="auto"/>
            <w:vAlign w:val="center"/>
          </w:tcPr>
          <w:p w:rsidR="007662C3" w:rsidRDefault="007662C3">
            <w:pPr>
              <w:widowControl/>
              <w:snapToGrid w:val="0"/>
              <w:jc w:val="center"/>
              <w:textAlignment w:val="center"/>
              <w:rPr>
                <w:rFonts w:ascii="仿宋" w:eastAsia="仿宋" w:hAnsi="仿宋" w:cs="仿宋"/>
                <w:b/>
                <w:kern w:val="0"/>
                <w:szCs w:val="21"/>
                <w:lang w:bidi="ar"/>
              </w:rPr>
            </w:pPr>
          </w:p>
        </w:tc>
        <w:tc>
          <w:tcPr>
            <w:tcW w:w="1943" w:type="dxa"/>
            <w:tcBorders>
              <w:tl2br w:val="nil"/>
              <w:tr2bl w:val="nil"/>
            </w:tcBorders>
            <w:shd w:val="clear" w:color="auto" w:fill="auto"/>
            <w:vAlign w:val="center"/>
          </w:tcPr>
          <w:p w:rsidR="007662C3" w:rsidRDefault="007662C3">
            <w:pPr>
              <w:widowControl/>
              <w:snapToGrid w:val="0"/>
              <w:jc w:val="left"/>
              <w:textAlignment w:val="center"/>
              <w:rPr>
                <w:rFonts w:ascii="仿宋" w:eastAsia="仿宋" w:hAnsi="仿宋" w:cs="仿宋"/>
                <w:b/>
                <w:kern w:val="0"/>
                <w:szCs w:val="21"/>
              </w:rPr>
            </w:pPr>
          </w:p>
        </w:tc>
        <w:tc>
          <w:tcPr>
            <w:tcW w:w="1309" w:type="dxa"/>
            <w:tcBorders>
              <w:tl2br w:val="nil"/>
              <w:tr2bl w:val="nil"/>
            </w:tcBorders>
            <w:shd w:val="clear" w:color="auto" w:fill="auto"/>
            <w:noWrap/>
            <w:vAlign w:val="center"/>
          </w:tcPr>
          <w:p w:rsidR="007662C3" w:rsidRDefault="00D05E05">
            <w:pPr>
              <w:widowControl/>
              <w:snapToGrid w:val="0"/>
              <w:jc w:val="left"/>
              <w:textAlignment w:val="center"/>
              <w:rPr>
                <w:rFonts w:ascii="仿宋" w:eastAsia="仿宋" w:hAnsi="仿宋" w:cs="仿宋"/>
                <w:b/>
                <w:kern w:val="0"/>
                <w:szCs w:val="21"/>
                <w:lang w:bidi="ar"/>
              </w:rPr>
            </w:pPr>
            <w:r>
              <w:rPr>
                <w:rFonts w:ascii="仿宋" w:eastAsia="仿宋" w:hAnsi="仿宋" w:cs="仿宋" w:hint="eastAsia"/>
                <w:b/>
                <w:kern w:val="0"/>
                <w:szCs w:val="21"/>
                <w:lang w:bidi="ar"/>
              </w:rPr>
              <w:t>100</w:t>
            </w:r>
          </w:p>
        </w:tc>
        <w:tc>
          <w:tcPr>
            <w:tcW w:w="4143" w:type="dxa"/>
            <w:tcBorders>
              <w:tl2br w:val="nil"/>
              <w:tr2bl w:val="nil"/>
            </w:tcBorders>
            <w:shd w:val="clear" w:color="auto" w:fill="auto"/>
            <w:noWrap/>
            <w:vAlign w:val="center"/>
          </w:tcPr>
          <w:p w:rsidR="007662C3" w:rsidRDefault="007662C3">
            <w:pPr>
              <w:widowControl/>
              <w:snapToGrid w:val="0"/>
              <w:jc w:val="left"/>
              <w:textAlignment w:val="center"/>
              <w:rPr>
                <w:rFonts w:ascii="仿宋" w:eastAsia="仿宋" w:hAnsi="仿宋" w:cs="仿宋"/>
                <w:b/>
                <w:kern w:val="0"/>
                <w:szCs w:val="21"/>
                <w:lang w:bidi="ar"/>
              </w:rPr>
            </w:pPr>
          </w:p>
        </w:tc>
        <w:tc>
          <w:tcPr>
            <w:tcW w:w="1863" w:type="dxa"/>
            <w:tcBorders>
              <w:tl2br w:val="nil"/>
              <w:tr2bl w:val="nil"/>
            </w:tcBorders>
            <w:shd w:val="clear" w:color="auto" w:fill="auto"/>
            <w:noWrap/>
            <w:vAlign w:val="center"/>
          </w:tcPr>
          <w:p w:rsidR="007662C3" w:rsidRDefault="007662C3">
            <w:pPr>
              <w:widowControl/>
              <w:snapToGrid w:val="0"/>
              <w:jc w:val="left"/>
              <w:textAlignment w:val="center"/>
              <w:rPr>
                <w:rFonts w:ascii="仿宋" w:eastAsia="仿宋" w:hAnsi="仿宋" w:cs="仿宋"/>
                <w:b/>
                <w:kern w:val="0"/>
                <w:szCs w:val="21"/>
                <w:lang w:bidi="ar"/>
              </w:rPr>
            </w:pPr>
          </w:p>
        </w:tc>
        <w:tc>
          <w:tcPr>
            <w:tcW w:w="747" w:type="dxa"/>
            <w:tcBorders>
              <w:tl2br w:val="nil"/>
              <w:tr2bl w:val="nil"/>
            </w:tcBorders>
            <w:shd w:val="clear" w:color="auto" w:fill="auto"/>
            <w:noWrap/>
            <w:vAlign w:val="center"/>
          </w:tcPr>
          <w:p w:rsidR="007662C3" w:rsidRDefault="00D05E05">
            <w:pPr>
              <w:widowControl/>
              <w:snapToGrid w:val="0"/>
              <w:jc w:val="right"/>
              <w:textAlignment w:val="center"/>
              <w:rPr>
                <w:rFonts w:ascii="仿宋" w:eastAsia="仿宋" w:hAnsi="仿宋" w:cs="仿宋"/>
                <w:b/>
                <w:kern w:val="0"/>
                <w:szCs w:val="21"/>
                <w:lang w:bidi="ar"/>
              </w:rPr>
            </w:pPr>
            <w:r>
              <w:rPr>
                <w:rFonts w:ascii="仿宋" w:eastAsia="仿宋" w:hAnsi="仿宋" w:cs="仿宋" w:hint="eastAsia"/>
                <w:b/>
                <w:kern w:val="0"/>
                <w:szCs w:val="21"/>
                <w:lang w:bidi="ar"/>
              </w:rPr>
              <w:t>90.57</w:t>
            </w:r>
          </w:p>
        </w:tc>
        <w:tc>
          <w:tcPr>
            <w:tcW w:w="985" w:type="dxa"/>
            <w:tcBorders>
              <w:tl2br w:val="nil"/>
              <w:tr2bl w:val="nil"/>
            </w:tcBorders>
            <w:shd w:val="clear" w:color="auto" w:fill="auto"/>
            <w:noWrap/>
            <w:vAlign w:val="center"/>
          </w:tcPr>
          <w:p w:rsidR="007662C3" w:rsidRDefault="00D05E05">
            <w:pPr>
              <w:widowControl/>
              <w:snapToGrid w:val="0"/>
              <w:jc w:val="right"/>
              <w:textAlignment w:val="center"/>
              <w:rPr>
                <w:rFonts w:ascii="仿宋" w:eastAsia="仿宋" w:hAnsi="仿宋" w:cs="仿宋"/>
                <w:b/>
                <w:kern w:val="0"/>
                <w:szCs w:val="21"/>
                <w:lang w:bidi="ar"/>
              </w:rPr>
            </w:pPr>
            <w:r>
              <w:rPr>
                <w:rFonts w:ascii="仿宋" w:eastAsia="仿宋" w:hAnsi="宋体" w:cs="宋体" w:hint="eastAsia"/>
                <w:b/>
                <w:color w:val="000000"/>
                <w:kern w:val="0"/>
                <w:szCs w:val="22"/>
                <w:lang w:bidi="ar"/>
              </w:rPr>
              <w:t>90.57%</w:t>
            </w:r>
          </w:p>
        </w:tc>
      </w:tr>
    </w:tbl>
    <w:p w:rsidR="007662C3" w:rsidRDefault="007662C3">
      <w:pPr>
        <w:spacing w:line="360" w:lineRule="auto"/>
        <w:outlineLvl w:val="0"/>
        <w:rPr>
          <w:rFonts w:ascii="仿宋" w:eastAsia="仿宋" w:hAnsi="仿宋" w:cs="仿宋"/>
          <w:b/>
          <w:bCs/>
          <w:kern w:val="0"/>
          <w:sz w:val="36"/>
          <w:szCs w:val="36"/>
          <w:lang w:bidi="ar"/>
        </w:rPr>
      </w:pPr>
    </w:p>
    <w:p w:rsidR="007662C3" w:rsidRDefault="007662C3">
      <w:pPr>
        <w:widowControl/>
        <w:spacing w:line="500" w:lineRule="exact"/>
        <w:rPr>
          <w:rFonts w:ascii="仿宋_GB2312" w:eastAsia="仿宋_GB2312" w:hAnsi="仿宋" w:cs="仿宋"/>
          <w:bCs/>
          <w:sz w:val="32"/>
          <w:szCs w:val="32"/>
        </w:rPr>
        <w:sectPr w:rsidR="007662C3">
          <w:pgSz w:w="16838" w:h="11906" w:orient="landscape"/>
          <w:pgMar w:top="2098" w:right="1701" w:bottom="1474" w:left="1417" w:header="851" w:footer="992" w:gutter="0"/>
          <w:cols w:space="720"/>
          <w:docGrid w:type="lines" w:linePitch="319"/>
        </w:sectPr>
      </w:pPr>
    </w:p>
    <w:p w:rsidR="007662C3" w:rsidRDefault="007662C3"/>
    <w:sectPr w:rsidR="007662C3">
      <w:pgSz w:w="11906" w:h="16838"/>
      <w:pgMar w:top="1701" w:right="1474" w:bottom="1417"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851" w:rsidRDefault="00DC7851">
      <w:r>
        <w:separator/>
      </w:r>
    </w:p>
  </w:endnote>
  <w:endnote w:type="continuationSeparator" w:id="0">
    <w:p w:rsidR="00DC7851" w:rsidRDefault="00DC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2C3" w:rsidRDefault="00D05E05">
    <w:pPr>
      <w:tabs>
        <w:tab w:val="center" w:pos="4153"/>
        <w:tab w:val="right" w:pos="8306"/>
      </w:tabs>
      <w:snapToGrid w:val="0"/>
      <w:jc w:val="left"/>
      <w:rPr>
        <w:rFonts w:ascii="Times New Roman" w:eastAsia="宋体" w:hAnsi="Times New Roman" w:cs="Times New Roman"/>
        <w:sz w:val="18"/>
      </w:rPr>
    </w:pPr>
    <w:r>
      <w:rPr>
        <w:rFonts w:ascii="Times New Roman" w:eastAsia="宋体" w:hAnsi="Times New Roman" w:cs="Times New Roman"/>
        <w:noProof/>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62C3" w:rsidRDefault="00D05E05">
                          <w:pPr>
                            <w:tabs>
                              <w:tab w:val="center" w:pos="4153"/>
                              <w:tab w:val="right" w:pos="8306"/>
                            </w:tabs>
                            <w:snapToGrid w:val="0"/>
                            <w:jc w:val="left"/>
                            <w:rPr>
                              <w:rFonts w:ascii="Times New Roman" w:eastAsia="宋体" w:hAnsi="Times New Roman" w:cs="Times New Roman"/>
                              <w:sz w:val="18"/>
                            </w:rPr>
                          </w:pPr>
                          <w:r>
                            <w:rPr>
                              <w:rFonts w:ascii="Times New Roman" w:eastAsia="宋体" w:hAnsi="Times New Roman" w:cs="Times New Roman"/>
                              <w:sz w:val="18"/>
                            </w:rPr>
                            <w:fldChar w:fldCharType="begin"/>
                          </w:r>
                          <w:r>
                            <w:rPr>
                              <w:rFonts w:ascii="Times New Roman" w:eastAsia="宋体" w:hAnsi="Times New Roman" w:cs="Times New Roman"/>
                              <w:sz w:val="18"/>
                            </w:rPr>
                            <w:instrText xml:space="preserve"> PAGE  \* MERGEFORMAT </w:instrText>
                          </w:r>
                          <w:r>
                            <w:rPr>
                              <w:rFonts w:ascii="Times New Roman" w:eastAsia="宋体" w:hAnsi="Times New Roman" w:cs="Times New Roman"/>
                              <w:sz w:val="18"/>
                            </w:rPr>
                            <w:fldChar w:fldCharType="separate"/>
                          </w:r>
                          <w:r w:rsidR="00DE3E16">
                            <w:rPr>
                              <w:rFonts w:ascii="Times New Roman" w:eastAsia="宋体" w:hAnsi="Times New Roman" w:cs="Times New Roman"/>
                              <w:noProof/>
                              <w:sz w:val="18"/>
                            </w:rPr>
                            <w:t>11</w:t>
                          </w:r>
                          <w:r>
                            <w:rPr>
                              <w:rFonts w:ascii="Times New Roman" w:eastAsia="宋体" w:hAnsi="Times New Roman" w:cs="Times New Roman"/>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QYrhtZQIAABgFAAAOAAAAAAAAAAAAAAAAAC4CAABkcnMvZTJvRG9j&#10;LnhtbFBLAQItABQABgAIAAAAIQBxqtG51wAAAAUBAAAPAAAAAAAAAAAAAAAAAL8EAABkcnMvZG93&#10;bnJldi54bWxQSwUGAAAAAAQABADzAAAAwwUAAAAA&#10;" filled="f" stroked="f" strokeweight=".5pt">
              <v:textbox style="mso-fit-shape-to-text:t" inset="0,0,0,0">
                <w:txbxContent>
                  <w:p w:rsidR="007662C3" w:rsidRDefault="00D05E05">
                    <w:pPr>
                      <w:tabs>
                        <w:tab w:val="center" w:pos="4153"/>
                        <w:tab w:val="right" w:pos="8306"/>
                      </w:tabs>
                      <w:snapToGrid w:val="0"/>
                      <w:jc w:val="left"/>
                      <w:rPr>
                        <w:rFonts w:ascii="Times New Roman" w:eastAsia="宋体" w:hAnsi="Times New Roman" w:cs="Times New Roman"/>
                        <w:sz w:val="18"/>
                      </w:rPr>
                    </w:pPr>
                    <w:r>
                      <w:rPr>
                        <w:rFonts w:ascii="Times New Roman" w:eastAsia="宋体" w:hAnsi="Times New Roman" w:cs="Times New Roman"/>
                        <w:sz w:val="18"/>
                      </w:rPr>
                      <w:fldChar w:fldCharType="begin"/>
                    </w:r>
                    <w:r>
                      <w:rPr>
                        <w:rFonts w:ascii="Times New Roman" w:eastAsia="宋体" w:hAnsi="Times New Roman" w:cs="Times New Roman"/>
                        <w:sz w:val="18"/>
                      </w:rPr>
                      <w:instrText xml:space="preserve"> PAGE  \* MERGEFORMAT </w:instrText>
                    </w:r>
                    <w:r>
                      <w:rPr>
                        <w:rFonts w:ascii="Times New Roman" w:eastAsia="宋体" w:hAnsi="Times New Roman" w:cs="Times New Roman"/>
                        <w:sz w:val="18"/>
                      </w:rPr>
                      <w:fldChar w:fldCharType="separate"/>
                    </w:r>
                    <w:r w:rsidR="00DE3E16">
                      <w:rPr>
                        <w:rFonts w:ascii="Times New Roman" w:eastAsia="宋体" w:hAnsi="Times New Roman" w:cs="Times New Roman"/>
                        <w:noProof/>
                        <w:sz w:val="18"/>
                      </w:rPr>
                      <w:t>11</w:t>
                    </w:r>
                    <w:r>
                      <w:rPr>
                        <w:rFonts w:ascii="Times New Roman" w:eastAsia="宋体" w:hAnsi="Times New Roman" w:cs="Times New Roman"/>
                        <w:sz w:val="18"/>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2C3" w:rsidRDefault="00D05E05">
    <w:pPr>
      <w:tabs>
        <w:tab w:val="center" w:pos="4153"/>
        <w:tab w:val="right" w:pos="8306"/>
      </w:tabs>
      <w:snapToGrid w:val="0"/>
      <w:spacing w:before="120" w:after="120"/>
      <w:ind w:right="360"/>
      <w:jc w:val="left"/>
      <w:rPr>
        <w:rFonts w:ascii="Times New Roman" w:eastAsia="宋体" w:hAnsi="Times New Roman" w:cs="Times New Roman"/>
        <w:sz w:val="18"/>
      </w:rPr>
    </w:pPr>
    <w:r>
      <w:rPr>
        <w:rFonts w:ascii="Times New Roman" w:eastAsia="宋体" w:hAnsi="Times New Roman" w:cs="Times New Roman"/>
        <w:noProof/>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62C3" w:rsidRDefault="00D05E05">
                          <w:pPr>
                            <w:tabs>
                              <w:tab w:val="center" w:pos="4153"/>
                              <w:tab w:val="right" w:pos="8306"/>
                            </w:tabs>
                            <w:snapToGrid w:val="0"/>
                            <w:jc w:val="left"/>
                            <w:rPr>
                              <w:rFonts w:ascii="Times New Roman" w:eastAsia="宋体" w:hAnsi="Times New Roman" w:cs="Times New Roman"/>
                              <w:sz w:val="18"/>
                            </w:rPr>
                          </w:pPr>
                          <w:r>
                            <w:rPr>
                              <w:rFonts w:ascii="Times New Roman" w:eastAsia="宋体" w:hAnsi="Times New Roman" w:cs="Times New Roman"/>
                              <w:sz w:val="18"/>
                            </w:rPr>
                            <w:fldChar w:fldCharType="begin"/>
                          </w:r>
                          <w:r>
                            <w:rPr>
                              <w:rFonts w:ascii="Times New Roman" w:eastAsia="宋体" w:hAnsi="Times New Roman" w:cs="Times New Roman"/>
                              <w:sz w:val="18"/>
                            </w:rPr>
                            <w:instrText xml:space="preserve"> PAGE  \* MERGEFORMAT </w:instrText>
                          </w:r>
                          <w:r>
                            <w:rPr>
                              <w:rFonts w:ascii="Times New Roman" w:eastAsia="宋体" w:hAnsi="Times New Roman" w:cs="Times New Roman"/>
                              <w:sz w:val="18"/>
                            </w:rPr>
                            <w:fldChar w:fldCharType="separate"/>
                          </w:r>
                          <w:r w:rsidR="001D3525">
                            <w:rPr>
                              <w:rFonts w:ascii="Times New Roman" w:eastAsia="宋体" w:hAnsi="Times New Roman" w:cs="Times New Roman"/>
                              <w:noProof/>
                              <w:sz w:val="18"/>
                            </w:rPr>
                            <w:t>15</w:t>
                          </w:r>
                          <w:r>
                            <w:rPr>
                              <w:rFonts w:ascii="Times New Roman" w:eastAsia="宋体" w:hAnsi="Times New Roman" w:cs="Times New Roman"/>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AWUPFcaAIAAB8FAAAOAAAAAAAAAAAAAAAAAC4CAABkcnMvZTJv&#10;RG9jLnhtbFBLAQItABQABgAIAAAAIQBxqtG51wAAAAUBAAAPAAAAAAAAAAAAAAAAAMIEAABkcnMv&#10;ZG93bnJldi54bWxQSwUGAAAAAAQABADzAAAAxgUAAAAA&#10;" filled="f" stroked="f" strokeweight=".5pt">
              <v:textbox style="mso-fit-shape-to-text:t" inset="0,0,0,0">
                <w:txbxContent>
                  <w:p w:rsidR="007662C3" w:rsidRDefault="00D05E05">
                    <w:pPr>
                      <w:tabs>
                        <w:tab w:val="center" w:pos="4153"/>
                        <w:tab w:val="right" w:pos="8306"/>
                      </w:tabs>
                      <w:snapToGrid w:val="0"/>
                      <w:jc w:val="left"/>
                      <w:rPr>
                        <w:rFonts w:ascii="Times New Roman" w:eastAsia="宋体" w:hAnsi="Times New Roman" w:cs="Times New Roman"/>
                        <w:sz w:val="18"/>
                      </w:rPr>
                    </w:pPr>
                    <w:r>
                      <w:rPr>
                        <w:rFonts w:ascii="Times New Roman" w:eastAsia="宋体" w:hAnsi="Times New Roman" w:cs="Times New Roman"/>
                        <w:sz w:val="18"/>
                      </w:rPr>
                      <w:fldChar w:fldCharType="begin"/>
                    </w:r>
                    <w:r>
                      <w:rPr>
                        <w:rFonts w:ascii="Times New Roman" w:eastAsia="宋体" w:hAnsi="Times New Roman" w:cs="Times New Roman"/>
                        <w:sz w:val="18"/>
                      </w:rPr>
                      <w:instrText xml:space="preserve"> PAGE  \* MERGEFORMAT </w:instrText>
                    </w:r>
                    <w:r>
                      <w:rPr>
                        <w:rFonts w:ascii="Times New Roman" w:eastAsia="宋体" w:hAnsi="Times New Roman" w:cs="Times New Roman"/>
                        <w:sz w:val="18"/>
                      </w:rPr>
                      <w:fldChar w:fldCharType="separate"/>
                    </w:r>
                    <w:r w:rsidR="001D3525">
                      <w:rPr>
                        <w:rFonts w:ascii="Times New Roman" w:eastAsia="宋体" w:hAnsi="Times New Roman" w:cs="Times New Roman"/>
                        <w:noProof/>
                        <w:sz w:val="18"/>
                      </w:rPr>
                      <w:t>15</w:t>
                    </w:r>
                    <w:r>
                      <w:rPr>
                        <w:rFonts w:ascii="Times New Roman" w:eastAsia="宋体" w:hAnsi="Times New Roman" w:cs="Times New Roman"/>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851" w:rsidRDefault="00DC7851">
      <w:r>
        <w:separator/>
      </w:r>
    </w:p>
  </w:footnote>
  <w:footnote w:type="continuationSeparator" w:id="0">
    <w:p w:rsidR="00DC7851" w:rsidRDefault="00DC7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2C3" w:rsidRDefault="007662C3">
    <w:pPr>
      <w:pBdr>
        <w:top w:val="none" w:sz="0" w:space="1" w:color="auto"/>
        <w:left w:val="none" w:sz="0" w:space="4" w:color="auto"/>
        <w:right w:val="none" w:sz="0" w:space="4" w:color="auto"/>
      </w:pBdr>
      <w:tabs>
        <w:tab w:val="center" w:pos="4153"/>
        <w:tab w:val="right" w:pos="8306"/>
      </w:tabs>
      <w:snapToGrid w:val="0"/>
      <w:rPr>
        <w:rFonts w:ascii="Times New Roman" w:eastAsia="宋体" w:hAnsi="Times New Roman" w:cs="Times New Roman"/>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84DB10"/>
    <w:multiLevelType w:val="singleLevel"/>
    <w:tmpl w:val="9884DB10"/>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5A0203"/>
    <w:rsid w:val="001D3525"/>
    <w:rsid w:val="00345546"/>
    <w:rsid w:val="004B7E98"/>
    <w:rsid w:val="007662C3"/>
    <w:rsid w:val="00982741"/>
    <w:rsid w:val="00A355AD"/>
    <w:rsid w:val="00D05E05"/>
    <w:rsid w:val="00DC7851"/>
    <w:rsid w:val="00DE3E16"/>
    <w:rsid w:val="030D0F8F"/>
    <w:rsid w:val="08A21C87"/>
    <w:rsid w:val="1D9B49AC"/>
    <w:rsid w:val="246F22D4"/>
    <w:rsid w:val="326F073A"/>
    <w:rsid w:val="432361CC"/>
    <w:rsid w:val="4D740C0F"/>
    <w:rsid w:val="4D9E1CF2"/>
    <w:rsid w:val="53EB4CBE"/>
    <w:rsid w:val="555A0203"/>
    <w:rsid w:val="5D497FBE"/>
    <w:rsid w:val="5D504F0B"/>
    <w:rsid w:val="60466231"/>
    <w:rsid w:val="6B032900"/>
    <w:rsid w:val="6E5813AF"/>
    <w:rsid w:val="74C029CC"/>
    <w:rsid w:val="75A51EB6"/>
    <w:rsid w:val="796C7687"/>
    <w:rsid w:val="7DEE4CBC"/>
    <w:rsid w:val="7E754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4">
    <w:name w:val="header"/>
    <w:basedOn w:val="a"/>
    <w:link w:val="Char"/>
    <w:rsid w:val="009827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82741"/>
    <w:rPr>
      <w:kern w:val="2"/>
      <w:sz w:val="18"/>
      <w:szCs w:val="18"/>
    </w:rPr>
  </w:style>
  <w:style w:type="paragraph" w:styleId="a5">
    <w:name w:val="footer"/>
    <w:basedOn w:val="a"/>
    <w:link w:val="Char0"/>
    <w:rsid w:val="00982741"/>
    <w:pPr>
      <w:tabs>
        <w:tab w:val="center" w:pos="4153"/>
        <w:tab w:val="right" w:pos="8306"/>
      </w:tabs>
      <w:snapToGrid w:val="0"/>
      <w:jc w:val="left"/>
    </w:pPr>
    <w:rPr>
      <w:sz w:val="18"/>
      <w:szCs w:val="18"/>
    </w:rPr>
  </w:style>
  <w:style w:type="character" w:customStyle="1" w:styleId="Char0">
    <w:name w:val="页脚 Char"/>
    <w:basedOn w:val="a0"/>
    <w:link w:val="a5"/>
    <w:rsid w:val="0098274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4">
    <w:name w:val="header"/>
    <w:basedOn w:val="a"/>
    <w:link w:val="Char"/>
    <w:rsid w:val="009827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82741"/>
    <w:rPr>
      <w:kern w:val="2"/>
      <w:sz w:val="18"/>
      <w:szCs w:val="18"/>
    </w:rPr>
  </w:style>
  <w:style w:type="paragraph" w:styleId="a5">
    <w:name w:val="footer"/>
    <w:basedOn w:val="a"/>
    <w:link w:val="Char0"/>
    <w:rsid w:val="00982741"/>
    <w:pPr>
      <w:tabs>
        <w:tab w:val="center" w:pos="4153"/>
        <w:tab w:val="right" w:pos="8306"/>
      </w:tabs>
      <w:snapToGrid w:val="0"/>
      <w:jc w:val="left"/>
    </w:pPr>
    <w:rPr>
      <w:sz w:val="18"/>
      <w:szCs w:val="18"/>
    </w:rPr>
  </w:style>
  <w:style w:type="character" w:customStyle="1" w:styleId="Char0">
    <w:name w:val="页脚 Char"/>
    <w:basedOn w:val="a0"/>
    <w:link w:val="a5"/>
    <w:rsid w:val="0098274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29</Pages>
  <Words>7283</Words>
  <Characters>8595</Characters>
  <Application>Microsoft Office Word</Application>
  <DocSecurity>0</DocSecurity>
  <Lines>955</Lines>
  <Paragraphs>933</Paragraphs>
  <ScaleCrop>false</ScaleCrop>
  <Company/>
  <LinksUpToDate>false</LinksUpToDate>
  <CharactersWithSpaces>14945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spcicy</dc:creator>
  <cp:lastModifiedBy>lenovo1</cp:lastModifiedBy>
  <cp:revision>7</cp:revision>
  <dcterms:created xsi:type="dcterms:W3CDTF">2026-06-24T07:46:00Z</dcterms:created>
  <dcterms:modified xsi:type="dcterms:W3CDTF">2026-06-30T04:34:00Z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4F217755DE4C4957BD575DC3460FAB99</vt:lpwstr>
  </property>
</Properties>
</file>