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6F6" w:rsidRDefault="009766F6">
      <w:pPr>
        <w:spacing w:line="360" w:lineRule="auto"/>
        <w:rPr>
          <w:rFonts w:ascii="Times New Roman" w:eastAsia="仿宋" w:hAnsi="Times New Roman"/>
          <w:sz w:val="28"/>
          <w:szCs w:val="28"/>
        </w:rPr>
      </w:pPr>
    </w:p>
    <w:p w:rsidR="009766F6" w:rsidRDefault="00F92F2F">
      <w:pPr>
        <w:spacing w:line="660" w:lineRule="exact"/>
        <w:jc w:val="center"/>
        <w:rPr>
          <w:rFonts w:ascii="仿宋" w:eastAsia="仿宋" w:hAnsi="仿宋" w:cs="仿宋"/>
          <w:sz w:val="44"/>
          <w:szCs w:val="44"/>
        </w:rPr>
      </w:pPr>
      <w:r>
        <w:rPr>
          <w:rFonts w:ascii="Times New Roman" w:eastAsia="方正小标宋简体" w:hAnsi="Times New Roman"/>
          <w:b/>
          <w:sz w:val="44"/>
          <w:szCs w:val="44"/>
        </w:rPr>
        <w:t xml:space="preserve"> </w:t>
      </w:r>
      <w:r>
        <w:rPr>
          <w:rFonts w:ascii="Times New Roman" w:eastAsia="方正小标宋简体" w:hAnsi="Times New Roman"/>
          <w:sz w:val="44"/>
          <w:szCs w:val="44"/>
        </w:rPr>
        <w:t>2025</w:t>
      </w:r>
      <w:r>
        <w:rPr>
          <w:rFonts w:ascii="仿宋" w:eastAsia="仿宋" w:hAnsi="仿宋" w:cs="仿宋" w:hint="eastAsia"/>
          <w:b/>
          <w:bCs/>
          <w:sz w:val="44"/>
          <w:szCs w:val="44"/>
        </w:rPr>
        <w:t>年度南京市农业农村局现代蔬菜园艺高质量发展绩效评价报告</w:t>
      </w:r>
    </w:p>
    <w:p w:rsidR="009766F6" w:rsidRDefault="009766F6">
      <w:pPr>
        <w:spacing w:line="360" w:lineRule="auto"/>
        <w:ind w:firstLineChars="200" w:firstLine="560"/>
        <w:rPr>
          <w:rFonts w:ascii="Times New Roman" w:eastAsia="仿宋" w:hAnsi="Times New Roman"/>
          <w:sz w:val="28"/>
          <w:szCs w:val="28"/>
        </w:rPr>
      </w:pPr>
    </w:p>
    <w:p w:rsidR="009766F6" w:rsidRDefault="009766F6">
      <w:pPr>
        <w:spacing w:line="360" w:lineRule="auto"/>
        <w:ind w:firstLineChars="200" w:firstLine="560"/>
        <w:rPr>
          <w:rFonts w:ascii="Times New Roman" w:eastAsia="仿宋" w:hAnsi="Times New Roman"/>
          <w:sz w:val="28"/>
          <w:szCs w:val="28"/>
        </w:rPr>
      </w:pPr>
    </w:p>
    <w:p w:rsidR="009766F6" w:rsidRDefault="009766F6">
      <w:pPr>
        <w:spacing w:line="360" w:lineRule="auto"/>
        <w:ind w:firstLineChars="200" w:firstLine="560"/>
        <w:rPr>
          <w:rFonts w:ascii="Times New Roman" w:eastAsia="仿宋" w:hAnsi="Times New Roman"/>
          <w:sz w:val="28"/>
          <w:szCs w:val="28"/>
        </w:rPr>
      </w:pPr>
    </w:p>
    <w:p w:rsidR="009766F6" w:rsidRDefault="009766F6">
      <w:pPr>
        <w:spacing w:line="360" w:lineRule="auto"/>
        <w:ind w:firstLineChars="200" w:firstLine="560"/>
        <w:rPr>
          <w:rFonts w:ascii="Times New Roman" w:eastAsia="仿宋" w:hAnsi="Times New Roman"/>
          <w:sz w:val="28"/>
          <w:szCs w:val="28"/>
        </w:rPr>
      </w:pPr>
    </w:p>
    <w:p w:rsidR="009766F6" w:rsidRDefault="009766F6">
      <w:pPr>
        <w:spacing w:line="360" w:lineRule="auto"/>
        <w:ind w:firstLineChars="200" w:firstLine="560"/>
        <w:rPr>
          <w:rFonts w:ascii="Times New Roman" w:eastAsia="仿宋" w:hAnsi="Times New Roman"/>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rsidP="005B11D5">
      <w:pPr>
        <w:overflowPunct w:val="0"/>
        <w:autoSpaceDE w:val="0"/>
        <w:autoSpaceDN w:val="0"/>
        <w:adjustRightInd w:val="0"/>
        <w:spacing w:line="660" w:lineRule="exact"/>
        <w:ind w:firstLineChars="200" w:firstLine="561"/>
        <w:jc w:val="center"/>
        <w:textAlignment w:val="baseline"/>
        <w:rPr>
          <w:rFonts w:ascii="Times New Roman" w:eastAsia="方正楷体_GB2312" w:hAnsi="Times New Roman"/>
          <w:b/>
          <w:bCs/>
          <w:sz w:val="28"/>
          <w:szCs w:val="28"/>
        </w:rPr>
      </w:pPr>
    </w:p>
    <w:p w:rsidR="009766F6" w:rsidRDefault="009766F6">
      <w:pPr>
        <w:overflowPunct w:val="0"/>
        <w:autoSpaceDE w:val="0"/>
        <w:autoSpaceDN w:val="0"/>
        <w:adjustRightInd w:val="0"/>
        <w:spacing w:line="660" w:lineRule="exact"/>
        <w:textAlignment w:val="baseline"/>
        <w:rPr>
          <w:rFonts w:ascii="Times New Roman" w:eastAsia="方正楷体_GB2312" w:hAnsi="Times New Roman"/>
          <w:b/>
          <w:bCs/>
          <w:sz w:val="28"/>
          <w:szCs w:val="28"/>
        </w:rPr>
      </w:pPr>
    </w:p>
    <w:p w:rsidR="009766F6" w:rsidRDefault="00F92F2F">
      <w:pPr>
        <w:overflowPunct w:val="0"/>
        <w:autoSpaceDE w:val="0"/>
        <w:autoSpaceDN w:val="0"/>
        <w:adjustRightInd w:val="0"/>
        <w:spacing w:line="660" w:lineRule="exact"/>
        <w:ind w:firstLineChars="200" w:firstLine="880"/>
        <w:jc w:val="center"/>
        <w:textAlignment w:val="baseline"/>
        <w:rPr>
          <w:rFonts w:ascii="Times New Roman" w:eastAsia="仿宋" w:hAnsi="Times New Roman"/>
          <w:b/>
          <w:bCs/>
          <w:sz w:val="44"/>
          <w:szCs w:val="44"/>
        </w:rPr>
      </w:pPr>
      <w:r>
        <w:rPr>
          <w:rFonts w:ascii="Times New Roman" w:eastAsia="仿宋" w:hAnsi="Times New Roman"/>
          <w:sz w:val="44"/>
          <w:szCs w:val="44"/>
        </w:rPr>
        <w:t>2026</w:t>
      </w:r>
      <w:r>
        <w:rPr>
          <w:rFonts w:ascii="Times New Roman" w:eastAsia="仿宋" w:hAnsi="Times New Roman"/>
          <w:sz w:val="44"/>
          <w:szCs w:val="44"/>
        </w:rPr>
        <w:t>年</w:t>
      </w:r>
      <w:r>
        <w:rPr>
          <w:rFonts w:ascii="Times New Roman" w:eastAsia="仿宋" w:hAnsi="Times New Roman"/>
          <w:sz w:val="44"/>
          <w:szCs w:val="44"/>
        </w:rPr>
        <w:t>6</w:t>
      </w:r>
      <w:r>
        <w:rPr>
          <w:rFonts w:ascii="Times New Roman" w:eastAsia="仿宋" w:hAnsi="Times New Roman"/>
          <w:sz w:val="44"/>
          <w:szCs w:val="44"/>
        </w:rPr>
        <w:t>月</w:t>
      </w:r>
    </w:p>
    <w:p w:rsidR="009766F6" w:rsidRDefault="009766F6">
      <w:pPr>
        <w:adjustRightInd w:val="0"/>
        <w:snapToGrid w:val="0"/>
        <w:spacing w:line="360" w:lineRule="auto"/>
        <w:ind w:firstLineChars="200" w:firstLine="560"/>
        <w:rPr>
          <w:rFonts w:ascii="Times New Roman" w:eastAsia="仿宋" w:hAnsi="Times New Roman"/>
          <w:sz w:val="28"/>
          <w:szCs w:val="28"/>
        </w:rPr>
      </w:pPr>
    </w:p>
    <w:p w:rsidR="009766F6" w:rsidRDefault="009766F6">
      <w:pPr>
        <w:adjustRightInd w:val="0"/>
        <w:snapToGrid w:val="0"/>
        <w:spacing w:line="360" w:lineRule="auto"/>
        <w:ind w:firstLineChars="200" w:firstLine="560"/>
        <w:rPr>
          <w:rFonts w:ascii="Times New Roman" w:eastAsia="仿宋" w:hAnsi="Times New Roman"/>
          <w:sz w:val="28"/>
          <w:szCs w:val="28"/>
        </w:rPr>
        <w:sectPr w:rsidR="009766F6">
          <w:footerReference w:type="default" r:id="rId10"/>
          <w:pgSz w:w="11906" w:h="16838"/>
          <w:pgMar w:top="1440" w:right="1800" w:bottom="1440" w:left="1800" w:header="851" w:footer="992" w:gutter="0"/>
          <w:pgNumType w:fmt="numberInDash"/>
          <w:cols w:space="425"/>
          <w:docGrid w:type="lines" w:linePitch="312"/>
        </w:sectPr>
      </w:pPr>
    </w:p>
    <w:sdt>
      <w:sdtPr>
        <w:rPr>
          <w:rFonts w:ascii="Times New Roman" w:eastAsia="仿宋" w:hAnsi="Times New Roman"/>
          <w:sz w:val="28"/>
          <w:szCs w:val="28"/>
        </w:rPr>
        <w:id w:val="-2108213296"/>
        <w:docPartObj>
          <w:docPartGallery w:val="Table of Contents"/>
          <w:docPartUnique/>
        </w:docPartObj>
      </w:sdtPr>
      <w:sdtEndPr>
        <w:rPr>
          <w:sz w:val="24"/>
          <w:szCs w:val="24"/>
        </w:rPr>
      </w:sdtEndPr>
      <w:sdtContent>
        <w:p w:rsidR="009766F6" w:rsidRDefault="00F92F2F">
          <w:pPr>
            <w:spacing w:line="580" w:lineRule="exact"/>
            <w:jc w:val="center"/>
            <w:rPr>
              <w:rFonts w:ascii="Times New Roman" w:eastAsia="仿宋" w:hAnsi="Times New Roman"/>
              <w:sz w:val="28"/>
              <w:szCs w:val="28"/>
            </w:rPr>
          </w:pPr>
          <w:r>
            <w:rPr>
              <w:rFonts w:ascii="Times New Roman" w:eastAsia="方正仿宋_GB2312" w:hAnsi="Times New Roman"/>
              <w:sz w:val="28"/>
              <w:szCs w:val="28"/>
            </w:rPr>
            <w:t>目录</w:t>
          </w:r>
        </w:p>
        <w:p w:rsidR="009766F6" w:rsidRDefault="00F92F2F">
          <w:pPr>
            <w:pStyle w:val="10"/>
            <w:tabs>
              <w:tab w:val="right" w:leader="dot" w:pos="8306"/>
            </w:tabs>
            <w:rPr>
              <w:rFonts w:ascii="Times New Roman" w:hAnsi="Times New Roman"/>
              <w:sz w:val="24"/>
              <w:szCs w:val="24"/>
            </w:rPr>
          </w:pPr>
          <w:r>
            <w:rPr>
              <w:rFonts w:ascii="Times New Roman" w:eastAsia="仿宋" w:hAnsi="Times New Roman"/>
              <w:sz w:val="28"/>
              <w:szCs w:val="28"/>
            </w:rPr>
            <w:fldChar w:fldCharType="begin"/>
          </w:r>
          <w:r>
            <w:rPr>
              <w:rFonts w:ascii="Times New Roman" w:eastAsia="仿宋" w:hAnsi="Times New Roman"/>
              <w:sz w:val="28"/>
              <w:szCs w:val="28"/>
            </w:rPr>
            <w:instrText xml:space="preserve">TOC \o "1-2" \h \u </w:instrText>
          </w:r>
          <w:r>
            <w:rPr>
              <w:rFonts w:ascii="Times New Roman" w:eastAsia="仿宋" w:hAnsi="Times New Roman"/>
              <w:sz w:val="28"/>
              <w:szCs w:val="28"/>
            </w:rPr>
            <w:fldChar w:fldCharType="separate"/>
          </w:r>
          <w:hyperlink w:anchor="_Toc7794" w:history="1">
            <w:r>
              <w:rPr>
                <w:rFonts w:ascii="Times New Roman" w:eastAsia="黑体" w:hAnsi="Times New Roman"/>
                <w:sz w:val="24"/>
                <w:szCs w:val="24"/>
              </w:rPr>
              <w:t>一、项目情况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_Toc7794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xml:space="preserve">- 3 </w:t>
            </w:r>
            <w:r>
              <w:rPr>
                <w:rFonts w:ascii="Times New Roman" w:hAnsi="Times New Roman"/>
                <w:sz w:val="24"/>
                <w:szCs w:val="24"/>
              </w:rPr>
              <w:t>-</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7019" w:history="1">
            <w:r>
              <w:rPr>
                <w:rFonts w:ascii="Times New Roman" w:eastAsia="方正楷体_GB2312" w:hAnsi="Times New Roman"/>
                <w:sz w:val="24"/>
                <w:szCs w:val="24"/>
              </w:rPr>
              <w:t>（一）项目立项背景及目的</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_Toc7019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- 3 -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28676" w:history="1">
            <w:r>
              <w:rPr>
                <w:rFonts w:ascii="Times New Roman" w:eastAsia="方正楷体_GB2312" w:hAnsi="Times New Roman"/>
                <w:bCs/>
                <w:kern w:val="0"/>
                <w:sz w:val="24"/>
                <w:szCs w:val="24"/>
              </w:rPr>
              <w:t>（二）</w:t>
            </w:r>
            <w:r>
              <w:rPr>
                <w:rFonts w:ascii="Times New Roman" w:eastAsia="方正楷体_GB2312" w:hAnsi="Times New Roman"/>
                <w:sz w:val="24"/>
                <w:szCs w:val="24"/>
              </w:rPr>
              <w:t>项目立项依据</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_Toc28676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- 3 -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23515" w:history="1">
            <w:r>
              <w:rPr>
                <w:rFonts w:ascii="Times New Roman" w:eastAsia="方正楷体_GB2312" w:hAnsi="Times New Roman"/>
                <w:sz w:val="24"/>
                <w:szCs w:val="24"/>
              </w:rPr>
              <w:t>（三）项目主要内容</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_Toc23515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- 4 -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4053" w:history="1">
            <w:r>
              <w:rPr>
                <w:rFonts w:ascii="Times New Roman" w:eastAsia="方正楷体_GB2312" w:hAnsi="Times New Roman"/>
                <w:sz w:val="24"/>
                <w:szCs w:val="24"/>
              </w:rPr>
              <w:t>（四）项目资金情况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_Toc14053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xml:space="preserve">- 4 </w:t>
            </w:r>
            <w:r>
              <w:rPr>
                <w:rFonts w:ascii="Times New Roman" w:hAnsi="Times New Roman"/>
                <w:sz w:val="24"/>
                <w:szCs w:val="24"/>
              </w:rPr>
              <w:t>-</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30663" w:history="1">
            <w:r>
              <w:rPr>
                <w:rFonts w:ascii="Times New Roman" w:eastAsia="方正楷体_GB2312" w:hAnsi="Times New Roman"/>
                <w:bCs/>
                <w:sz w:val="24"/>
                <w:szCs w:val="24"/>
              </w:rPr>
              <w:t>（五）项目绩效目标</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_Toc30663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- 7 -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30221" w:history="1">
            <w:r>
              <w:rPr>
                <w:rFonts w:ascii="Times New Roman" w:eastAsia="方正楷体_GB2312" w:hAnsi="Times New Roman"/>
                <w:bCs/>
                <w:sz w:val="24"/>
                <w:szCs w:val="24"/>
              </w:rPr>
              <w:t>（六）</w:t>
            </w:r>
            <w:r>
              <w:rPr>
                <w:rFonts w:ascii="Times New Roman" w:eastAsia="方正楷体_GB2312" w:hAnsi="Times New Roman"/>
                <w:bCs/>
                <w:sz w:val="24"/>
                <w:szCs w:val="24"/>
              </w:rPr>
              <w:t xml:space="preserve"> </w:t>
            </w:r>
            <w:r>
              <w:rPr>
                <w:rFonts w:ascii="Times New Roman" w:eastAsia="方正楷体_GB2312" w:hAnsi="Times New Roman"/>
                <w:bCs/>
                <w:sz w:val="24"/>
                <w:szCs w:val="24"/>
              </w:rPr>
              <w:t>项目实施情况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_Toc30221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- 7</w:t>
            </w:r>
            <w:r>
              <w:rPr>
                <w:rFonts w:ascii="Times New Roman" w:hAnsi="Times New Roman"/>
                <w:sz w:val="24"/>
                <w:szCs w:val="24"/>
              </w:rPr>
              <w:t xml:space="preserve"> -</w:t>
            </w:r>
            <w:r>
              <w:rPr>
                <w:rFonts w:ascii="Times New Roman" w:hAnsi="Times New Roman"/>
                <w:sz w:val="24"/>
                <w:szCs w:val="24"/>
              </w:rPr>
              <w:fldChar w:fldCharType="end"/>
            </w:r>
          </w:hyperlink>
        </w:p>
        <w:p w:rsidR="009766F6" w:rsidRDefault="00F92F2F">
          <w:pPr>
            <w:pStyle w:val="10"/>
            <w:tabs>
              <w:tab w:val="right" w:leader="dot" w:pos="8306"/>
            </w:tabs>
            <w:rPr>
              <w:rFonts w:ascii="Times New Roman" w:hAnsi="Times New Roman"/>
              <w:sz w:val="24"/>
              <w:szCs w:val="24"/>
            </w:rPr>
          </w:pPr>
          <w:hyperlink w:anchor="_Toc21412" w:history="1">
            <w:r>
              <w:rPr>
                <w:rFonts w:ascii="Times New Roman" w:eastAsia="黑体" w:hAnsi="Times New Roman"/>
                <w:sz w:val="24"/>
                <w:szCs w:val="24"/>
              </w:rPr>
              <w:t>二、绩效评价结论</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_Toc21412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- 8 -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8213" w:history="1">
            <w:r>
              <w:rPr>
                <w:rFonts w:ascii="Times New Roman" w:eastAsia="方正楷体_GB2312" w:hAnsi="Times New Roman"/>
                <w:bCs/>
                <w:sz w:val="24"/>
                <w:szCs w:val="24"/>
              </w:rPr>
              <w:t>（一）评价对象及范围</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_Toc8213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- 8</w:t>
            </w:r>
            <w:r>
              <w:rPr>
                <w:rFonts w:ascii="Times New Roman" w:hAnsi="Times New Roman"/>
                <w:sz w:val="24"/>
                <w:szCs w:val="24"/>
              </w:rPr>
              <w:t xml:space="preserve">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32724" w:history="1">
            <w:r>
              <w:rPr>
                <w:rFonts w:ascii="Times New Roman" w:eastAsia="方正楷体_GB2312" w:hAnsi="Times New Roman"/>
                <w:bCs/>
                <w:sz w:val="24"/>
                <w:szCs w:val="24"/>
              </w:rPr>
              <w:t>（二）评价结论</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_Toc32724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- 8 -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29527" w:history="1">
            <w:r>
              <w:rPr>
                <w:rFonts w:ascii="Times New Roman" w:eastAsia="方正楷体_GB2312" w:hAnsi="Times New Roman"/>
                <w:bCs/>
                <w:sz w:val="24"/>
                <w:szCs w:val="24"/>
              </w:rPr>
              <w:t>（三）评价结果</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_Toc29527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- 9 -</w:t>
            </w:r>
            <w:r>
              <w:rPr>
                <w:rFonts w:ascii="Times New Roman" w:hAnsi="Times New Roman"/>
                <w:sz w:val="24"/>
                <w:szCs w:val="24"/>
              </w:rPr>
              <w:fldChar w:fldCharType="end"/>
            </w:r>
          </w:hyperlink>
        </w:p>
        <w:p w:rsidR="009766F6" w:rsidRDefault="00F92F2F">
          <w:pPr>
            <w:pStyle w:val="10"/>
            <w:tabs>
              <w:tab w:val="right" w:leader="dot" w:pos="8306"/>
            </w:tabs>
            <w:rPr>
              <w:rFonts w:ascii="Times New Roman" w:hAnsi="Times New Roman"/>
              <w:sz w:val="24"/>
              <w:szCs w:val="24"/>
            </w:rPr>
          </w:pPr>
          <w:hyperlink w:anchor="_Toc31419" w:history="1">
            <w:r>
              <w:rPr>
                <w:rFonts w:ascii="Times New Roman" w:eastAsia="黑体" w:hAnsi="Times New Roman"/>
                <w:sz w:val="24"/>
                <w:szCs w:val="24"/>
              </w:rPr>
              <w:t>三、项目主要成效</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_Toc31419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- 9 -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2341" w:history="1">
            <w:r>
              <w:rPr>
                <w:rFonts w:ascii="Times New Roman" w:eastAsia="方正楷体_GB2312" w:hAnsi="Times New Roman"/>
                <w:bCs/>
                <w:sz w:val="24"/>
                <w:szCs w:val="24"/>
              </w:rPr>
              <w:t>（一）筑牢</w:t>
            </w:r>
            <w:r>
              <w:rPr>
                <w:rFonts w:ascii="Times New Roman" w:eastAsia="方正楷体_GB2312" w:hAnsi="Times New Roman"/>
                <w:bCs/>
                <w:sz w:val="24"/>
                <w:szCs w:val="24"/>
              </w:rPr>
              <w:t>“</w:t>
            </w:r>
            <w:r>
              <w:rPr>
                <w:rFonts w:ascii="Times New Roman" w:eastAsia="方正楷体_GB2312" w:hAnsi="Times New Roman"/>
                <w:bCs/>
                <w:sz w:val="24"/>
                <w:szCs w:val="24"/>
              </w:rPr>
              <w:t>菜篮子</w:t>
            </w:r>
            <w:r>
              <w:rPr>
                <w:rFonts w:ascii="Times New Roman" w:eastAsia="方正楷体_GB2312" w:hAnsi="Times New Roman"/>
                <w:bCs/>
                <w:sz w:val="24"/>
                <w:szCs w:val="24"/>
              </w:rPr>
              <w:t>”</w:t>
            </w:r>
            <w:r>
              <w:rPr>
                <w:rFonts w:ascii="Times New Roman" w:eastAsia="方正楷体_GB2312" w:hAnsi="Times New Roman"/>
                <w:bCs/>
                <w:sz w:val="24"/>
                <w:szCs w:val="24"/>
              </w:rPr>
              <w:t>稳产保供根基，城市蔬菜供给韧性显著增强</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_Toc12341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- 9 -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6275" w:history="1">
            <w:r>
              <w:rPr>
                <w:rFonts w:ascii="Times New Roman" w:eastAsia="方正楷体_GB2312" w:hAnsi="Times New Roman"/>
                <w:bCs/>
                <w:sz w:val="24"/>
                <w:szCs w:val="24"/>
              </w:rPr>
              <w:t>（二）全面推广绿色防控技术</w:t>
            </w:r>
            <w:r>
              <w:rPr>
                <w:rFonts w:ascii="Times New Roman" w:eastAsia="方正楷体_GB2312" w:hAnsi="Times New Roman"/>
                <w:bCs/>
                <w:sz w:val="24"/>
                <w:szCs w:val="24"/>
              </w:rPr>
              <w:t>，</w:t>
            </w:r>
            <w:r>
              <w:rPr>
                <w:rFonts w:ascii="Times New Roman" w:eastAsia="方正楷体_GB2312" w:hAnsi="Times New Roman"/>
                <w:bCs/>
                <w:sz w:val="24"/>
                <w:szCs w:val="24"/>
              </w:rPr>
              <w:t>促进</w:t>
            </w:r>
            <w:r>
              <w:rPr>
                <w:rFonts w:ascii="Times New Roman" w:eastAsia="方正楷体_GB2312" w:hAnsi="Times New Roman"/>
                <w:bCs/>
                <w:sz w:val="24"/>
                <w:szCs w:val="24"/>
              </w:rPr>
              <w:t>蔬菜安全生产</w:t>
            </w:r>
            <w:r>
              <w:rPr>
                <w:rFonts w:ascii="Times New Roman" w:eastAsia="方正楷体_GB2312" w:hAnsi="Times New Roman"/>
                <w:bCs/>
                <w:sz w:val="24"/>
                <w:szCs w:val="24"/>
              </w:rPr>
              <w:t>，</w:t>
            </w:r>
            <w:r>
              <w:rPr>
                <w:rFonts w:ascii="Times New Roman" w:eastAsia="方正楷体_GB2312" w:hAnsi="Times New Roman"/>
                <w:bCs/>
                <w:sz w:val="24"/>
                <w:szCs w:val="24"/>
              </w:rPr>
              <w:t>推动</w:t>
            </w:r>
            <w:r>
              <w:rPr>
                <w:rFonts w:ascii="Times New Roman" w:eastAsia="方正楷体_GB2312" w:hAnsi="Times New Roman"/>
                <w:bCs/>
                <w:sz w:val="24"/>
                <w:szCs w:val="24"/>
              </w:rPr>
              <w:t>生态协同发展</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_Toc6275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- 10 -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6986" w:history="1">
            <w:r>
              <w:rPr>
                <w:rFonts w:ascii="Times New Roman" w:eastAsia="方正楷体_GB2312" w:hAnsi="Times New Roman"/>
                <w:bCs/>
                <w:sz w:val="24"/>
                <w:szCs w:val="24"/>
              </w:rPr>
              <w:t>（三）引进筛选优质果蔬新品种，优化品种结构，提升产业竞争力</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_Toc16986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- 10 -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26050" w:history="1">
            <w:r>
              <w:rPr>
                <w:rFonts w:ascii="Times New Roman" w:eastAsia="方正楷体_GB2312" w:hAnsi="Times New Roman"/>
                <w:bCs/>
                <w:sz w:val="24"/>
                <w:szCs w:val="24"/>
              </w:rPr>
              <w:t>（四）</w:t>
            </w:r>
            <w:r>
              <w:rPr>
                <w:rFonts w:ascii="Times New Roman" w:eastAsia="方正楷体_GB2312" w:hAnsi="Times New Roman"/>
                <w:bCs/>
                <w:sz w:val="24"/>
                <w:szCs w:val="24"/>
              </w:rPr>
              <w:t xml:space="preserve"> </w:t>
            </w:r>
            <w:r>
              <w:rPr>
                <w:rFonts w:ascii="Times New Roman" w:eastAsia="方正楷体_GB2312" w:hAnsi="Times New Roman"/>
                <w:bCs/>
                <w:sz w:val="24"/>
                <w:szCs w:val="24"/>
              </w:rPr>
              <w:t>加大现代化农业设施投入，装备提档升级、抗灾增效能力大幅提升</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_Toc26050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- 11 -</w:t>
            </w:r>
            <w:r>
              <w:rPr>
                <w:rFonts w:ascii="Times New Roman" w:hAnsi="Times New Roman"/>
                <w:sz w:val="24"/>
                <w:szCs w:val="24"/>
              </w:rPr>
              <w:fldChar w:fldCharType="end"/>
            </w:r>
          </w:hyperlink>
        </w:p>
        <w:p w:rsidR="009766F6" w:rsidRDefault="00F92F2F">
          <w:pPr>
            <w:pStyle w:val="10"/>
            <w:tabs>
              <w:tab w:val="right" w:leader="dot" w:pos="8306"/>
            </w:tabs>
            <w:rPr>
              <w:rFonts w:ascii="Times New Roman" w:hAnsi="Times New Roman"/>
              <w:sz w:val="24"/>
              <w:szCs w:val="24"/>
            </w:rPr>
          </w:pPr>
          <w:hyperlink w:anchor="_Toc32046" w:history="1">
            <w:r>
              <w:rPr>
                <w:rFonts w:ascii="Times New Roman" w:eastAsia="黑体" w:hAnsi="Times New Roman"/>
                <w:sz w:val="24"/>
                <w:szCs w:val="24"/>
              </w:rPr>
              <w:t>四、存在问题</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_Toc32046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- 11 -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7580" w:history="1">
            <w:r>
              <w:rPr>
                <w:rFonts w:ascii="Times New Roman" w:eastAsia="方正楷体_GB2312" w:hAnsi="Times New Roman"/>
                <w:bCs/>
                <w:sz w:val="24"/>
                <w:szCs w:val="24"/>
              </w:rPr>
              <w:t>（一）项目验收不及时</w:t>
            </w:r>
            <w:r>
              <w:rPr>
                <w:rFonts w:ascii="Times New Roman" w:eastAsia="方正楷体_GB2312" w:hAnsi="Times New Roman"/>
                <w:bCs/>
                <w:sz w:val="24"/>
                <w:szCs w:val="24"/>
              </w:rPr>
              <w:t>，</w:t>
            </w:r>
            <w:r>
              <w:rPr>
                <w:rFonts w:ascii="Times New Roman" w:eastAsia="方正楷体_GB2312" w:hAnsi="Times New Roman"/>
                <w:bCs/>
                <w:sz w:val="24"/>
                <w:szCs w:val="24"/>
              </w:rPr>
              <w:t>部分项目进度缓慢，资金执行率偏低</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_Toc17580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- 11 -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9678" w:history="1">
            <w:r>
              <w:rPr>
                <w:rFonts w:ascii="Times New Roman" w:eastAsia="方正楷体_GB2312" w:hAnsi="Times New Roman"/>
                <w:bCs/>
                <w:sz w:val="24"/>
                <w:szCs w:val="24"/>
              </w:rPr>
              <w:t>（二）</w:t>
            </w:r>
            <w:r>
              <w:rPr>
                <w:rFonts w:ascii="Times New Roman" w:eastAsia="方正楷体_GB2312" w:hAnsi="Times New Roman"/>
                <w:bCs/>
                <w:sz w:val="24"/>
                <w:szCs w:val="24"/>
              </w:rPr>
              <w:t>个别</w:t>
            </w:r>
            <w:r>
              <w:rPr>
                <w:rFonts w:ascii="Times New Roman" w:eastAsia="方正楷体_GB2312" w:hAnsi="Times New Roman"/>
                <w:bCs/>
                <w:sz w:val="24"/>
                <w:szCs w:val="24"/>
              </w:rPr>
              <w:t>项目</w:t>
            </w:r>
            <w:r>
              <w:rPr>
                <w:rFonts w:ascii="Times New Roman" w:eastAsia="方正楷体_GB2312" w:hAnsi="Times New Roman"/>
                <w:bCs/>
                <w:sz w:val="24"/>
                <w:szCs w:val="24"/>
              </w:rPr>
              <w:t>前期调研工作力度有待提升</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_Toc19678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- 11 -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6501" w:history="1">
            <w:r>
              <w:rPr>
                <w:rFonts w:ascii="Times New Roman" w:eastAsia="方正楷体_GB2312" w:hAnsi="Times New Roman"/>
                <w:bCs/>
                <w:sz w:val="24"/>
                <w:szCs w:val="24"/>
              </w:rPr>
              <w:t>（三）</w:t>
            </w:r>
            <w:r>
              <w:rPr>
                <w:rFonts w:ascii="Times New Roman" w:eastAsia="方正楷体_GB2312" w:hAnsi="Times New Roman"/>
                <w:bCs/>
                <w:sz w:val="24"/>
                <w:szCs w:val="24"/>
              </w:rPr>
              <w:t>个别</w:t>
            </w:r>
            <w:r>
              <w:rPr>
                <w:rFonts w:ascii="Times New Roman" w:eastAsia="方正楷体_GB2312" w:hAnsi="Times New Roman"/>
                <w:bCs/>
                <w:sz w:val="24"/>
                <w:szCs w:val="24"/>
              </w:rPr>
              <w:t>项目建设内容</w:t>
            </w:r>
            <w:r>
              <w:rPr>
                <w:rFonts w:ascii="Times New Roman" w:eastAsia="方正楷体_GB2312" w:hAnsi="Times New Roman"/>
                <w:bCs/>
                <w:sz w:val="24"/>
                <w:szCs w:val="24"/>
              </w:rPr>
              <w:t>与</w:t>
            </w:r>
            <w:r>
              <w:rPr>
                <w:rFonts w:ascii="Times New Roman" w:eastAsia="方正楷体_GB2312" w:hAnsi="Times New Roman"/>
                <w:bCs/>
                <w:sz w:val="24"/>
                <w:szCs w:val="24"/>
              </w:rPr>
              <w:t>批复</w:t>
            </w:r>
            <w:r>
              <w:rPr>
                <w:rFonts w:ascii="Times New Roman" w:eastAsia="方正楷体_GB2312" w:hAnsi="Times New Roman"/>
                <w:bCs/>
                <w:sz w:val="24"/>
                <w:szCs w:val="24"/>
              </w:rPr>
              <w:t>标准存在差异</w:t>
            </w:r>
            <w:r>
              <w:rPr>
                <w:rFonts w:ascii="Times New Roman" w:eastAsia="方正楷体_GB2312" w:hAnsi="Times New Roman"/>
                <w:bCs/>
                <w:sz w:val="24"/>
                <w:szCs w:val="24"/>
              </w:rPr>
              <w:t>，</w:t>
            </w:r>
            <w:r>
              <w:rPr>
                <w:rFonts w:ascii="Times New Roman" w:eastAsia="方正楷体_GB2312" w:hAnsi="Times New Roman"/>
                <w:bCs/>
                <w:sz w:val="24"/>
                <w:szCs w:val="24"/>
              </w:rPr>
              <w:t>个别</w:t>
            </w:r>
            <w:r>
              <w:rPr>
                <w:rFonts w:ascii="Times New Roman" w:eastAsia="方正楷体_GB2312" w:hAnsi="Times New Roman"/>
                <w:bCs/>
                <w:sz w:val="24"/>
                <w:szCs w:val="24"/>
              </w:rPr>
              <w:t>绿色防控物资剩余较多或已过保质期</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_Toc16501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- 12 -</w:t>
            </w:r>
            <w:r>
              <w:rPr>
                <w:rFonts w:ascii="Times New Roman" w:hAnsi="Times New Roman"/>
                <w:sz w:val="24"/>
                <w:szCs w:val="24"/>
              </w:rPr>
              <w:fldChar w:fldCharType="end"/>
            </w:r>
          </w:hyperlink>
        </w:p>
        <w:p w:rsidR="009766F6" w:rsidRDefault="00F92F2F">
          <w:pPr>
            <w:pStyle w:val="10"/>
            <w:tabs>
              <w:tab w:val="right" w:leader="dot" w:pos="8306"/>
            </w:tabs>
            <w:rPr>
              <w:rFonts w:ascii="Times New Roman" w:hAnsi="Times New Roman"/>
              <w:sz w:val="24"/>
              <w:szCs w:val="24"/>
            </w:rPr>
          </w:pPr>
          <w:hyperlink w:anchor="_Toc2207" w:history="1">
            <w:r>
              <w:rPr>
                <w:rFonts w:ascii="Times New Roman" w:eastAsia="黑体" w:hAnsi="Times New Roman"/>
                <w:sz w:val="24"/>
                <w:szCs w:val="24"/>
              </w:rPr>
              <w:t>五、评价建议</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_Toc2207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- 13 -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2547" w:history="1">
            <w:r>
              <w:rPr>
                <w:rFonts w:ascii="Times New Roman" w:eastAsia="方正楷体_GB2312" w:hAnsi="Times New Roman"/>
                <w:bCs/>
                <w:sz w:val="24"/>
                <w:szCs w:val="24"/>
              </w:rPr>
              <w:t>（一）加强项目全流程管理，加快项目实施进度</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_Toc12547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w:t>
            </w:r>
            <w:r>
              <w:rPr>
                <w:rFonts w:ascii="Times New Roman" w:hAnsi="Times New Roman"/>
                <w:sz w:val="24"/>
                <w:szCs w:val="24"/>
              </w:rPr>
              <w:t xml:space="preserve"> 13 -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4363" w:history="1">
            <w:r>
              <w:rPr>
                <w:rFonts w:ascii="Times New Roman" w:eastAsia="方正楷体_GB2312" w:hAnsi="Times New Roman"/>
                <w:bCs/>
                <w:sz w:val="24"/>
                <w:szCs w:val="24"/>
              </w:rPr>
              <w:t>（二）合理分配项目资金，全面了解实施主体经营状况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_Toc14363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- 13 -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22841" w:history="1">
            <w:r>
              <w:rPr>
                <w:rFonts w:ascii="Times New Roman" w:eastAsia="方正楷体_GB2312" w:hAnsi="Times New Roman"/>
                <w:bCs/>
                <w:sz w:val="24"/>
                <w:szCs w:val="24"/>
              </w:rPr>
              <w:t>（三）加强项目监督，保障项目内容按质按量完成</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w:instrText>
            </w:r>
            <w:r>
              <w:rPr>
                <w:rFonts w:ascii="Times New Roman" w:hAnsi="Times New Roman"/>
                <w:sz w:val="24"/>
                <w:szCs w:val="24"/>
              </w:rPr>
              <w:instrText xml:space="preserve">PAGEREF _Toc22841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- 13 -</w:t>
            </w:r>
            <w:r>
              <w:rPr>
                <w:rFonts w:ascii="Times New Roman" w:hAnsi="Times New Roman"/>
                <w:sz w:val="24"/>
                <w:szCs w:val="24"/>
              </w:rPr>
              <w:fldChar w:fldCharType="end"/>
            </w:r>
          </w:hyperlink>
        </w:p>
        <w:p w:rsidR="009766F6" w:rsidRDefault="00F92F2F">
          <w:pPr>
            <w:pStyle w:val="10"/>
            <w:tabs>
              <w:tab w:val="right" w:leader="dot" w:pos="8306"/>
            </w:tabs>
            <w:rPr>
              <w:rFonts w:ascii="Times New Roman" w:hAnsi="Times New Roman"/>
              <w:sz w:val="24"/>
              <w:szCs w:val="24"/>
            </w:rPr>
          </w:pPr>
          <w:hyperlink w:anchor="_Toc27938" w:history="1">
            <w:r>
              <w:rPr>
                <w:rFonts w:ascii="Times New Roman" w:eastAsia="黑体" w:hAnsi="Times New Roman"/>
                <w:sz w:val="24"/>
                <w:szCs w:val="24"/>
              </w:rPr>
              <w:t>六、评价工作开展情况及其他需说明的情况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_Toc27938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- 14 -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15433" w:history="1">
            <w:r>
              <w:rPr>
                <w:rFonts w:ascii="Times New Roman" w:eastAsia="方正楷体_GB2312" w:hAnsi="Times New Roman"/>
                <w:bCs/>
                <w:sz w:val="24"/>
                <w:szCs w:val="24"/>
              </w:rPr>
              <w:t>（一）绩效评价工作情况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_Toc15433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- 14 -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sz w:val="24"/>
              <w:szCs w:val="24"/>
            </w:rPr>
          </w:pPr>
          <w:hyperlink w:anchor="_Toc7198" w:history="1">
            <w:r>
              <w:rPr>
                <w:rFonts w:ascii="Times New Roman" w:eastAsia="方正楷体_GB2312" w:hAnsi="Times New Roman"/>
                <w:bCs/>
                <w:sz w:val="24"/>
                <w:szCs w:val="24"/>
              </w:rPr>
              <w:t>（二）绩效分析</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_Toc7198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- 16 -</w:t>
            </w:r>
            <w:r>
              <w:rPr>
                <w:rFonts w:ascii="Times New Roman" w:hAnsi="Times New Roman"/>
                <w:sz w:val="24"/>
                <w:szCs w:val="24"/>
              </w:rPr>
              <w:fldChar w:fldCharType="end"/>
            </w:r>
          </w:hyperlink>
        </w:p>
        <w:p w:rsidR="009766F6" w:rsidRDefault="00F92F2F" w:rsidP="005B11D5">
          <w:pPr>
            <w:pStyle w:val="20"/>
            <w:tabs>
              <w:tab w:val="right" w:leader="dot" w:pos="8306"/>
            </w:tabs>
            <w:ind w:left="420"/>
            <w:rPr>
              <w:rFonts w:ascii="Times New Roman" w:hAnsi="Times New Roman"/>
            </w:rPr>
          </w:pPr>
          <w:hyperlink w:anchor="_Toc2807" w:history="1">
            <w:r>
              <w:rPr>
                <w:rFonts w:ascii="Times New Roman" w:eastAsia="方正楷体_GB2312" w:hAnsi="Times New Roman"/>
                <w:bCs/>
                <w:sz w:val="24"/>
                <w:szCs w:val="24"/>
              </w:rPr>
              <w:t>（三）其他事项说明</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_Toc2807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- 19 -</w:t>
            </w:r>
            <w:r>
              <w:rPr>
                <w:rFonts w:ascii="Times New Roman" w:hAnsi="Times New Roman"/>
                <w:sz w:val="24"/>
                <w:szCs w:val="24"/>
              </w:rPr>
              <w:fldChar w:fldCharType="end"/>
            </w:r>
          </w:hyperlink>
        </w:p>
        <w:p w:rsidR="009766F6" w:rsidRDefault="00F92F2F" w:rsidP="005B11D5">
          <w:pPr>
            <w:pStyle w:val="20"/>
            <w:tabs>
              <w:tab w:val="right" w:leader="dot" w:pos="8296"/>
            </w:tabs>
            <w:spacing w:line="540" w:lineRule="exact"/>
            <w:ind w:left="420"/>
            <w:rPr>
              <w:rFonts w:ascii="Times New Roman" w:hAnsi="Times New Roman"/>
            </w:rPr>
          </w:pPr>
          <w:r>
            <w:rPr>
              <w:rFonts w:ascii="Times New Roman" w:eastAsia="仿宋" w:hAnsi="Times New Roman"/>
              <w:szCs w:val="28"/>
            </w:rPr>
            <w:fldChar w:fldCharType="end"/>
          </w:r>
        </w:p>
      </w:sdtContent>
    </w:sdt>
    <w:p w:rsidR="009766F6" w:rsidRDefault="009766F6">
      <w:pPr>
        <w:spacing w:line="560" w:lineRule="exact"/>
        <w:ind w:firstLineChars="200" w:firstLine="560"/>
        <w:rPr>
          <w:rFonts w:ascii="Times New Roman" w:eastAsia="仿宋" w:hAnsi="Times New Roman"/>
          <w:bCs/>
          <w:kern w:val="0"/>
          <w:sz w:val="28"/>
          <w:szCs w:val="28"/>
        </w:rPr>
        <w:sectPr w:rsidR="009766F6">
          <w:footerReference w:type="default" r:id="rId11"/>
          <w:pgSz w:w="11906" w:h="16838"/>
          <w:pgMar w:top="1440" w:right="1800" w:bottom="1440" w:left="1800" w:header="851" w:footer="992" w:gutter="0"/>
          <w:pgNumType w:fmt="numberInDash"/>
          <w:cols w:space="425"/>
          <w:docGrid w:type="lines" w:linePitch="312"/>
        </w:sectPr>
      </w:pPr>
    </w:p>
    <w:p w:rsidR="009766F6" w:rsidRDefault="00F92F2F">
      <w:pPr>
        <w:spacing w:line="560" w:lineRule="exact"/>
        <w:ind w:firstLineChars="200" w:firstLine="640"/>
        <w:rPr>
          <w:rFonts w:ascii="Times New Roman" w:eastAsia="仿宋" w:hAnsi="Times New Roman"/>
          <w:bCs/>
          <w:kern w:val="0"/>
          <w:sz w:val="32"/>
          <w:szCs w:val="32"/>
        </w:rPr>
      </w:pPr>
      <w:r>
        <w:rPr>
          <w:rFonts w:ascii="Times New Roman" w:eastAsia="仿宋" w:hAnsi="Times New Roman"/>
          <w:bCs/>
          <w:kern w:val="0"/>
          <w:sz w:val="32"/>
          <w:szCs w:val="32"/>
        </w:rPr>
        <w:lastRenderedPageBreak/>
        <w:t>为进一步加强财政支出管理，合理配置财政资源，提高财政资金使用效益和财政支出管理水平，根据《南京市市级预算绩效管理办法》（宁委办厅字〔</w:t>
      </w:r>
      <w:r>
        <w:rPr>
          <w:rFonts w:ascii="Times New Roman" w:eastAsia="仿宋" w:hAnsi="Times New Roman"/>
          <w:bCs/>
          <w:kern w:val="0"/>
          <w:sz w:val="32"/>
          <w:szCs w:val="32"/>
        </w:rPr>
        <w:t>2024</w:t>
      </w:r>
      <w:r>
        <w:rPr>
          <w:rFonts w:ascii="Times New Roman" w:eastAsia="仿宋" w:hAnsi="Times New Roman"/>
          <w:bCs/>
          <w:kern w:val="0"/>
          <w:sz w:val="32"/>
          <w:szCs w:val="32"/>
        </w:rPr>
        <w:t>〕</w:t>
      </w:r>
      <w:r>
        <w:rPr>
          <w:rFonts w:ascii="Times New Roman" w:eastAsia="仿宋" w:hAnsi="Times New Roman"/>
          <w:bCs/>
          <w:kern w:val="0"/>
          <w:sz w:val="32"/>
          <w:szCs w:val="32"/>
        </w:rPr>
        <w:t>2</w:t>
      </w:r>
      <w:r>
        <w:rPr>
          <w:rFonts w:ascii="Times New Roman" w:eastAsia="仿宋" w:hAnsi="Times New Roman"/>
          <w:bCs/>
          <w:kern w:val="0"/>
          <w:sz w:val="32"/>
          <w:szCs w:val="32"/>
        </w:rPr>
        <w:t>号）《市政府办公厅关于转发市财政局南京市级财政预算绩效管理办法的通知》（宁政办发〔</w:t>
      </w:r>
      <w:r>
        <w:rPr>
          <w:rFonts w:ascii="Times New Roman" w:eastAsia="仿宋" w:hAnsi="Times New Roman"/>
          <w:bCs/>
          <w:kern w:val="0"/>
          <w:sz w:val="32"/>
          <w:szCs w:val="32"/>
        </w:rPr>
        <w:t>2015</w:t>
      </w:r>
      <w:r>
        <w:rPr>
          <w:rFonts w:ascii="Times New Roman" w:eastAsia="仿宋" w:hAnsi="Times New Roman"/>
          <w:bCs/>
          <w:kern w:val="0"/>
          <w:sz w:val="32"/>
          <w:szCs w:val="32"/>
        </w:rPr>
        <w:t>〕</w:t>
      </w:r>
      <w:r>
        <w:rPr>
          <w:rFonts w:ascii="Times New Roman" w:eastAsia="仿宋" w:hAnsi="Times New Roman"/>
          <w:bCs/>
          <w:kern w:val="0"/>
          <w:sz w:val="32"/>
          <w:szCs w:val="32"/>
        </w:rPr>
        <w:t>1</w:t>
      </w:r>
      <w:r>
        <w:rPr>
          <w:rFonts w:ascii="Times New Roman" w:eastAsia="仿宋" w:hAnsi="Times New Roman"/>
          <w:bCs/>
          <w:kern w:val="0"/>
          <w:sz w:val="32"/>
          <w:szCs w:val="32"/>
        </w:rPr>
        <w:t>号）《南京市市级财政预算绩效评价操作规程（试行）》（宁财绩〔</w:t>
      </w:r>
      <w:r>
        <w:rPr>
          <w:rFonts w:ascii="Times New Roman" w:eastAsia="仿宋" w:hAnsi="Times New Roman"/>
          <w:bCs/>
          <w:kern w:val="0"/>
          <w:sz w:val="32"/>
          <w:szCs w:val="32"/>
        </w:rPr>
        <w:t>2020</w:t>
      </w:r>
      <w:r>
        <w:rPr>
          <w:rFonts w:ascii="Times New Roman" w:eastAsia="仿宋" w:hAnsi="Times New Roman"/>
          <w:bCs/>
          <w:kern w:val="0"/>
          <w:sz w:val="32"/>
          <w:szCs w:val="32"/>
        </w:rPr>
        <w:t>〕</w:t>
      </w:r>
      <w:r>
        <w:rPr>
          <w:rFonts w:ascii="Times New Roman" w:eastAsia="仿宋" w:hAnsi="Times New Roman"/>
          <w:bCs/>
          <w:kern w:val="0"/>
          <w:sz w:val="32"/>
          <w:szCs w:val="32"/>
        </w:rPr>
        <w:t>260</w:t>
      </w:r>
      <w:r>
        <w:rPr>
          <w:rFonts w:ascii="Times New Roman" w:eastAsia="仿宋" w:hAnsi="Times New Roman"/>
          <w:bCs/>
          <w:kern w:val="0"/>
          <w:sz w:val="32"/>
          <w:szCs w:val="32"/>
        </w:rPr>
        <w:t>号）《关于印发</w:t>
      </w:r>
      <w:r>
        <w:rPr>
          <w:rFonts w:ascii="Times New Roman" w:eastAsia="仿宋" w:hAnsi="Times New Roman"/>
          <w:bCs/>
          <w:kern w:val="0"/>
          <w:sz w:val="32"/>
          <w:szCs w:val="32"/>
        </w:rPr>
        <w:t>2024</w:t>
      </w:r>
      <w:r>
        <w:rPr>
          <w:rFonts w:ascii="Times New Roman" w:eastAsia="仿宋" w:hAnsi="Times New Roman"/>
          <w:bCs/>
          <w:kern w:val="0"/>
          <w:sz w:val="32"/>
          <w:szCs w:val="32"/>
        </w:rPr>
        <w:t>年南京市市级预算部门（单位）绩效管理工作要求的通知》（宁财绩〔</w:t>
      </w:r>
      <w:r>
        <w:rPr>
          <w:rFonts w:ascii="Times New Roman" w:eastAsia="仿宋" w:hAnsi="Times New Roman"/>
          <w:bCs/>
          <w:kern w:val="0"/>
          <w:sz w:val="32"/>
          <w:szCs w:val="32"/>
        </w:rPr>
        <w:t>2024</w:t>
      </w:r>
      <w:r>
        <w:rPr>
          <w:rFonts w:ascii="Times New Roman" w:eastAsia="仿宋" w:hAnsi="Times New Roman"/>
          <w:bCs/>
          <w:kern w:val="0"/>
          <w:sz w:val="32"/>
          <w:szCs w:val="32"/>
        </w:rPr>
        <w:t>〕</w:t>
      </w:r>
      <w:r>
        <w:rPr>
          <w:rFonts w:ascii="Times New Roman" w:eastAsia="仿宋" w:hAnsi="Times New Roman"/>
          <w:bCs/>
          <w:kern w:val="0"/>
          <w:sz w:val="32"/>
          <w:szCs w:val="32"/>
        </w:rPr>
        <w:t>72</w:t>
      </w:r>
      <w:r>
        <w:rPr>
          <w:rFonts w:ascii="Times New Roman" w:eastAsia="仿宋" w:hAnsi="Times New Roman"/>
          <w:bCs/>
          <w:kern w:val="0"/>
          <w:sz w:val="32"/>
          <w:szCs w:val="32"/>
        </w:rPr>
        <w:t>号）等文件精神的相关要求，我局对</w:t>
      </w:r>
      <w:r>
        <w:rPr>
          <w:rFonts w:ascii="Times New Roman" w:eastAsia="仿宋" w:hAnsi="Times New Roman"/>
          <w:bCs/>
          <w:kern w:val="0"/>
          <w:sz w:val="32"/>
          <w:szCs w:val="32"/>
        </w:rPr>
        <w:t>2025</w:t>
      </w:r>
      <w:r>
        <w:rPr>
          <w:rFonts w:ascii="Times New Roman" w:eastAsia="仿宋" w:hAnsi="Times New Roman"/>
          <w:bCs/>
          <w:kern w:val="0"/>
          <w:sz w:val="32"/>
          <w:szCs w:val="32"/>
        </w:rPr>
        <w:t>年南京市现代蔬菜园艺高质量发展项目资金实施进行了绩效自评价。</w:t>
      </w:r>
      <w:r>
        <w:rPr>
          <w:rFonts w:ascii="Times New Roman" w:eastAsia="仿宋" w:hAnsi="Times New Roman"/>
          <w:bCs/>
          <w:kern w:val="0"/>
          <w:sz w:val="32"/>
          <w:szCs w:val="32"/>
        </w:rPr>
        <w:t>在自评价过程中，结合项目实际情况，委托第三方机构协助实施了数据和资料收集、现场核查、发放调查问卷等必要的评价程序，现将评价情况及结果报告如下：</w:t>
      </w:r>
    </w:p>
    <w:p w:rsidR="009766F6" w:rsidRDefault="00F92F2F">
      <w:pPr>
        <w:pStyle w:val="1"/>
        <w:spacing w:before="0" w:after="0" w:line="560" w:lineRule="exact"/>
        <w:ind w:firstLineChars="200" w:firstLine="640"/>
        <w:rPr>
          <w:rFonts w:ascii="Times New Roman" w:eastAsia="黑体" w:hAnsi="Times New Roman"/>
          <w:sz w:val="32"/>
          <w:szCs w:val="32"/>
        </w:rPr>
      </w:pPr>
      <w:bookmarkStart w:id="0" w:name="_Toc20664"/>
      <w:bookmarkStart w:id="1" w:name="_Toc7794"/>
      <w:r>
        <w:rPr>
          <w:rFonts w:ascii="Times New Roman" w:eastAsia="黑体" w:hAnsi="Times New Roman"/>
          <w:b w:val="0"/>
          <w:bCs w:val="0"/>
          <w:sz w:val="32"/>
          <w:szCs w:val="32"/>
        </w:rPr>
        <w:t>一、项目</w:t>
      </w:r>
      <w:bookmarkEnd w:id="0"/>
      <w:r>
        <w:rPr>
          <w:rFonts w:ascii="Times New Roman" w:eastAsia="黑体" w:hAnsi="Times New Roman"/>
          <w:b w:val="0"/>
          <w:bCs w:val="0"/>
          <w:sz w:val="32"/>
          <w:szCs w:val="32"/>
        </w:rPr>
        <w:t>情况</w:t>
      </w:r>
      <w:bookmarkEnd w:id="1"/>
    </w:p>
    <w:p w:rsidR="009766F6" w:rsidRDefault="00F92F2F">
      <w:pPr>
        <w:pStyle w:val="2"/>
        <w:spacing w:before="0" w:after="0" w:line="560" w:lineRule="exact"/>
        <w:ind w:firstLineChars="200" w:firstLine="640"/>
        <w:rPr>
          <w:rFonts w:ascii="Times New Roman" w:eastAsia="仿宋" w:hAnsi="Times New Roman"/>
          <w:b w:val="0"/>
          <w:szCs w:val="32"/>
        </w:rPr>
      </w:pPr>
      <w:bookmarkStart w:id="2" w:name="_Toc17234"/>
      <w:bookmarkStart w:id="3" w:name="_Toc7019"/>
      <w:r>
        <w:rPr>
          <w:rFonts w:ascii="Times New Roman" w:eastAsia="仿宋" w:hAnsi="Times New Roman"/>
          <w:b w:val="0"/>
          <w:szCs w:val="32"/>
        </w:rPr>
        <w:t>（一）项目立项背景</w:t>
      </w:r>
      <w:bookmarkEnd w:id="2"/>
      <w:r>
        <w:rPr>
          <w:rFonts w:ascii="Times New Roman" w:eastAsia="仿宋" w:hAnsi="Times New Roman"/>
          <w:b w:val="0"/>
          <w:szCs w:val="32"/>
        </w:rPr>
        <w:t>及目的</w:t>
      </w:r>
      <w:bookmarkEnd w:id="3"/>
    </w:p>
    <w:p w:rsidR="009766F6" w:rsidRDefault="00F92F2F">
      <w:pPr>
        <w:spacing w:line="560" w:lineRule="exact"/>
        <w:ind w:firstLineChars="200" w:firstLine="640"/>
        <w:rPr>
          <w:rFonts w:ascii="Times New Roman" w:eastAsia="仿宋" w:hAnsi="Times New Roman"/>
          <w:bCs/>
          <w:kern w:val="0"/>
          <w:sz w:val="32"/>
          <w:szCs w:val="32"/>
        </w:rPr>
      </w:pPr>
      <w:r>
        <w:rPr>
          <w:rFonts w:ascii="Times New Roman" w:eastAsia="仿宋" w:hAnsi="Times New Roman"/>
          <w:bCs/>
          <w:kern w:val="0"/>
          <w:sz w:val="32"/>
          <w:szCs w:val="32"/>
        </w:rPr>
        <w:t>为落实《南京市</w:t>
      </w:r>
      <w:r>
        <w:rPr>
          <w:rFonts w:ascii="Times New Roman" w:eastAsia="仿宋" w:hAnsi="Times New Roman"/>
          <w:bCs/>
          <w:kern w:val="0"/>
          <w:sz w:val="32"/>
          <w:szCs w:val="32"/>
        </w:rPr>
        <w:t>“</w:t>
      </w:r>
      <w:r>
        <w:rPr>
          <w:rFonts w:ascii="Times New Roman" w:eastAsia="仿宋" w:hAnsi="Times New Roman"/>
          <w:bCs/>
          <w:kern w:val="0"/>
          <w:sz w:val="32"/>
          <w:szCs w:val="32"/>
        </w:rPr>
        <w:t>菜篮子</w:t>
      </w:r>
      <w:r>
        <w:rPr>
          <w:rFonts w:ascii="Times New Roman" w:eastAsia="仿宋" w:hAnsi="Times New Roman"/>
          <w:bCs/>
          <w:kern w:val="0"/>
          <w:sz w:val="32"/>
          <w:szCs w:val="32"/>
        </w:rPr>
        <w:t>”</w:t>
      </w:r>
      <w:r>
        <w:rPr>
          <w:rFonts w:ascii="Times New Roman" w:eastAsia="仿宋" w:hAnsi="Times New Roman"/>
          <w:bCs/>
          <w:kern w:val="0"/>
          <w:sz w:val="32"/>
          <w:szCs w:val="32"/>
        </w:rPr>
        <w:t>工程绿色蔬菜保供基地建设</w:t>
      </w:r>
      <w:r>
        <w:rPr>
          <w:rFonts w:ascii="Times New Roman" w:eastAsia="仿宋" w:hAnsi="Times New Roman"/>
          <w:bCs/>
          <w:kern w:val="0"/>
          <w:sz w:val="32"/>
          <w:szCs w:val="32"/>
        </w:rPr>
        <w:t>“</w:t>
      </w:r>
      <w:r>
        <w:rPr>
          <w:rFonts w:ascii="Times New Roman" w:eastAsia="仿宋" w:hAnsi="Times New Roman"/>
          <w:bCs/>
          <w:kern w:val="0"/>
          <w:sz w:val="32"/>
          <w:szCs w:val="32"/>
        </w:rPr>
        <w:t>十四五</w:t>
      </w:r>
      <w:r>
        <w:rPr>
          <w:rFonts w:ascii="Times New Roman" w:eastAsia="仿宋" w:hAnsi="Times New Roman"/>
          <w:bCs/>
          <w:kern w:val="0"/>
          <w:sz w:val="32"/>
          <w:szCs w:val="32"/>
        </w:rPr>
        <w:t>”</w:t>
      </w:r>
      <w:r>
        <w:rPr>
          <w:rFonts w:ascii="Times New Roman" w:eastAsia="仿宋" w:hAnsi="Times New Roman"/>
          <w:bCs/>
          <w:kern w:val="0"/>
          <w:sz w:val="32"/>
          <w:szCs w:val="32"/>
        </w:rPr>
        <w:t>规划》《</w:t>
      </w:r>
      <w:r>
        <w:rPr>
          <w:rFonts w:ascii="Times New Roman" w:eastAsia="仿宋" w:hAnsi="Times New Roman"/>
          <w:bCs/>
          <w:kern w:val="0"/>
          <w:sz w:val="32"/>
          <w:szCs w:val="32"/>
        </w:rPr>
        <w:t>“</w:t>
      </w:r>
      <w:r>
        <w:rPr>
          <w:rFonts w:ascii="Times New Roman" w:eastAsia="仿宋" w:hAnsi="Times New Roman"/>
          <w:bCs/>
          <w:kern w:val="0"/>
          <w:sz w:val="32"/>
          <w:szCs w:val="32"/>
        </w:rPr>
        <w:t>菜篮子</w:t>
      </w:r>
      <w:r>
        <w:rPr>
          <w:rFonts w:ascii="Times New Roman" w:eastAsia="仿宋" w:hAnsi="Times New Roman"/>
          <w:bCs/>
          <w:kern w:val="0"/>
          <w:sz w:val="32"/>
          <w:szCs w:val="32"/>
        </w:rPr>
        <w:t>”</w:t>
      </w:r>
      <w:r>
        <w:rPr>
          <w:rFonts w:ascii="Times New Roman" w:eastAsia="仿宋" w:hAnsi="Times New Roman"/>
          <w:bCs/>
          <w:kern w:val="0"/>
          <w:sz w:val="32"/>
          <w:szCs w:val="32"/>
        </w:rPr>
        <w:t>市长负责制考核办法实施细则》，稳定城市蔬菜供给、推动蔬菜产业绿色转型、补齐设施农业短板、优化果蔬品种结构，</w:t>
      </w:r>
      <w:r>
        <w:rPr>
          <w:rFonts w:ascii="Times New Roman" w:eastAsia="仿宋" w:hAnsi="Times New Roman"/>
          <w:bCs/>
          <w:kern w:val="0"/>
          <w:sz w:val="32"/>
          <w:szCs w:val="32"/>
        </w:rPr>
        <w:t>2025</w:t>
      </w:r>
      <w:r>
        <w:rPr>
          <w:rFonts w:ascii="Times New Roman" w:eastAsia="仿宋" w:hAnsi="Times New Roman"/>
          <w:bCs/>
          <w:kern w:val="0"/>
          <w:sz w:val="32"/>
          <w:szCs w:val="32"/>
        </w:rPr>
        <w:t>年南京市现代蔬菜园艺高质量发展项目专项资金，聚焦江宁、浦口、六合、溧水、高淳、栖霞等蔬菜主产区，实施基地升级、绿色防控、新品种引育、设施提</w:t>
      </w:r>
      <w:r>
        <w:rPr>
          <w:rFonts w:ascii="Times New Roman" w:eastAsia="仿宋" w:hAnsi="Times New Roman"/>
          <w:bCs/>
          <w:kern w:val="0"/>
          <w:sz w:val="32"/>
          <w:szCs w:val="32"/>
        </w:rPr>
        <w:t>升四大核心工程，夯实都市型</w:t>
      </w:r>
      <w:r>
        <w:rPr>
          <w:rFonts w:ascii="Times New Roman" w:eastAsia="仿宋" w:hAnsi="Times New Roman"/>
          <w:bCs/>
          <w:kern w:val="0"/>
          <w:sz w:val="32"/>
          <w:szCs w:val="32"/>
        </w:rPr>
        <w:t>“</w:t>
      </w:r>
      <w:r>
        <w:rPr>
          <w:rFonts w:ascii="Times New Roman" w:eastAsia="仿宋" w:hAnsi="Times New Roman"/>
          <w:bCs/>
          <w:kern w:val="0"/>
          <w:sz w:val="32"/>
          <w:szCs w:val="32"/>
        </w:rPr>
        <w:t>菜篮子</w:t>
      </w:r>
      <w:r>
        <w:rPr>
          <w:rFonts w:ascii="Times New Roman" w:eastAsia="仿宋" w:hAnsi="Times New Roman"/>
          <w:bCs/>
          <w:kern w:val="0"/>
          <w:sz w:val="32"/>
          <w:szCs w:val="32"/>
        </w:rPr>
        <w:t>”</w:t>
      </w:r>
      <w:r>
        <w:rPr>
          <w:rFonts w:ascii="Times New Roman" w:eastAsia="仿宋" w:hAnsi="Times New Roman"/>
          <w:bCs/>
          <w:kern w:val="0"/>
          <w:sz w:val="32"/>
          <w:szCs w:val="32"/>
        </w:rPr>
        <w:t>保供基础，打造长三角绿色蔬菜产业示范样板。</w:t>
      </w:r>
    </w:p>
    <w:p w:rsidR="009766F6" w:rsidRDefault="00F92F2F">
      <w:pPr>
        <w:pStyle w:val="2"/>
        <w:spacing w:before="0" w:after="0" w:line="560" w:lineRule="exact"/>
        <w:ind w:firstLineChars="200" w:firstLine="643"/>
        <w:rPr>
          <w:rFonts w:ascii="Times New Roman" w:eastAsia="仿宋" w:hAnsi="Times New Roman"/>
          <w:b w:val="0"/>
          <w:szCs w:val="32"/>
        </w:rPr>
      </w:pPr>
      <w:bookmarkStart w:id="4" w:name="_Toc28676"/>
      <w:r>
        <w:rPr>
          <w:rFonts w:ascii="Times New Roman" w:eastAsia="仿宋" w:hAnsi="Times New Roman"/>
          <w:bCs/>
          <w:kern w:val="0"/>
          <w:szCs w:val="32"/>
        </w:rPr>
        <w:t>（二）</w:t>
      </w:r>
      <w:r>
        <w:rPr>
          <w:rFonts w:ascii="Times New Roman" w:eastAsia="仿宋" w:hAnsi="Times New Roman"/>
          <w:b w:val="0"/>
          <w:szCs w:val="32"/>
        </w:rPr>
        <w:t>项目立项依据</w:t>
      </w:r>
      <w:bookmarkEnd w:id="4"/>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Times New Roman"/>
          <w:sz w:val="32"/>
          <w:szCs w:val="32"/>
        </w:rPr>
        <w:t>1</w:t>
      </w:r>
      <w:r>
        <w:rPr>
          <w:rFonts w:ascii="Times New Roman" w:eastAsia="仿宋" w:hAnsi="Times New Roman"/>
          <w:sz w:val="32"/>
          <w:szCs w:val="32"/>
        </w:rPr>
        <w:t>）《南京市</w:t>
      </w:r>
      <w:r>
        <w:rPr>
          <w:rFonts w:ascii="Times New Roman" w:eastAsia="仿宋" w:hAnsi="Times New Roman"/>
          <w:sz w:val="32"/>
          <w:szCs w:val="32"/>
        </w:rPr>
        <w:t>“</w:t>
      </w:r>
      <w:r>
        <w:rPr>
          <w:rFonts w:ascii="Times New Roman" w:eastAsia="仿宋" w:hAnsi="Times New Roman"/>
          <w:sz w:val="32"/>
          <w:szCs w:val="32"/>
        </w:rPr>
        <w:t>十四五</w:t>
      </w:r>
      <w:r>
        <w:rPr>
          <w:rFonts w:ascii="Times New Roman" w:eastAsia="仿宋" w:hAnsi="Times New Roman"/>
          <w:sz w:val="32"/>
          <w:szCs w:val="32"/>
        </w:rPr>
        <w:t>”</w:t>
      </w:r>
      <w:r>
        <w:rPr>
          <w:rFonts w:ascii="Times New Roman" w:eastAsia="仿宋" w:hAnsi="Times New Roman"/>
          <w:sz w:val="32"/>
          <w:szCs w:val="32"/>
        </w:rPr>
        <w:t>现代农业发展规划》</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Times New Roman"/>
          <w:sz w:val="32"/>
          <w:szCs w:val="32"/>
        </w:rPr>
        <w:t>2</w:t>
      </w:r>
      <w:r>
        <w:rPr>
          <w:rFonts w:ascii="Times New Roman" w:eastAsia="仿宋" w:hAnsi="Times New Roman"/>
          <w:sz w:val="32"/>
          <w:szCs w:val="32"/>
        </w:rPr>
        <w:t>）</w:t>
      </w:r>
      <w:r>
        <w:rPr>
          <w:rFonts w:ascii="Times New Roman" w:eastAsia="仿宋" w:hAnsi="Times New Roman"/>
          <w:sz w:val="32"/>
          <w:szCs w:val="32"/>
        </w:rPr>
        <w:t>中共南京市委办公厅</w:t>
      </w:r>
      <w:r>
        <w:rPr>
          <w:rFonts w:ascii="Times New Roman" w:eastAsia="仿宋" w:hAnsi="Times New Roman"/>
          <w:sz w:val="32"/>
          <w:szCs w:val="32"/>
        </w:rPr>
        <w:t xml:space="preserve"> </w:t>
      </w:r>
      <w:r>
        <w:rPr>
          <w:rFonts w:ascii="Times New Roman" w:eastAsia="仿宋" w:hAnsi="Times New Roman"/>
          <w:sz w:val="32"/>
          <w:szCs w:val="32"/>
        </w:rPr>
        <w:t>南京市人民政府办公厅联合印发</w:t>
      </w:r>
      <w:r>
        <w:rPr>
          <w:rFonts w:ascii="Times New Roman" w:eastAsia="仿宋" w:hAnsi="Times New Roman"/>
          <w:sz w:val="32"/>
          <w:szCs w:val="32"/>
        </w:rPr>
        <w:lastRenderedPageBreak/>
        <w:t>《高水平建设都市现代农业强市行动方案》</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Times New Roman"/>
          <w:sz w:val="32"/>
          <w:szCs w:val="32"/>
        </w:rPr>
        <w:t>3</w:t>
      </w:r>
      <w:r>
        <w:rPr>
          <w:rFonts w:ascii="Times New Roman" w:eastAsia="仿宋" w:hAnsi="Times New Roman"/>
          <w:sz w:val="32"/>
          <w:szCs w:val="32"/>
        </w:rPr>
        <w:t>）《关于印发江苏省农业设施设备更新提升实施方案的通知》（苏农计〔</w:t>
      </w:r>
      <w:r>
        <w:rPr>
          <w:rFonts w:ascii="Times New Roman" w:eastAsia="仿宋" w:hAnsi="Times New Roman"/>
          <w:sz w:val="32"/>
          <w:szCs w:val="32"/>
        </w:rPr>
        <w:t>2024</w:t>
      </w:r>
      <w:r>
        <w:rPr>
          <w:rFonts w:ascii="Times New Roman" w:eastAsia="仿宋" w:hAnsi="Times New Roman"/>
          <w:sz w:val="32"/>
          <w:szCs w:val="32"/>
        </w:rPr>
        <w:t>〕</w:t>
      </w:r>
      <w:r>
        <w:rPr>
          <w:rFonts w:ascii="Times New Roman" w:eastAsia="仿宋" w:hAnsi="Times New Roman"/>
          <w:sz w:val="32"/>
          <w:szCs w:val="32"/>
        </w:rPr>
        <w:t>28</w:t>
      </w:r>
      <w:r>
        <w:rPr>
          <w:rFonts w:ascii="Times New Roman" w:eastAsia="仿宋" w:hAnsi="Times New Roman"/>
          <w:sz w:val="32"/>
          <w:szCs w:val="32"/>
        </w:rPr>
        <w:t>号）；</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Times New Roman"/>
          <w:sz w:val="32"/>
          <w:szCs w:val="32"/>
        </w:rPr>
        <w:t>4</w:t>
      </w:r>
      <w:r>
        <w:rPr>
          <w:rFonts w:ascii="Times New Roman" w:eastAsia="仿宋" w:hAnsi="Times New Roman"/>
          <w:sz w:val="32"/>
          <w:szCs w:val="32"/>
        </w:rPr>
        <w:t>）《南京市</w:t>
      </w:r>
      <w:r>
        <w:rPr>
          <w:rFonts w:ascii="Times New Roman" w:eastAsia="仿宋" w:hAnsi="Times New Roman"/>
          <w:sz w:val="32"/>
          <w:szCs w:val="32"/>
        </w:rPr>
        <w:t>“</w:t>
      </w:r>
      <w:r>
        <w:rPr>
          <w:rFonts w:ascii="Times New Roman" w:eastAsia="仿宋" w:hAnsi="Times New Roman"/>
          <w:sz w:val="32"/>
          <w:szCs w:val="32"/>
        </w:rPr>
        <w:t>菜篮子</w:t>
      </w:r>
      <w:r>
        <w:rPr>
          <w:rFonts w:ascii="Times New Roman" w:eastAsia="仿宋" w:hAnsi="Times New Roman"/>
          <w:sz w:val="32"/>
          <w:szCs w:val="32"/>
        </w:rPr>
        <w:t>”</w:t>
      </w:r>
      <w:r>
        <w:rPr>
          <w:rFonts w:ascii="Times New Roman" w:eastAsia="仿宋" w:hAnsi="Times New Roman"/>
          <w:sz w:val="32"/>
          <w:szCs w:val="32"/>
        </w:rPr>
        <w:t>工程绿色蔬菜保供基地建设</w:t>
      </w:r>
      <w:r>
        <w:rPr>
          <w:rFonts w:ascii="Times New Roman" w:eastAsia="仿宋" w:hAnsi="Times New Roman"/>
          <w:sz w:val="32"/>
          <w:szCs w:val="32"/>
        </w:rPr>
        <w:t>“</w:t>
      </w:r>
      <w:r>
        <w:rPr>
          <w:rFonts w:ascii="Times New Roman" w:eastAsia="仿宋" w:hAnsi="Times New Roman"/>
          <w:sz w:val="32"/>
          <w:szCs w:val="32"/>
        </w:rPr>
        <w:t>十四五</w:t>
      </w:r>
      <w:r>
        <w:rPr>
          <w:rFonts w:ascii="Times New Roman" w:eastAsia="仿宋" w:hAnsi="Times New Roman"/>
          <w:sz w:val="32"/>
          <w:szCs w:val="32"/>
        </w:rPr>
        <w:t>”</w:t>
      </w:r>
      <w:r>
        <w:rPr>
          <w:rFonts w:ascii="Times New Roman" w:eastAsia="仿宋" w:hAnsi="Times New Roman"/>
          <w:sz w:val="32"/>
          <w:szCs w:val="32"/>
        </w:rPr>
        <w:t>规划》；</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Times New Roman"/>
          <w:sz w:val="32"/>
          <w:szCs w:val="32"/>
        </w:rPr>
        <w:t>5</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sz w:val="32"/>
          <w:szCs w:val="32"/>
        </w:rPr>
        <w:t>菜篮子</w:t>
      </w:r>
      <w:r>
        <w:rPr>
          <w:rFonts w:ascii="Times New Roman" w:eastAsia="仿宋" w:hAnsi="Times New Roman"/>
          <w:sz w:val="32"/>
          <w:szCs w:val="32"/>
        </w:rPr>
        <w:t>”</w:t>
      </w:r>
      <w:r>
        <w:rPr>
          <w:rFonts w:ascii="Times New Roman" w:eastAsia="仿宋" w:hAnsi="Times New Roman"/>
          <w:sz w:val="32"/>
          <w:szCs w:val="32"/>
        </w:rPr>
        <w:t>市长负责制考核办法实施细则》。</w:t>
      </w:r>
    </w:p>
    <w:p w:rsidR="009766F6" w:rsidRDefault="00F92F2F">
      <w:pPr>
        <w:pStyle w:val="2"/>
        <w:spacing w:before="0" w:after="0" w:line="560" w:lineRule="exact"/>
        <w:ind w:firstLineChars="200" w:firstLine="640"/>
        <w:rPr>
          <w:rFonts w:ascii="Times New Roman" w:eastAsia="仿宋" w:hAnsi="Times New Roman"/>
          <w:b w:val="0"/>
          <w:szCs w:val="32"/>
        </w:rPr>
      </w:pPr>
      <w:bookmarkStart w:id="5" w:name="_Toc23515"/>
      <w:r>
        <w:rPr>
          <w:rFonts w:ascii="Times New Roman" w:eastAsia="仿宋" w:hAnsi="Times New Roman"/>
          <w:b w:val="0"/>
          <w:szCs w:val="32"/>
        </w:rPr>
        <w:t>（三）项目主要内容</w:t>
      </w:r>
      <w:bookmarkEnd w:id="5"/>
    </w:p>
    <w:p w:rsidR="009766F6" w:rsidRDefault="00F92F2F">
      <w:pPr>
        <w:spacing w:line="560" w:lineRule="exact"/>
        <w:rPr>
          <w:rFonts w:ascii="Times New Roman" w:eastAsia="仿宋" w:hAnsi="Times New Roman"/>
          <w:bCs/>
          <w:kern w:val="0"/>
          <w:sz w:val="32"/>
          <w:szCs w:val="32"/>
        </w:rPr>
      </w:pPr>
      <w:r>
        <w:rPr>
          <w:rFonts w:ascii="Times New Roman" w:eastAsia="仿宋" w:hAnsi="Times New Roman"/>
          <w:sz w:val="32"/>
          <w:szCs w:val="32"/>
        </w:rPr>
        <w:t xml:space="preserve">    </w:t>
      </w:r>
      <w:r>
        <w:rPr>
          <w:rFonts w:ascii="Times New Roman" w:eastAsia="仿宋" w:hAnsi="Times New Roman"/>
          <w:bCs/>
          <w:kern w:val="0"/>
          <w:sz w:val="32"/>
          <w:szCs w:val="32"/>
        </w:rPr>
        <w:t xml:space="preserve">  2025</w:t>
      </w:r>
      <w:r>
        <w:rPr>
          <w:rFonts w:ascii="Times New Roman" w:eastAsia="仿宋" w:hAnsi="Times New Roman"/>
          <w:bCs/>
          <w:kern w:val="0"/>
          <w:sz w:val="32"/>
          <w:szCs w:val="32"/>
        </w:rPr>
        <w:t>年南京市现代蔬菜园艺高质量发展项目从如下四个方面立项开展实施：标准化菜地、设施蔬菜园艺、蔬菜园艺病虫绿色防控试验示范与推广、高效特色园艺基地建设。</w:t>
      </w:r>
    </w:p>
    <w:p w:rsidR="009766F6" w:rsidRDefault="00F92F2F">
      <w:pPr>
        <w:pStyle w:val="2"/>
        <w:spacing w:before="0" w:after="0" w:line="560" w:lineRule="exact"/>
        <w:ind w:firstLineChars="200" w:firstLine="640"/>
        <w:rPr>
          <w:rFonts w:ascii="Times New Roman" w:eastAsia="仿宋" w:hAnsi="Times New Roman"/>
          <w:b w:val="0"/>
          <w:szCs w:val="32"/>
        </w:rPr>
      </w:pPr>
      <w:bookmarkStart w:id="6" w:name="_Toc14053"/>
      <w:r>
        <w:rPr>
          <w:rFonts w:ascii="Times New Roman" w:eastAsia="仿宋" w:hAnsi="Times New Roman"/>
          <w:b w:val="0"/>
          <w:szCs w:val="32"/>
        </w:rPr>
        <w:t>（四）项目资金情况</w:t>
      </w:r>
      <w:bookmarkEnd w:id="6"/>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1.</w:t>
      </w:r>
      <w:r>
        <w:rPr>
          <w:rFonts w:ascii="Times New Roman" w:eastAsia="仿宋" w:hAnsi="Times New Roman"/>
          <w:b w:val="0"/>
          <w:bCs/>
          <w:szCs w:val="32"/>
        </w:rPr>
        <w:t>项目资金预算与来源</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根据南京市农业农村局、南京市财政局签发的《关于下达</w:t>
      </w:r>
      <w:r>
        <w:rPr>
          <w:rFonts w:ascii="Times New Roman" w:eastAsia="仿宋" w:hAnsi="Times New Roman"/>
          <w:sz w:val="32"/>
          <w:szCs w:val="32"/>
        </w:rPr>
        <w:t>2025</w:t>
      </w:r>
      <w:r>
        <w:rPr>
          <w:rFonts w:ascii="Times New Roman" w:eastAsia="仿宋" w:hAnsi="Times New Roman"/>
          <w:sz w:val="32"/>
          <w:szCs w:val="32"/>
        </w:rPr>
        <w:t>年第一批市级农业专项资金计划的通知》（宁农计〔</w:t>
      </w:r>
      <w:r>
        <w:rPr>
          <w:rFonts w:ascii="Times New Roman" w:eastAsia="仿宋" w:hAnsi="Times New Roman"/>
          <w:sz w:val="32"/>
          <w:szCs w:val="32"/>
        </w:rPr>
        <w:t>2025</w:t>
      </w:r>
      <w:r>
        <w:rPr>
          <w:rFonts w:ascii="Times New Roman" w:eastAsia="仿宋" w:hAnsi="Times New Roman"/>
          <w:sz w:val="32"/>
          <w:szCs w:val="32"/>
        </w:rPr>
        <w:t>〕</w:t>
      </w:r>
      <w:r>
        <w:rPr>
          <w:rFonts w:ascii="Times New Roman" w:eastAsia="仿宋" w:hAnsi="Times New Roman"/>
          <w:sz w:val="32"/>
          <w:szCs w:val="32"/>
        </w:rPr>
        <w:t>6</w:t>
      </w:r>
      <w:r>
        <w:rPr>
          <w:rFonts w:ascii="Times New Roman" w:eastAsia="仿宋" w:hAnsi="Times New Roman"/>
          <w:sz w:val="32"/>
          <w:szCs w:val="32"/>
        </w:rPr>
        <w:t>号）</w:t>
      </w:r>
      <w:r>
        <w:rPr>
          <w:rFonts w:ascii="Times New Roman" w:eastAsia="仿宋" w:hAnsi="Times New Roman"/>
          <w:sz w:val="32"/>
          <w:szCs w:val="32"/>
        </w:rPr>
        <w:t>和</w:t>
      </w:r>
      <w:r>
        <w:rPr>
          <w:rFonts w:ascii="Times New Roman" w:eastAsia="仿宋" w:hAnsi="Times New Roman"/>
          <w:sz w:val="32"/>
          <w:szCs w:val="32"/>
        </w:rPr>
        <w:t>《关于下达</w:t>
      </w:r>
      <w:r>
        <w:rPr>
          <w:rFonts w:ascii="Times New Roman" w:eastAsia="仿宋" w:hAnsi="Times New Roman"/>
          <w:sz w:val="32"/>
          <w:szCs w:val="32"/>
        </w:rPr>
        <w:t>2025</w:t>
      </w:r>
      <w:r>
        <w:rPr>
          <w:rFonts w:ascii="Times New Roman" w:eastAsia="仿宋" w:hAnsi="Times New Roman"/>
          <w:sz w:val="32"/>
          <w:szCs w:val="32"/>
        </w:rPr>
        <w:t>年第一批市级单位农业专项资金补助计划的通知》（宁农计〔</w:t>
      </w:r>
      <w:r>
        <w:rPr>
          <w:rFonts w:ascii="Times New Roman" w:eastAsia="仿宋" w:hAnsi="Times New Roman"/>
          <w:sz w:val="32"/>
          <w:szCs w:val="32"/>
        </w:rPr>
        <w:t>2025</w:t>
      </w:r>
      <w:r>
        <w:rPr>
          <w:rFonts w:ascii="Times New Roman" w:eastAsia="仿宋" w:hAnsi="Times New Roman"/>
          <w:sz w:val="32"/>
          <w:szCs w:val="32"/>
        </w:rPr>
        <w:t>〕</w:t>
      </w:r>
      <w:r>
        <w:rPr>
          <w:rFonts w:ascii="Times New Roman" w:eastAsia="仿宋" w:hAnsi="Times New Roman"/>
          <w:sz w:val="32"/>
          <w:szCs w:val="32"/>
        </w:rPr>
        <w:t>9</w:t>
      </w:r>
      <w:r>
        <w:rPr>
          <w:rFonts w:ascii="Times New Roman" w:eastAsia="仿宋" w:hAnsi="Times New Roman"/>
          <w:sz w:val="32"/>
          <w:szCs w:val="32"/>
        </w:rPr>
        <w:t>号）</w:t>
      </w:r>
      <w:r>
        <w:rPr>
          <w:rFonts w:ascii="Times New Roman" w:eastAsia="仿宋" w:hAnsi="Times New Roman"/>
          <w:sz w:val="32"/>
          <w:szCs w:val="32"/>
        </w:rPr>
        <w:t>以及《关于</w:t>
      </w:r>
      <w:r>
        <w:rPr>
          <w:rFonts w:ascii="Times New Roman" w:eastAsia="仿宋" w:hAnsi="Times New Roman"/>
          <w:sz w:val="32"/>
          <w:szCs w:val="32"/>
        </w:rPr>
        <w:t>2025</w:t>
      </w:r>
      <w:r>
        <w:rPr>
          <w:rFonts w:ascii="Times New Roman" w:eastAsia="仿宋" w:hAnsi="Times New Roman"/>
          <w:sz w:val="32"/>
          <w:szCs w:val="32"/>
        </w:rPr>
        <w:t>年市级单位现代农业发展专项（蔬菜园艺条线）实施方案的批复》（宁农园</w:t>
      </w:r>
      <w:r>
        <w:rPr>
          <w:rFonts w:ascii="Times New Roman" w:eastAsia="仿宋" w:hAnsi="Times New Roman"/>
          <w:sz w:val="32"/>
          <w:szCs w:val="32"/>
        </w:rPr>
        <w:t>〔</w:t>
      </w:r>
      <w:r>
        <w:rPr>
          <w:rFonts w:ascii="Times New Roman" w:eastAsia="仿宋" w:hAnsi="Times New Roman"/>
          <w:sz w:val="32"/>
          <w:szCs w:val="32"/>
        </w:rPr>
        <w:t>2025</w:t>
      </w:r>
      <w:r>
        <w:rPr>
          <w:rFonts w:ascii="Times New Roman" w:eastAsia="仿宋" w:hAnsi="Times New Roman"/>
          <w:sz w:val="32"/>
          <w:szCs w:val="32"/>
        </w:rPr>
        <w:t>〕</w:t>
      </w:r>
      <w:r>
        <w:rPr>
          <w:rFonts w:ascii="Times New Roman" w:eastAsia="仿宋" w:hAnsi="Times New Roman"/>
          <w:sz w:val="32"/>
          <w:szCs w:val="32"/>
        </w:rPr>
        <w:t>2</w:t>
      </w:r>
      <w:r>
        <w:rPr>
          <w:rFonts w:ascii="Times New Roman" w:eastAsia="仿宋" w:hAnsi="Times New Roman"/>
          <w:sz w:val="32"/>
          <w:szCs w:val="32"/>
        </w:rPr>
        <w:t>号）</w:t>
      </w:r>
      <w:r>
        <w:rPr>
          <w:rFonts w:ascii="Times New Roman" w:eastAsia="仿宋" w:hAnsi="Times New Roman"/>
          <w:sz w:val="32"/>
          <w:szCs w:val="32"/>
        </w:rPr>
        <w:t>文件，由市本级及区级立项并报市级备案的</w:t>
      </w:r>
      <w:r>
        <w:rPr>
          <w:rFonts w:ascii="Times New Roman" w:eastAsia="仿宋" w:hAnsi="Times New Roman"/>
          <w:sz w:val="32"/>
          <w:szCs w:val="32"/>
        </w:rPr>
        <w:t>2025</w:t>
      </w:r>
      <w:r>
        <w:rPr>
          <w:rFonts w:ascii="Times New Roman" w:eastAsia="仿宋" w:hAnsi="Times New Roman"/>
          <w:sz w:val="32"/>
          <w:szCs w:val="32"/>
        </w:rPr>
        <w:t>年南京市现代蔬菜园艺高质量发展项目，共计</w:t>
      </w:r>
      <w:r>
        <w:rPr>
          <w:rFonts w:ascii="Times New Roman" w:eastAsia="仿宋" w:hAnsi="Times New Roman"/>
          <w:sz w:val="32"/>
          <w:szCs w:val="32"/>
        </w:rPr>
        <w:t>9</w:t>
      </w:r>
      <w:r>
        <w:rPr>
          <w:rFonts w:ascii="Times New Roman" w:eastAsia="仿宋" w:hAnsi="Times New Roman"/>
          <w:sz w:val="32"/>
          <w:szCs w:val="32"/>
        </w:rPr>
        <w:t>8</w:t>
      </w:r>
      <w:r>
        <w:rPr>
          <w:rFonts w:ascii="Times New Roman" w:eastAsia="仿宋" w:hAnsi="Times New Roman"/>
          <w:sz w:val="32"/>
          <w:szCs w:val="32"/>
        </w:rPr>
        <w:t>个，其中：市本级</w:t>
      </w:r>
      <w:r>
        <w:rPr>
          <w:rFonts w:ascii="Times New Roman" w:eastAsia="仿宋" w:hAnsi="Times New Roman"/>
          <w:sz w:val="32"/>
          <w:szCs w:val="32"/>
        </w:rPr>
        <w:t>11</w:t>
      </w:r>
      <w:r>
        <w:rPr>
          <w:rFonts w:ascii="Times New Roman" w:eastAsia="仿宋" w:hAnsi="Times New Roman"/>
          <w:sz w:val="32"/>
          <w:szCs w:val="32"/>
        </w:rPr>
        <w:t>个</w:t>
      </w:r>
      <w:r>
        <w:rPr>
          <w:rFonts w:ascii="Times New Roman" w:eastAsia="仿宋" w:hAnsi="Times New Roman"/>
          <w:sz w:val="32"/>
          <w:szCs w:val="32"/>
        </w:rPr>
        <w:t>，</w:t>
      </w:r>
      <w:r>
        <w:rPr>
          <w:rFonts w:ascii="Times New Roman" w:eastAsia="仿宋" w:hAnsi="Times New Roman"/>
          <w:sz w:val="32"/>
          <w:szCs w:val="32"/>
        </w:rPr>
        <w:t>区级立项并报市级备案的项目</w:t>
      </w:r>
      <w:r>
        <w:rPr>
          <w:rFonts w:ascii="Times New Roman" w:eastAsia="仿宋" w:hAnsi="Times New Roman"/>
          <w:sz w:val="32"/>
          <w:szCs w:val="32"/>
        </w:rPr>
        <w:t>87</w:t>
      </w:r>
      <w:r>
        <w:rPr>
          <w:rFonts w:ascii="Times New Roman" w:eastAsia="仿宋" w:hAnsi="Times New Roman"/>
          <w:sz w:val="32"/>
          <w:szCs w:val="32"/>
        </w:rPr>
        <w:t>个（标准化菜地</w:t>
      </w:r>
      <w:r>
        <w:rPr>
          <w:rFonts w:ascii="Times New Roman" w:eastAsia="仿宋" w:hAnsi="Times New Roman"/>
          <w:sz w:val="32"/>
          <w:szCs w:val="32"/>
        </w:rPr>
        <w:t>2</w:t>
      </w:r>
      <w:r>
        <w:rPr>
          <w:rFonts w:ascii="Times New Roman" w:eastAsia="仿宋" w:hAnsi="Times New Roman"/>
          <w:sz w:val="32"/>
          <w:szCs w:val="32"/>
        </w:rPr>
        <w:t>个、设施蔬菜园艺</w:t>
      </w:r>
      <w:r>
        <w:rPr>
          <w:rFonts w:ascii="Times New Roman" w:eastAsia="仿宋" w:hAnsi="Times New Roman"/>
          <w:sz w:val="32"/>
          <w:szCs w:val="32"/>
        </w:rPr>
        <w:t>65</w:t>
      </w:r>
      <w:r>
        <w:rPr>
          <w:rFonts w:ascii="Times New Roman" w:eastAsia="仿宋" w:hAnsi="Times New Roman"/>
          <w:sz w:val="32"/>
          <w:szCs w:val="32"/>
        </w:rPr>
        <w:t>个、绿色防控试验示范与推广</w:t>
      </w:r>
      <w:r>
        <w:rPr>
          <w:rFonts w:ascii="Times New Roman" w:eastAsia="仿宋" w:hAnsi="Times New Roman"/>
          <w:sz w:val="32"/>
          <w:szCs w:val="32"/>
        </w:rPr>
        <w:t>19</w:t>
      </w:r>
      <w:r>
        <w:rPr>
          <w:rFonts w:ascii="Times New Roman" w:eastAsia="仿宋" w:hAnsi="Times New Roman"/>
          <w:sz w:val="32"/>
          <w:szCs w:val="32"/>
        </w:rPr>
        <w:t>个、高效特色园艺基地</w:t>
      </w:r>
      <w:r>
        <w:rPr>
          <w:rFonts w:ascii="Times New Roman" w:eastAsia="仿宋" w:hAnsi="Times New Roman"/>
          <w:sz w:val="32"/>
          <w:szCs w:val="32"/>
        </w:rPr>
        <w:t>1</w:t>
      </w:r>
      <w:r>
        <w:rPr>
          <w:rFonts w:ascii="Times New Roman" w:eastAsia="仿宋" w:hAnsi="Times New Roman"/>
          <w:sz w:val="32"/>
          <w:szCs w:val="32"/>
        </w:rPr>
        <w:t>个），</w:t>
      </w:r>
      <w:r>
        <w:rPr>
          <w:rFonts w:ascii="Times New Roman" w:eastAsia="仿宋" w:hAnsi="Times New Roman"/>
          <w:bCs/>
          <w:kern w:val="0"/>
          <w:sz w:val="32"/>
          <w:szCs w:val="32"/>
        </w:rPr>
        <w:t>总建设面积</w:t>
      </w:r>
      <w:r>
        <w:rPr>
          <w:rFonts w:ascii="Times New Roman" w:eastAsia="仿宋" w:hAnsi="Times New Roman"/>
          <w:bCs/>
          <w:kern w:val="0"/>
          <w:sz w:val="32"/>
          <w:szCs w:val="32"/>
        </w:rPr>
        <w:t>9867.50</w:t>
      </w:r>
      <w:r>
        <w:rPr>
          <w:rFonts w:ascii="Times New Roman" w:eastAsia="仿宋" w:hAnsi="Times New Roman"/>
          <w:bCs/>
          <w:kern w:val="0"/>
          <w:sz w:val="32"/>
          <w:szCs w:val="32"/>
        </w:rPr>
        <w:t>亩，</w:t>
      </w:r>
      <w:r>
        <w:rPr>
          <w:rFonts w:ascii="Times New Roman" w:eastAsia="仿宋" w:hAnsi="Times New Roman"/>
          <w:bCs/>
          <w:kern w:val="0"/>
          <w:sz w:val="32"/>
          <w:szCs w:val="32"/>
        </w:rPr>
        <w:t>预算</w:t>
      </w:r>
      <w:r>
        <w:rPr>
          <w:rFonts w:ascii="Times New Roman" w:eastAsia="仿宋" w:hAnsi="Times New Roman"/>
          <w:bCs/>
          <w:kern w:val="0"/>
          <w:sz w:val="32"/>
          <w:szCs w:val="32"/>
        </w:rPr>
        <w:t>安排专项资金</w:t>
      </w:r>
      <w:r>
        <w:rPr>
          <w:rFonts w:ascii="Times New Roman" w:eastAsia="仿宋" w:hAnsi="Times New Roman"/>
          <w:bCs/>
          <w:kern w:val="0"/>
          <w:sz w:val="32"/>
          <w:szCs w:val="32"/>
        </w:rPr>
        <w:t>4,851.00</w:t>
      </w:r>
      <w:r>
        <w:rPr>
          <w:rFonts w:ascii="Times New Roman" w:eastAsia="仿宋" w:hAnsi="Times New Roman"/>
          <w:bCs/>
          <w:kern w:val="0"/>
          <w:sz w:val="32"/>
          <w:szCs w:val="32"/>
        </w:rPr>
        <w:t>万元，</w:t>
      </w:r>
      <w:r>
        <w:rPr>
          <w:rFonts w:ascii="Times New Roman" w:eastAsia="仿宋" w:hAnsi="Times New Roman"/>
          <w:bCs/>
          <w:kern w:val="0"/>
          <w:sz w:val="32"/>
          <w:szCs w:val="32"/>
        </w:rPr>
        <w:t>已全部下达市本级单位及各区</w:t>
      </w:r>
      <w:r>
        <w:rPr>
          <w:rFonts w:ascii="Times New Roman" w:eastAsia="仿宋" w:hAnsi="Times New Roman"/>
          <w:bCs/>
          <w:kern w:val="0"/>
          <w:sz w:val="32"/>
          <w:szCs w:val="32"/>
        </w:rPr>
        <w:t>，</w:t>
      </w:r>
      <w:r>
        <w:rPr>
          <w:rFonts w:ascii="Times New Roman" w:eastAsia="仿宋" w:hAnsi="Times New Roman"/>
          <w:sz w:val="32"/>
          <w:szCs w:val="32"/>
        </w:rPr>
        <w:t>详情见下表：</w:t>
      </w:r>
    </w:p>
    <w:p w:rsidR="009766F6" w:rsidRDefault="009766F6">
      <w:pPr>
        <w:spacing w:line="560" w:lineRule="exact"/>
        <w:ind w:firstLineChars="200" w:firstLine="640"/>
        <w:jc w:val="right"/>
        <w:rPr>
          <w:rFonts w:ascii="Times New Roman" w:eastAsia="仿宋" w:hAnsi="Times New Roman"/>
          <w:sz w:val="32"/>
          <w:szCs w:val="32"/>
        </w:rPr>
      </w:pPr>
    </w:p>
    <w:p w:rsidR="009766F6" w:rsidRDefault="00F92F2F">
      <w:pPr>
        <w:spacing w:line="560" w:lineRule="exact"/>
        <w:ind w:firstLineChars="200" w:firstLine="600"/>
        <w:jc w:val="center"/>
        <w:rPr>
          <w:rFonts w:ascii="Times New Roman" w:eastAsia="仿宋" w:hAnsi="Times New Roman"/>
          <w:sz w:val="30"/>
          <w:szCs w:val="30"/>
        </w:rPr>
      </w:pPr>
      <w:r>
        <w:rPr>
          <w:rFonts w:ascii="Times New Roman" w:eastAsia="仿宋" w:hAnsi="Times New Roman"/>
          <w:sz w:val="30"/>
          <w:szCs w:val="30"/>
        </w:rPr>
        <w:lastRenderedPageBreak/>
        <w:t xml:space="preserve">                                     </w:t>
      </w:r>
      <w:r>
        <w:rPr>
          <w:rFonts w:ascii="Times New Roman" w:eastAsia="仿宋" w:hAnsi="Times New Roman"/>
          <w:sz w:val="28"/>
          <w:szCs w:val="28"/>
        </w:rPr>
        <w:t>金额单位：万元</w:t>
      </w:r>
    </w:p>
    <w:tbl>
      <w:tblPr>
        <w:tblW w:w="8694" w:type="dxa"/>
        <w:jc w:val="center"/>
        <w:tblLayout w:type="fixed"/>
        <w:tblLook w:val="04A0" w:firstRow="1" w:lastRow="0" w:firstColumn="1" w:lastColumn="0" w:noHBand="0" w:noVBand="1"/>
      </w:tblPr>
      <w:tblGrid>
        <w:gridCol w:w="1136"/>
        <w:gridCol w:w="1386"/>
        <w:gridCol w:w="1233"/>
        <w:gridCol w:w="1167"/>
        <w:gridCol w:w="1284"/>
        <w:gridCol w:w="1272"/>
        <w:gridCol w:w="1216"/>
      </w:tblGrid>
      <w:tr w:rsidR="009766F6">
        <w:trPr>
          <w:tblHeade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区属</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预算安排资金</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已下达资金</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资金到位率</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实际已安排资金</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实际支出资金</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资金执行率</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江北新区</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浦口区</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678.00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678.00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608.69</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31.84</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4.70%</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江宁区</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918.00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918.00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918.00</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854.00</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93.03%</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六合区</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580.00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580.00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567.19</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50.24</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8.66%</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溧水区</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1,038.00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1,038.00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1,038.00</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0.00</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0.00%</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高淳区</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650.00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650.00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650.00</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41.76</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6.42%</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栖霞区</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415.00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415.00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415.00</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136.60</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32.92%</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542.00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542.00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542.00</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528.65</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97.54%</w:t>
            </w:r>
          </w:p>
        </w:tc>
      </w:tr>
      <w:tr w:rsidR="009766F6">
        <w:trPr>
          <w:jc w:val="center"/>
        </w:trPr>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合计</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4,851.00</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4,851.00</w:t>
            </w:r>
          </w:p>
        </w:tc>
        <w:tc>
          <w:tcPr>
            <w:tcW w:w="1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100.00%</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4,768.88</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1,673.09</w:t>
            </w: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34.49%</w:t>
            </w:r>
          </w:p>
        </w:tc>
      </w:tr>
    </w:tbl>
    <w:p w:rsidR="009766F6" w:rsidRDefault="00F92F2F">
      <w:pPr>
        <w:adjustRightInd w:val="0"/>
        <w:snapToGrid w:val="0"/>
        <w:spacing w:line="560" w:lineRule="exact"/>
        <w:ind w:firstLineChars="100" w:firstLine="320"/>
        <w:rPr>
          <w:rFonts w:ascii="Times New Roman" w:eastAsia="仿宋" w:hAnsi="Times New Roman"/>
          <w:sz w:val="32"/>
          <w:szCs w:val="32"/>
        </w:rPr>
      </w:pPr>
      <w:r>
        <w:rPr>
          <w:rFonts w:ascii="Times New Roman" w:eastAsia="仿宋" w:hAnsi="Times New Roman"/>
          <w:sz w:val="32"/>
          <w:szCs w:val="32"/>
        </w:rPr>
        <w:t xml:space="preserve"> </w:t>
      </w:r>
      <w:r>
        <w:rPr>
          <w:rFonts w:ascii="Times New Roman" w:eastAsia="仿宋" w:hAnsi="Times New Roman"/>
          <w:sz w:val="32"/>
          <w:szCs w:val="32"/>
        </w:rPr>
        <w:t>注：经了解，截至</w:t>
      </w:r>
      <w:r>
        <w:rPr>
          <w:rFonts w:ascii="Times New Roman" w:eastAsia="仿宋" w:hAnsi="Times New Roman"/>
          <w:sz w:val="32"/>
          <w:szCs w:val="32"/>
        </w:rPr>
        <w:t>2026</w:t>
      </w:r>
      <w:r>
        <w:rPr>
          <w:rFonts w:ascii="Times New Roman" w:eastAsia="仿宋" w:hAnsi="Times New Roman"/>
          <w:sz w:val="32"/>
          <w:szCs w:val="32"/>
        </w:rPr>
        <w:t>年</w:t>
      </w:r>
      <w:r>
        <w:rPr>
          <w:rFonts w:ascii="Times New Roman" w:eastAsia="仿宋" w:hAnsi="Times New Roman"/>
          <w:sz w:val="32"/>
          <w:szCs w:val="32"/>
        </w:rPr>
        <w:t>6</w:t>
      </w:r>
      <w:r>
        <w:rPr>
          <w:rFonts w:ascii="Times New Roman" w:eastAsia="仿宋" w:hAnsi="Times New Roman"/>
          <w:sz w:val="32"/>
          <w:szCs w:val="32"/>
        </w:rPr>
        <w:t>月，</w:t>
      </w:r>
      <w:r>
        <w:rPr>
          <w:rFonts w:ascii="Times New Roman" w:eastAsia="仿宋" w:hAnsi="Times New Roman"/>
          <w:sz w:val="32"/>
          <w:szCs w:val="32"/>
        </w:rPr>
        <w:t>2025</w:t>
      </w:r>
      <w:r>
        <w:rPr>
          <w:rFonts w:ascii="Times New Roman" w:eastAsia="仿宋" w:hAnsi="Times New Roman"/>
          <w:sz w:val="32"/>
          <w:szCs w:val="32"/>
        </w:rPr>
        <w:t>第二批浦口区现代蔬菜园艺高质量发展项目（设施蔬菜园艺）</w:t>
      </w:r>
      <w:r>
        <w:rPr>
          <w:rFonts w:ascii="Times New Roman" w:eastAsia="仿宋" w:hAnsi="Times New Roman"/>
          <w:sz w:val="32"/>
          <w:szCs w:val="32"/>
        </w:rPr>
        <w:t>7</w:t>
      </w:r>
      <w:r>
        <w:rPr>
          <w:rFonts w:ascii="Times New Roman" w:eastAsia="仿宋" w:hAnsi="Times New Roman"/>
          <w:sz w:val="32"/>
          <w:szCs w:val="32"/>
        </w:rPr>
        <w:t>个，涉及市级财政资金</w:t>
      </w:r>
      <w:r>
        <w:rPr>
          <w:rFonts w:ascii="Times New Roman" w:eastAsia="仿宋" w:hAnsi="Times New Roman"/>
          <w:sz w:val="32"/>
          <w:szCs w:val="32"/>
        </w:rPr>
        <w:t>279.13</w:t>
      </w:r>
      <w:r>
        <w:rPr>
          <w:rFonts w:ascii="Times New Roman" w:eastAsia="仿宋" w:hAnsi="Times New Roman"/>
          <w:sz w:val="32"/>
          <w:szCs w:val="32"/>
        </w:rPr>
        <w:t>万元；</w:t>
      </w:r>
      <w:r>
        <w:rPr>
          <w:rFonts w:ascii="Times New Roman" w:eastAsia="仿宋" w:hAnsi="Times New Roman"/>
          <w:sz w:val="32"/>
          <w:szCs w:val="32"/>
        </w:rPr>
        <w:t>2025</w:t>
      </w:r>
      <w:r>
        <w:rPr>
          <w:rFonts w:ascii="Times New Roman" w:eastAsia="仿宋" w:hAnsi="Times New Roman"/>
          <w:sz w:val="32"/>
          <w:szCs w:val="32"/>
        </w:rPr>
        <w:t>年省级设施棚室改造提升项目</w:t>
      </w:r>
      <w:r>
        <w:rPr>
          <w:rFonts w:ascii="Times New Roman" w:eastAsia="仿宋" w:hAnsi="Times New Roman"/>
          <w:sz w:val="32"/>
          <w:szCs w:val="32"/>
        </w:rPr>
        <w:t>1</w:t>
      </w:r>
      <w:r>
        <w:rPr>
          <w:rFonts w:ascii="Times New Roman" w:eastAsia="仿宋" w:hAnsi="Times New Roman"/>
          <w:sz w:val="32"/>
          <w:szCs w:val="32"/>
        </w:rPr>
        <w:t>个，涉及市级财政资金</w:t>
      </w:r>
      <w:r>
        <w:rPr>
          <w:rFonts w:ascii="Times New Roman" w:eastAsia="仿宋" w:hAnsi="Times New Roman"/>
          <w:sz w:val="32"/>
          <w:szCs w:val="32"/>
        </w:rPr>
        <w:t>109.325</w:t>
      </w:r>
      <w:r>
        <w:rPr>
          <w:rFonts w:ascii="Times New Roman" w:eastAsia="仿宋" w:hAnsi="Times New Roman"/>
          <w:sz w:val="32"/>
          <w:szCs w:val="32"/>
        </w:rPr>
        <w:t>万元，立项批复文件已递交区财政会签。</w:t>
      </w:r>
    </w:p>
    <w:p w:rsidR="009766F6" w:rsidRDefault="00F92F2F">
      <w:pPr>
        <w:adjustRightInd w:val="0"/>
        <w:snapToGrid w:val="0"/>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其中已立项安排资金中，市本级立项项目</w:t>
      </w:r>
      <w:r>
        <w:rPr>
          <w:rFonts w:ascii="Times New Roman" w:eastAsia="仿宋" w:hAnsi="Times New Roman"/>
          <w:sz w:val="32"/>
          <w:szCs w:val="32"/>
        </w:rPr>
        <w:t>11</w:t>
      </w:r>
      <w:r>
        <w:rPr>
          <w:rFonts w:ascii="Times New Roman" w:eastAsia="仿宋" w:hAnsi="Times New Roman"/>
          <w:sz w:val="32"/>
          <w:szCs w:val="32"/>
        </w:rPr>
        <w:t>个，涉及市级财政补助资金</w:t>
      </w:r>
      <w:r>
        <w:rPr>
          <w:rFonts w:ascii="Times New Roman" w:eastAsia="仿宋" w:hAnsi="Times New Roman"/>
          <w:sz w:val="32"/>
          <w:szCs w:val="32"/>
        </w:rPr>
        <w:t>542.00</w:t>
      </w:r>
      <w:r>
        <w:rPr>
          <w:rFonts w:ascii="Times New Roman" w:eastAsia="仿宋" w:hAnsi="Times New Roman"/>
          <w:sz w:val="32"/>
          <w:szCs w:val="32"/>
        </w:rPr>
        <w:t>万元</w:t>
      </w:r>
    </w:p>
    <w:tbl>
      <w:tblPr>
        <w:tblW w:w="8948" w:type="dxa"/>
        <w:jc w:val="center"/>
        <w:tblLook w:val="04A0" w:firstRow="1" w:lastRow="0" w:firstColumn="1" w:lastColumn="0" w:noHBand="0" w:noVBand="1"/>
      </w:tblPr>
      <w:tblGrid>
        <w:gridCol w:w="973"/>
        <w:gridCol w:w="2392"/>
        <w:gridCol w:w="3432"/>
        <w:gridCol w:w="976"/>
        <w:gridCol w:w="1175"/>
      </w:tblGrid>
      <w:tr w:rsidR="009766F6">
        <w:trPr>
          <w:tblHeader/>
          <w:jc w:val="center"/>
        </w:trPr>
        <w:tc>
          <w:tcPr>
            <w:tcW w:w="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区属</w:t>
            </w: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项目实施单位</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项目名称</w:t>
            </w: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总投资</w:t>
            </w:r>
          </w:p>
        </w:tc>
        <w:tc>
          <w:tcPr>
            <w:tcW w:w="11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市级补助</w:t>
            </w:r>
          </w:p>
        </w:tc>
      </w:tr>
      <w:tr w:rsidR="009766F6">
        <w:trPr>
          <w:jc w:val="center"/>
        </w:trPr>
        <w:tc>
          <w:tcPr>
            <w:tcW w:w="973" w:type="dxa"/>
            <w:vMerge w:val="restart"/>
            <w:tcBorders>
              <w:top w:val="single" w:sz="4" w:space="0" w:color="000000"/>
              <w:left w:val="single" w:sz="4" w:space="0" w:color="000000"/>
              <w:bottom w:val="nil"/>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w:t>
            </w: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南京市农业技术推广站</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2025</w:t>
            </w:r>
            <w:r>
              <w:rPr>
                <w:rFonts w:ascii="Times New Roman" w:eastAsia="仿宋" w:hAnsi="Times New Roman"/>
                <w:color w:val="000000"/>
                <w:kern w:val="0"/>
                <w:sz w:val="20"/>
                <w:szCs w:val="20"/>
              </w:rPr>
              <w:t>年高效特色园艺项目（现代茶产业）</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50.00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50.00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江苏丘陵地区南京农业科学研究所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市本级花产业项目</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60.00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60.00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江苏丘陵地区南京农业科学研究所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市本级精品果树连栋避雨设施建设</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60.00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60.00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南京市蔬菜科学研究所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市本级绿色蔬菜产业项目</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50.00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50.00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南京市蔬菜科学研究所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市本级哈茨木霉菌剂在设施番茄上的应用效果研究</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南京市蔬菜科学研究所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市本级臭氧植保机在设施叶菜生产上的研究与应用</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20.00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20.00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南京市蔬菜科学研究所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市本级南京香莴笋周年高效栽培技术集成与示范</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15.00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15.00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南京市蔬菜科学研究所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市本级蔬菜科技园建设与运行维护</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167.00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167.00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南京市蔬菜科学研究所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市本级设施大棚越冬高效栽培生产技术集成应用</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15.0</w:t>
            </w:r>
            <w:r>
              <w:rPr>
                <w:rFonts w:ascii="Times New Roman" w:eastAsia="仿宋" w:hAnsi="Times New Roman"/>
                <w:color w:val="000000"/>
                <w:kern w:val="0"/>
                <w:sz w:val="20"/>
                <w:szCs w:val="20"/>
              </w:rPr>
              <w:t>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15.00</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南京市蔬菜科学研究所</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市本级南京地区设施芹菜绿色防控集成技术研究与示范</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45</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45</w:t>
            </w:r>
          </w:p>
        </w:tc>
      </w:tr>
      <w:tr w:rsidR="009766F6">
        <w:trPr>
          <w:jc w:val="center"/>
        </w:trPr>
        <w:tc>
          <w:tcPr>
            <w:tcW w:w="973"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rPr>
                <w:rFonts w:ascii="Times New Roman" w:eastAsia="仿宋" w:hAnsi="Times New Roman"/>
              </w:rPr>
            </w:pP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南京市植保植检站</w:t>
            </w:r>
          </w:p>
        </w:tc>
        <w:tc>
          <w:tcPr>
            <w:tcW w:w="3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市本级芹菜病虫害绿色防控技术示范推广项目</w:t>
            </w: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w:t>
            </w:r>
          </w:p>
        </w:tc>
      </w:tr>
      <w:tr w:rsidR="009766F6">
        <w:trPr>
          <w:jc w:val="center"/>
        </w:trPr>
        <w:tc>
          <w:tcPr>
            <w:tcW w:w="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合计</w:t>
            </w:r>
          </w:p>
        </w:tc>
        <w:tc>
          <w:tcPr>
            <w:tcW w:w="23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left"/>
              <w:rPr>
                <w:rFonts w:ascii="Times New Roman" w:eastAsia="仿宋" w:hAnsi="Times New Roman"/>
                <w:b/>
                <w:color w:val="000000"/>
                <w:sz w:val="20"/>
                <w:szCs w:val="20"/>
              </w:rPr>
            </w:pPr>
          </w:p>
        </w:tc>
        <w:tc>
          <w:tcPr>
            <w:tcW w:w="3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left"/>
              <w:rPr>
                <w:rFonts w:ascii="Times New Roman" w:eastAsia="仿宋" w:hAnsi="Times New Roman"/>
                <w:b/>
                <w:color w:val="000000"/>
                <w:sz w:val="20"/>
                <w:szCs w:val="20"/>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542.00</w:t>
            </w:r>
          </w:p>
        </w:tc>
        <w:tc>
          <w:tcPr>
            <w:tcW w:w="11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542.00</w:t>
            </w:r>
          </w:p>
        </w:tc>
      </w:tr>
    </w:tbl>
    <w:p w:rsidR="009766F6" w:rsidRDefault="00F92F2F">
      <w:pPr>
        <w:spacing w:line="560" w:lineRule="exact"/>
        <w:ind w:firstLineChars="100" w:firstLine="320"/>
        <w:rPr>
          <w:rFonts w:ascii="Times New Roman" w:eastAsia="仿宋" w:hAnsi="Times New Roman"/>
          <w:sz w:val="32"/>
          <w:szCs w:val="32"/>
        </w:rPr>
      </w:pPr>
      <w:r>
        <w:rPr>
          <w:rFonts w:ascii="Times New Roman" w:eastAsia="仿宋" w:hAnsi="Times New Roman"/>
          <w:sz w:val="32"/>
          <w:szCs w:val="32"/>
        </w:rPr>
        <w:t>区级立项报市级备案项目</w:t>
      </w:r>
      <w:r>
        <w:rPr>
          <w:rFonts w:ascii="Times New Roman" w:eastAsia="仿宋" w:hAnsi="Times New Roman"/>
          <w:sz w:val="32"/>
          <w:szCs w:val="32"/>
        </w:rPr>
        <w:t>87</w:t>
      </w:r>
      <w:r>
        <w:rPr>
          <w:rFonts w:ascii="Times New Roman" w:eastAsia="仿宋" w:hAnsi="Times New Roman"/>
          <w:sz w:val="32"/>
          <w:szCs w:val="32"/>
        </w:rPr>
        <w:t>个，涉及市级补助资金</w:t>
      </w:r>
      <w:r>
        <w:rPr>
          <w:rFonts w:ascii="Times New Roman" w:eastAsia="仿宋" w:hAnsi="Times New Roman"/>
          <w:sz w:val="32"/>
          <w:szCs w:val="32"/>
        </w:rPr>
        <w:t>4</w:t>
      </w:r>
      <w:r>
        <w:rPr>
          <w:rFonts w:ascii="Times New Roman" w:eastAsia="仿宋" w:hAnsi="Times New Roman"/>
          <w:sz w:val="32"/>
          <w:szCs w:val="32"/>
        </w:rPr>
        <w:t>,</w:t>
      </w:r>
      <w:r>
        <w:rPr>
          <w:rFonts w:ascii="Times New Roman" w:eastAsia="仿宋" w:hAnsi="Times New Roman"/>
          <w:sz w:val="32"/>
          <w:szCs w:val="32"/>
        </w:rPr>
        <w:t>226.88</w:t>
      </w:r>
      <w:r>
        <w:rPr>
          <w:rFonts w:ascii="Times New Roman" w:eastAsia="仿宋" w:hAnsi="Times New Roman"/>
          <w:sz w:val="32"/>
          <w:szCs w:val="32"/>
        </w:rPr>
        <w:lastRenderedPageBreak/>
        <w:t>万元</w:t>
      </w: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2755"/>
        <w:gridCol w:w="1173"/>
        <w:gridCol w:w="1433"/>
        <w:gridCol w:w="1181"/>
        <w:gridCol w:w="1173"/>
      </w:tblGrid>
      <w:tr w:rsidR="009766F6">
        <w:trPr>
          <w:tblHeader/>
          <w:jc w:val="center"/>
        </w:trPr>
        <w:tc>
          <w:tcPr>
            <w:tcW w:w="1233" w:type="dxa"/>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区属</w:t>
            </w:r>
          </w:p>
        </w:tc>
        <w:tc>
          <w:tcPr>
            <w:tcW w:w="2755" w:type="dxa"/>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项目类型</w:t>
            </w:r>
          </w:p>
        </w:tc>
        <w:tc>
          <w:tcPr>
            <w:tcW w:w="1173" w:type="dxa"/>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项目个数</w:t>
            </w:r>
          </w:p>
        </w:tc>
        <w:tc>
          <w:tcPr>
            <w:tcW w:w="1433" w:type="dxa"/>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面积（亩）</w:t>
            </w:r>
          </w:p>
        </w:tc>
        <w:tc>
          <w:tcPr>
            <w:tcW w:w="0" w:type="auto"/>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总投资</w:t>
            </w:r>
          </w:p>
        </w:tc>
        <w:tc>
          <w:tcPr>
            <w:tcW w:w="1173" w:type="dxa"/>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市级补助</w:t>
            </w:r>
          </w:p>
        </w:tc>
      </w:tr>
      <w:tr w:rsidR="009766F6">
        <w:trPr>
          <w:jc w:val="center"/>
        </w:trPr>
        <w:tc>
          <w:tcPr>
            <w:tcW w:w="1233" w:type="dxa"/>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江北新区</w:t>
            </w: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375.00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43.50</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r>
      <w:tr w:rsidR="009766F6">
        <w:trPr>
          <w:jc w:val="center"/>
        </w:trPr>
        <w:tc>
          <w:tcPr>
            <w:tcW w:w="1233" w:type="dxa"/>
            <w:vMerge w:val="restart"/>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浦口区</w:t>
            </w: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40.70</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40.00</w:t>
            </w: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17</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863.00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1267.36</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568.69</w:t>
            </w:r>
          </w:p>
        </w:tc>
      </w:tr>
      <w:tr w:rsidR="009766F6">
        <w:trPr>
          <w:jc w:val="center"/>
        </w:trPr>
        <w:tc>
          <w:tcPr>
            <w:tcW w:w="1233" w:type="dxa"/>
            <w:vMerge w:val="restart"/>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江宁区</w:t>
            </w: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标准化菜地</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1,505.00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415.25</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400.00</w:t>
            </w: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360.00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46.60</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46.00</w:t>
            </w: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140.63</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1,243.28</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472.00</w:t>
            </w:r>
          </w:p>
        </w:tc>
      </w:tr>
      <w:tr w:rsidR="009766F6">
        <w:trPr>
          <w:jc w:val="center"/>
        </w:trPr>
        <w:tc>
          <w:tcPr>
            <w:tcW w:w="1233" w:type="dxa"/>
            <w:vMerge w:val="restart"/>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六合区</w:t>
            </w: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标准化菜地</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120.00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96.00</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96.00</w:t>
            </w: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30.00</w:t>
            </w: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864.35</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572.304</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441.19</w:t>
            </w:r>
          </w:p>
        </w:tc>
      </w:tr>
      <w:tr w:rsidR="009766F6">
        <w:trPr>
          <w:jc w:val="center"/>
        </w:trPr>
        <w:tc>
          <w:tcPr>
            <w:tcW w:w="1233" w:type="dxa"/>
            <w:vMerge w:val="restart"/>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溧水区</w:t>
            </w: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948.00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114.8</w:t>
            </w:r>
          </w:p>
        </w:tc>
        <w:tc>
          <w:tcPr>
            <w:tcW w:w="1173" w:type="dxa"/>
            <w:vMerge w:val="restart"/>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1038</w:t>
            </w: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17</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1,445.44</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2140.2</w:t>
            </w:r>
          </w:p>
        </w:tc>
        <w:tc>
          <w:tcPr>
            <w:tcW w:w="1173" w:type="dxa"/>
            <w:vMerge/>
            <w:tcBorders>
              <w:left w:val="single" w:sz="4" w:space="0" w:color="auto"/>
            </w:tcBorders>
            <w:shd w:val="clear" w:color="auto" w:fill="auto"/>
            <w:noWrap/>
            <w:vAlign w:val="center"/>
          </w:tcPr>
          <w:p w:rsidR="009766F6" w:rsidRDefault="009766F6">
            <w:pPr>
              <w:rPr>
                <w:rFonts w:ascii="Times New Roman" w:eastAsia="仿宋" w:hAnsi="Times New Roman"/>
              </w:rPr>
            </w:pPr>
          </w:p>
        </w:tc>
      </w:tr>
      <w:tr w:rsidR="009766F6">
        <w:trPr>
          <w:jc w:val="center"/>
        </w:trPr>
        <w:tc>
          <w:tcPr>
            <w:tcW w:w="1233" w:type="dxa"/>
            <w:vMerge w:val="restart"/>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高淳区</w:t>
            </w: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1,574.16</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166.41</w:t>
            </w:r>
          </w:p>
        </w:tc>
        <w:tc>
          <w:tcPr>
            <w:tcW w:w="1173" w:type="dxa"/>
            <w:vMerge w:val="restart"/>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650</w:t>
            </w: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12</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699.35</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1283.69</w:t>
            </w:r>
          </w:p>
        </w:tc>
        <w:tc>
          <w:tcPr>
            <w:tcW w:w="1173" w:type="dxa"/>
            <w:vMerge/>
            <w:tcBorders>
              <w:left w:val="single" w:sz="4" w:space="0" w:color="auto"/>
            </w:tcBorders>
            <w:shd w:val="clear" w:color="auto" w:fill="auto"/>
            <w:noWrap/>
            <w:vAlign w:val="center"/>
          </w:tcPr>
          <w:p w:rsidR="009766F6" w:rsidRDefault="009766F6">
            <w:pPr>
              <w:rPr>
                <w:rFonts w:ascii="Times New Roman" w:eastAsia="仿宋" w:hAnsi="Times New Roman"/>
              </w:rPr>
            </w:pPr>
          </w:p>
        </w:tc>
      </w:tr>
      <w:tr w:rsidR="009766F6">
        <w:trPr>
          <w:jc w:val="center"/>
        </w:trPr>
        <w:tc>
          <w:tcPr>
            <w:tcW w:w="1233" w:type="dxa"/>
            <w:vMerge/>
            <w:shd w:val="clear" w:color="auto" w:fill="auto"/>
            <w:vAlign w:val="center"/>
          </w:tcPr>
          <w:p w:rsidR="009766F6" w:rsidRDefault="009766F6">
            <w:pPr>
              <w:rPr>
                <w:rFonts w:ascii="Times New Roman" w:eastAsia="仿宋" w:hAnsi="Times New Roman"/>
              </w:rPr>
            </w:pP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高效特色园艺基地</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50.00</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120.00</w:t>
            </w:r>
          </w:p>
        </w:tc>
        <w:tc>
          <w:tcPr>
            <w:tcW w:w="1173" w:type="dxa"/>
            <w:vMerge/>
            <w:tcBorders>
              <w:left w:val="single" w:sz="4" w:space="0" w:color="auto"/>
            </w:tcBorders>
            <w:shd w:val="clear" w:color="auto" w:fill="auto"/>
            <w:noWrap/>
            <w:vAlign w:val="center"/>
          </w:tcPr>
          <w:p w:rsidR="009766F6" w:rsidRDefault="009766F6">
            <w:pPr>
              <w:rPr>
                <w:rFonts w:ascii="Times New Roman" w:eastAsia="仿宋" w:hAnsi="Times New Roman"/>
              </w:rPr>
            </w:pPr>
          </w:p>
        </w:tc>
      </w:tr>
      <w:tr w:rsidR="009766F6">
        <w:trPr>
          <w:jc w:val="center"/>
        </w:trPr>
        <w:tc>
          <w:tcPr>
            <w:tcW w:w="1233" w:type="dxa"/>
            <w:shd w:val="clear" w:color="auto" w:fill="auto"/>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栖霞区</w:t>
            </w:r>
          </w:p>
        </w:tc>
        <w:tc>
          <w:tcPr>
            <w:tcW w:w="2755" w:type="dxa"/>
            <w:tcBorders>
              <w:left w:val="single" w:sz="4" w:space="0" w:color="auto"/>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7</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322.57</w:t>
            </w:r>
          </w:p>
        </w:tc>
        <w:tc>
          <w:tcPr>
            <w:tcW w:w="0" w:type="auto"/>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1,168.99</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415.00</w:t>
            </w:r>
          </w:p>
        </w:tc>
      </w:tr>
      <w:tr w:rsidR="009766F6">
        <w:trPr>
          <w:jc w:val="center"/>
        </w:trPr>
        <w:tc>
          <w:tcPr>
            <w:tcW w:w="1233" w:type="dxa"/>
            <w:shd w:val="clear" w:color="auto" w:fill="auto"/>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合计</w:t>
            </w:r>
          </w:p>
        </w:tc>
        <w:tc>
          <w:tcPr>
            <w:tcW w:w="2755" w:type="dxa"/>
            <w:tcBorders>
              <w:left w:val="single" w:sz="4" w:space="0" w:color="auto"/>
            </w:tcBorders>
            <w:shd w:val="clear" w:color="auto" w:fill="auto"/>
            <w:noWrap/>
            <w:vAlign w:val="center"/>
          </w:tcPr>
          <w:p w:rsidR="009766F6" w:rsidRDefault="009766F6">
            <w:pPr>
              <w:snapToGrid w:val="0"/>
              <w:jc w:val="left"/>
              <w:rPr>
                <w:rFonts w:ascii="Times New Roman" w:eastAsia="仿宋" w:hAnsi="Times New Roman"/>
                <w:b/>
                <w:color w:val="000000"/>
                <w:sz w:val="20"/>
                <w:szCs w:val="20"/>
              </w:rPr>
            </w:pP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87</w:t>
            </w:r>
          </w:p>
        </w:tc>
        <w:tc>
          <w:tcPr>
            <w:tcW w:w="143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9867.50</w:t>
            </w:r>
          </w:p>
        </w:tc>
        <w:tc>
          <w:tcPr>
            <w:tcW w:w="1181"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8749.08</w:t>
            </w:r>
          </w:p>
        </w:tc>
        <w:tc>
          <w:tcPr>
            <w:tcW w:w="1173" w:type="dxa"/>
            <w:tcBorders>
              <w:left w:val="single" w:sz="4" w:space="0" w:color="auto"/>
            </w:tcBorders>
            <w:shd w:val="clear" w:color="auto" w:fill="auto"/>
            <w:noWrap/>
            <w:vAlign w:val="center"/>
          </w:tcPr>
          <w:p w:rsidR="009766F6" w:rsidRDefault="00F92F2F">
            <w:pPr>
              <w:widowControl/>
              <w:snapToGrid w:val="0"/>
              <w:jc w:val="center"/>
              <w:textAlignment w:val="center"/>
              <w:rPr>
                <w:rFonts w:ascii="Times New Roman" w:eastAsia="仿宋" w:hAnsi="Times New Roman"/>
                <w:b/>
                <w:color w:val="000000"/>
                <w:sz w:val="20"/>
                <w:szCs w:val="20"/>
              </w:rPr>
            </w:pPr>
            <w:r>
              <w:rPr>
                <w:rFonts w:ascii="Times New Roman" w:eastAsia="仿宋" w:hAnsi="Times New Roman"/>
                <w:b/>
                <w:color w:val="000000"/>
                <w:kern w:val="0"/>
                <w:sz w:val="20"/>
                <w:szCs w:val="20"/>
              </w:rPr>
              <w:t>4226.88</w:t>
            </w:r>
          </w:p>
        </w:tc>
      </w:tr>
    </w:tbl>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2.</w:t>
      </w:r>
      <w:r>
        <w:rPr>
          <w:rFonts w:ascii="Times New Roman" w:eastAsia="仿宋" w:hAnsi="Times New Roman"/>
          <w:b w:val="0"/>
          <w:bCs/>
          <w:szCs w:val="32"/>
        </w:rPr>
        <w:t>项目资金拨付、使用情况</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1</w:t>
      </w:r>
      <w:r>
        <w:rPr>
          <w:rFonts w:ascii="Times New Roman" w:eastAsia="仿宋" w:hAnsi="Times New Roman"/>
          <w:bCs/>
          <w:sz w:val="32"/>
          <w:szCs w:val="32"/>
        </w:rPr>
        <w:t>）市级资金下拨情况</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2025</w:t>
      </w:r>
      <w:r>
        <w:rPr>
          <w:rFonts w:ascii="Times New Roman" w:eastAsia="仿宋" w:hAnsi="Times New Roman"/>
          <w:bCs/>
          <w:sz w:val="32"/>
          <w:szCs w:val="32"/>
        </w:rPr>
        <w:t>年南京市现代蔬菜园艺高质量发展项目，市级计划财政补助资金</w:t>
      </w:r>
      <w:r>
        <w:rPr>
          <w:rFonts w:ascii="Times New Roman" w:eastAsia="仿宋" w:hAnsi="Times New Roman"/>
          <w:bCs/>
          <w:sz w:val="32"/>
          <w:szCs w:val="32"/>
        </w:rPr>
        <w:t>4,851.00</w:t>
      </w:r>
      <w:r>
        <w:rPr>
          <w:rFonts w:ascii="Times New Roman" w:eastAsia="仿宋" w:hAnsi="Times New Roman"/>
          <w:bCs/>
          <w:sz w:val="32"/>
          <w:szCs w:val="32"/>
        </w:rPr>
        <w:t>万元</w:t>
      </w:r>
      <w:r>
        <w:rPr>
          <w:rFonts w:ascii="Times New Roman" w:eastAsia="仿宋" w:hAnsi="Times New Roman"/>
          <w:bCs/>
          <w:sz w:val="32"/>
          <w:szCs w:val="32"/>
        </w:rPr>
        <w:t>已全部到位，</w:t>
      </w:r>
      <w:r>
        <w:rPr>
          <w:rFonts w:ascii="Times New Roman" w:eastAsia="仿宋" w:hAnsi="Times New Roman"/>
          <w:bCs/>
          <w:sz w:val="32"/>
          <w:szCs w:val="32"/>
        </w:rPr>
        <w:t>预算资金到位率</w:t>
      </w:r>
      <w:r>
        <w:rPr>
          <w:rFonts w:ascii="Times New Roman" w:eastAsia="仿宋" w:hAnsi="Times New Roman"/>
          <w:bCs/>
          <w:sz w:val="32"/>
          <w:szCs w:val="32"/>
        </w:rPr>
        <w:t>100.00</w:t>
      </w:r>
      <w:r>
        <w:rPr>
          <w:rFonts w:ascii="Times New Roman" w:eastAsia="仿宋" w:hAnsi="Times New Roman"/>
          <w:bCs/>
          <w:sz w:val="32"/>
          <w:szCs w:val="32"/>
        </w:rPr>
        <w:t>%</w:t>
      </w:r>
      <w:r>
        <w:rPr>
          <w:rFonts w:ascii="Times New Roman" w:eastAsia="仿宋" w:hAnsi="Times New Roman"/>
          <w:bCs/>
          <w:sz w:val="32"/>
          <w:szCs w:val="32"/>
        </w:rPr>
        <w:t>。</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2</w:t>
      </w:r>
      <w:r>
        <w:rPr>
          <w:rFonts w:ascii="Times New Roman" w:eastAsia="仿宋" w:hAnsi="Times New Roman"/>
          <w:bCs/>
          <w:sz w:val="32"/>
          <w:szCs w:val="32"/>
        </w:rPr>
        <w:t>）市本级单位资金使用情况</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截至</w:t>
      </w:r>
      <w:r>
        <w:rPr>
          <w:rFonts w:ascii="Times New Roman" w:eastAsia="仿宋" w:hAnsi="Times New Roman"/>
          <w:bCs/>
          <w:sz w:val="32"/>
          <w:szCs w:val="32"/>
        </w:rPr>
        <w:t>2026</w:t>
      </w:r>
      <w:r>
        <w:rPr>
          <w:rFonts w:ascii="Times New Roman" w:eastAsia="仿宋" w:hAnsi="Times New Roman"/>
          <w:bCs/>
          <w:sz w:val="32"/>
          <w:szCs w:val="32"/>
        </w:rPr>
        <w:t>年</w:t>
      </w:r>
      <w:r>
        <w:rPr>
          <w:rFonts w:ascii="Times New Roman" w:eastAsia="仿宋" w:hAnsi="Times New Roman"/>
          <w:bCs/>
          <w:sz w:val="32"/>
          <w:szCs w:val="32"/>
        </w:rPr>
        <w:t>6</w:t>
      </w:r>
      <w:r>
        <w:rPr>
          <w:rFonts w:ascii="Times New Roman" w:eastAsia="仿宋" w:hAnsi="Times New Roman"/>
          <w:bCs/>
          <w:sz w:val="32"/>
          <w:szCs w:val="32"/>
        </w:rPr>
        <w:t>月，市本级单位</w:t>
      </w:r>
      <w:r>
        <w:rPr>
          <w:rFonts w:ascii="Times New Roman" w:eastAsia="仿宋" w:hAnsi="Times New Roman"/>
          <w:bCs/>
          <w:sz w:val="32"/>
          <w:szCs w:val="32"/>
        </w:rPr>
        <w:t>已安排</w:t>
      </w:r>
      <w:r>
        <w:rPr>
          <w:rFonts w:ascii="Times New Roman" w:eastAsia="仿宋" w:hAnsi="Times New Roman"/>
          <w:bCs/>
          <w:sz w:val="32"/>
          <w:szCs w:val="32"/>
        </w:rPr>
        <w:t>财政补助资金</w:t>
      </w:r>
      <w:r>
        <w:rPr>
          <w:rFonts w:ascii="Times New Roman" w:eastAsia="仿宋" w:hAnsi="Times New Roman"/>
          <w:bCs/>
          <w:sz w:val="32"/>
          <w:szCs w:val="32"/>
        </w:rPr>
        <w:t>542.00</w:t>
      </w:r>
      <w:r>
        <w:rPr>
          <w:rFonts w:ascii="Times New Roman" w:eastAsia="仿宋" w:hAnsi="Times New Roman"/>
          <w:bCs/>
          <w:sz w:val="32"/>
          <w:szCs w:val="32"/>
        </w:rPr>
        <w:t>万元，实际支出</w:t>
      </w:r>
      <w:r>
        <w:rPr>
          <w:rFonts w:ascii="Times New Roman" w:eastAsia="仿宋" w:hAnsi="Times New Roman"/>
          <w:bCs/>
          <w:sz w:val="32"/>
          <w:szCs w:val="32"/>
        </w:rPr>
        <w:t>528.65</w:t>
      </w:r>
      <w:r>
        <w:rPr>
          <w:rFonts w:ascii="Times New Roman" w:eastAsia="仿宋" w:hAnsi="Times New Roman"/>
          <w:bCs/>
          <w:sz w:val="32"/>
          <w:szCs w:val="32"/>
        </w:rPr>
        <w:t>万元（其中南京市蔬菜科学研究所</w:t>
      </w:r>
      <w:r>
        <w:rPr>
          <w:rFonts w:ascii="Times New Roman" w:eastAsia="仿宋" w:hAnsi="Times New Roman"/>
          <w:bCs/>
          <w:sz w:val="32"/>
          <w:szCs w:val="32"/>
        </w:rPr>
        <w:t>334.57</w:t>
      </w:r>
      <w:r>
        <w:rPr>
          <w:rFonts w:ascii="Times New Roman" w:eastAsia="仿宋" w:hAnsi="Times New Roman"/>
          <w:bCs/>
          <w:sz w:val="32"/>
          <w:szCs w:val="32"/>
        </w:rPr>
        <w:t>万元、江苏丘陵地区南京农业科学研究所</w:t>
      </w:r>
      <w:r>
        <w:rPr>
          <w:rFonts w:ascii="Times New Roman" w:eastAsia="仿宋" w:hAnsi="Times New Roman"/>
          <w:bCs/>
          <w:sz w:val="32"/>
          <w:szCs w:val="32"/>
        </w:rPr>
        <w:t>117.40</w:t>
      </w:r>
      <w:r>
        <w:rPr>
          <w:rFonts w:ascii="Times New Roman" w:eastAsia="仿宋" w:hAnsi="Times New Roman"/>
          <w:bCs/>
          <w:sz w:val="32"/>
          <w:szCs w:val="32"/>
        </w:rPr>
        <w:t>万元、南京市农业技术推广站</w:t>
      </w:r>
      <w:r>
        <w:rPr>
          <w:rFonts w:ascii="Times New Roman" w:eastAsia="仿宋" w:hAnsi="Times New Roman"/>
          <w:bCs/>
          <w:sz w:val="32"/>
          <w:szCs w:val="32"/>
        </w:rPr>
        <w:t>50.00</w:t>
      </w:r>
      <w:r>
        <w:rPr>
          <w:rFonts w:ascii="Times New Roman" w:eastAsia="仿宋" w:hAnsi="Times New Roman"/>
          <w:bCs/>
          <w:sz w:val="32"/>
          <w:szCs w:val="32"/>
        </w:rPr>
        <w:t>万元、南京市植保植检站</w:t>
      </w:r>
      <w:r>
        <w:rPr>
          <w:rFonts w:ascii="Times New Roman" w:eastAsia="仿宋" w:hAnsi="Times New Roman"/>
          <w:bCs/>
          <w:sz w:val="32"/>
          <w:szCs w:val="32"/>
        </w:rPr>
        <w:t>26.68</w:t>
      </w:r>
      <w:r>
        <w:rPr>
          <w:rFonts w:ascii="Times New Roman" w:eastAsia="仿宋" w:hAnsi="Times New Roman"/>
          <w:bCs/>
          <w:sz w:val="32"/>
          <w:szCs w:val="32"/>
        </w:rPr>
        <w:t>万元），资金执行率</w:t>
      </w:r>
      <w:r>
        <w:rPr>
          <w:rFonts w:ascii="Times New Roman" w:eastAsia="仿宋" w:hAnsi="Times New Roman"/>
          <w:bCs/>
          <w:sz w:val="32"/>
          <w:szCs w:val="32"/>
        </w:rPr>
        <w:t>97.54%</w:t>
      </w:r>
      <w:r>
        <w:rPr>
          <w:rFonts w:ascii="Times New Roman" w:eastAsia="仿宋" w:hAnsi="Times New Roman"/>
          <w:bCs/>
          <w:sz w:val="32"/>
          <w:szCs w:val="32"/>
        </w:rPr>
        <w:t>。</w:t>
      </w:r>
    </w:p>
    <w:p w:rsidR="009766F6" w:rsidRDefault="00F92F2F">
      <w:pPr>
        <w:numPr>
          <w:ilvl w:val="0"/>
          <w:numId w:val="1"/>
        </w:num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区级资金使用情况</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截至</w:t>
      </w:r>
      <w:r>
        <w:rPr>
          <w:rFonts w:ascii="Times New Roman" w:eastAsia="仿宋" w:hAnsi="Times New Roman"/>
          <w:bCs/>
          <w:sz w:val="32"/>
          <w:szCs w:val="32"/>
        </w:rPr>
        <w:t>2026</w:t>
      </w:r>
      <w:r>
        <w:rPr>
          <w:rFonts w:ascii="Times New Roman" w:eastAsia="仿宋" w:hAnsi="Times New Roman"/>
          <w:bCs/>
          <w:sz w:val="32"/>
          <w:szCs w:val="32"/>
        </w:rPr>
        <w:t>年</w:t>
      </w:r>
      <w:r>
        <w:rPr>
          <w:rFonts w:ascii="Times New Roman" w:eastAsia="仿宋" w:hAnsi="Times New Roman"/>
          <w:bCs/>
          <w:sz w:val="32"/>
          <w:szCs w:val="32"/>
        </w:rPr>
        <w:t>6</w:t>
      </w:r>
      <w:r>
        <w:rPr>
          <w:rFonts w:ascii="Times New Roman" w:eastAsia="仿宋" w:hAnsi="Times New Roman"/>
          <w:bCs/>
          <w:sz w:val="32"/>
          <w:szCs w:val="32"/>
        </w:rPr>
        <w:t>月，各区</w:t>
      </w:r>
      <w:r>
        <w:rPr>
          <w:rFonts w:ascii="Times New Roman" w:eastAsia="仿宋" w:hAnsi="Times New Roman"/>
          <w:bCs/>
          <w:sz w:val="32"/>
          <w:szCs w:val="32"/>
        </w:rPr>
        <w:t>已安排</w:t>
      </w:r>
      <w:r>
        <w:rPr>
          <w:rFonts w:ascii="Times New Roman" w:eastAsia="仿宋" w:hAnsi="Times New Roman"/>
          <w:bCs/>
          <w:sz w:val="32"/>
          <w:szCs w:val="32"/>
        </w:rPr>
        <w:t>市级财政补助资金</w:t>
      </w:r>
      <w:r>
        <w:rPr>
          <w:rFonts w:ascii="Times New Roman" w:eastAsia="仿宋" w:hAnsi="Times New Roman"/>
          <w:bCs/>
          <w:sz w:val="32"/>
          <w:szCs w:val="32"/>
        </w:rPr>
        <w:t>4</w:t>
      </w:r>
      <w:r>
        <w:rPr>
          <w:rFonts w:ascii="Times New Roman" w:eastAsia="仿宋" w:hAnsi="Times New Roman"/>
          <w:bCs/>
          <w:sz w:val="32"/>
          <w:szCs w:val="32"/>
        </w:rPr>
        <w:t>,</w:t>
      </w:r>
      <w:r>
        <w:rPr>
          <w:rFonts w:ascii="Times New Roman" w:eastAsia="仿宋" w:hAnsi="Times New Roman"/>
          <w:bCs/>
          <w:sz w:val="32"/>
          <w:szCs w:val="32"/>
        </w:rPr>
        <w:t xml:space="preserve">226.88 </w:t>
      </w:r>
      <w:r>
        <w:rPr>
          <w:rFonts w:ascii="Times New Roman" w:eastAsia="仿宋" w:hAnsi="Times New Roman"/>
          <w:bCs/>
          <w:sz w:val="32"/>
          <w:szCs w:val="32"/>
        </w:rPr>
        <w:t>万元，实际支出资金</w:t>
      </w:r>
      <w:r>
        <w:rPr>
          <w:rFonts w:ascii="Times New Roman" w:eastAsia="仿宋" w:hAnsi="Times New Roman"/>
          <w:bCs/>
          <w:sz w:val="32"/>
          <w:szCs w:val="32"/>
        </w:rPr>
        <w:t>1,144.44</w:t>
      </w:r>
      <w:r>
        <w:rPr>
          <w:rFonts w:ascii="Times New Roman" w:eastAsia="仿宋" w:hAnsi="Times New Roman"/>
          <w:bCs/>
          <w:sz w:val="32"/>
          <w:szCs w:val="32"/>
        </w:rPr>
        <w:t>万元，资金执行率</w:t>
      </w:r>
      <w:r>
        <w:rPr>
          <w:rFonts w:ascii="Times New Roman" w:eastAsia="仿宋" w:hAnsi="Times New Roman"/>
          <w:bCs/>
          <w:sz w:val="32"/>
          <w:szCs w:val="32"/>
        </w:rPr>
        <w:t>27.08</w:t>
      </w:r>
      <w:r>
        <w:rPr>
          <w:rFonts w:ascii="Times New Roman" w:eastAsia="仿宋" w:hAnsi="Times New Roman"/>
          <w:bCs/>
          <w:sz w:val="32"/>
          <w:szCs w:val="32"/>
        </w:rPr>
        <w:t>%</w:t>
      </w:r>
      <w:r>
        <w:rPr>
          <w:rFonts w:ascii="Times New Roman" w:eastAsia="仿宋" w:hAnsi="Times New Roman"/>
          <w:bCs/>
          <w:sz w:val="32"/>
          <w:szCs w:val="32"/>
        </w:rPr>
        <w:t>。</w:t>
      </w:r>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3.</w:t>
      </w:r>
      <w:r>
        <w:rPr>
          <w:rFonts w:ascii="Times New Roman" w:eastAsia="仿宋" w:hAnsi="Times New Roman"/>
          <w:b w:val="0"/>
          <w:bCs/>
          <w:szCs w:val="32"/>
        </w:rPr>
        <w:t>资金结余情况</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bCs/>
          <w:sz w:val="32"/>
          <w:szCs w:val="32"/>
        </w:rPr>
        <w:t>市本级项目：结余共</w:t>
      </w:r>
      <w:r>
        <w:rPr>
          <w:rFonts w:ascii="Times New Roman" w:eastAsia="仿宋" w:hAnsi="Times New Roman"/>
          <w:sz w:val="32"/>
          <w:szCs w:val="32"/>
        </w:rPr>
        <w:t>计</w:t>
      </w:r>
      <w:r>
        <w:rPr>
          <w:rFonts w:ascii="Times New Roman" w:eastAsia="仿宋" w:hAnsi="Times New Roman"/>
          <w:sz w:val="32"/>
          <w:szCs w:val="32"/>
        </w:rPr>
        <w:t>13.35</w:t>
      </w:r>
      <w:r>
        <w:rPr>
          <w:rFonts w:ascii="Times New Roman" w:eastAsia="仿宋" w:hAnsi="Times New Roman"/>
          <w:sz w:val="32"/>
          <w:szCs w:val="32"/>
        </w:rPr>
        <w:t>万元，其中南京市蔬菜科学研</w:t>
      </w:r>
      <w:r>
        <w:rPr>
          <w:rFonts w:ascii="Times New Roman" w:eastAsia="仿宋" w:hAnsi="Times New Roman"/>
          <w:sz w:val="32"/>
          <w:szCs w:val="32"/>
        </w:rPr>
        <w:lastRenderedPageBreak/>
        <w:t>究所</w:t>
      </w:r>
      <w:r>
        <w:rPr>
          <w:rFonts w:ascii="Times New Roman" w:eastAsia="仿宋" w:hAnsi="Times New Roman"/>
          <w:sz w:val="32"/>
          <w:szCs w:val="32"/>
        </w:rPr>
        <w:t>7.43</w:t>
      </w:r>
      <w:r>
        <w:rPr>
          <w:rFonts w:ascii="Times New Roman" w:eastAsia="仿宋" w:hAnsi="Times New Roman"/>
          <w:sz w:val="32"/>
          <w:szCs w:val="32"/>
        </w:rPr>
        <w:t>万元、江苏丘陵地区南京农业科学研究所</w:t>
      </w:r>
      <w:r>
        <w:rPr>
          <w:rFonts w:ascii="Times New Roman" w:eastAsia="仿宋" w:hAnsi="Times New Roman"/>
          <w:sz w:val="32"/>
          <w:szCs w:val="32"/>
        </w:rPr>
        <w:t>2.60</w:t>
      </w:r>
      <w:r>
        <w:rPr>
          <w:rFonts w:ascii="Times New Roman" w:eastAsia="仿宋" w:hAnsi="Times New Roman"/>
          <w:sz w:val="32"/>
          <w:szCs w:val="32"/>
        </w:rPr>
        <w:t>万元、南京市植保植检站</w:t>
      </w:r>
      <w:r>
        <w:rPr>
          <w:rFonts w:ascii="Times New Roman" w:eastAsia="仿宋" w:hAnsi="Times New Roman"/>
          <w:sz w:val="32"/>
          <w:szCs w:val="32"/>
        </w:rPr>
        <w:t>3.32</w:t>
      </w:r>
      <w:r>
        <w:rPr>
          <w:rFonts w:ascii="Times New Roman" w:eastAsia="仿宋" w:hAnsi="Times New Roman"/>
          <w:sz w:val="32"/>
          <w:szCs w:val="32"/>
        </w:rPr>
        <w:t>万元。</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区级项目：</w:t>
      </w:r>
      <w:r>
        <w:rPr>
          <w:rFonts w:ascii="Times New Roman" w:eastAsia="仿宋" w:hAnsi="Times New Roman"/>
          <w:sz w:val="32"/>
          <w:szCs w:val="32"/>
        </w:rPr>
        <w:t>按照项目实施管理要求，市级标准化菜地项目建设期限到</w:t>
      </w:r>
      <w:r>
        <w:rPr>
          <w:rFonts w:ascii="Times New Roman" w:eastAsia="仿宋" w:hAnsi="Times New Roman"/>
          <w:sz w:val="32"/>
          <w:szCs w:val="32"/>
        </w:rPr>
        <w:t>2026</w:t>
      </w:r>
      <w:r>
        <w:rPr>
          <w:rFonts w:ascii="Times New Roman" w:eastAsia="仿宋" w:hAnsi="Times New Roman"/>
          <w:sz w:val="32"/>
          <w:szCs w:val="32"/>
        </w:rPr>
        <w:t>年</w:t>
      </w:r>
      <w:r>
        <w:rPr>
          <w:rFonts w:ascii="Times New Roman" w:eastAsia="仿宋" w:hAnsi="Times New Roman"/>
          <w:sz w:val="32"/>
          <w:szCs w:val="32"/>
        </w:rPr>
        <w:t>8</w:t>
      </w:r>
      <w:r>
        <w:rPr>
          <w:rFonts w:ascii="Times New Roman" w:eastAsia="仿宋" w:hAnsi="Times New Roman"/>
          <w:sz w:val="32"/>
          <w:szCs w:val="32"/>
        </w:rPr>
        <w:t>月结束，其他项目建设期限到</w:t>
      </w:r>
      <w:r>
        <w:rPr>
          <w:rFonts w:ascii="Times New Roman" w:eastAsia="仿宋" w:hAnsi="Times New Roman"/>
          <w:sz w:val="32"/>
          <w:szCs w:val="32"/>
        </w:rPr>
        <w:t>2026</w:t>
      </w:r>
      <w:r>
        <w:rPr>
          <w:rFonts w:ascii="Times New Roman" w:eastAsia="仿宋" w:hAnsi="Times New Roman"/>
          <w:sz w:val="32"/>
          <w:szCs w:val="32"/>
        </w:rPr>
        <w:t>年</w:t>
      </w:r>
      <w:r>
        <w:rPr>
          <w:rFonts w:ascii="Times New Roman" w:eastAsia="仿宋" w:hAnsi="Times New Roman"/>
          <w:sz w:val="32"/>
          <w:szCs w:val="32"/>
        </w:rPr>
        <w:t>6</w:t>
      </w:r>
      <w:r>
        <w:rPr>
          <w:rFonts w:ascii="Times New Roman" w:eastAsia="仿宋" w:hAnsi="Times New Roman"/>
          <w:sz w:val="32"/>
          <w:szCs w:val="32"/>
        </w:rPr>
        <w:t>月底前结束，目前尚未到期，市级补助资金结余将根据实际使用情况，待验收结束后确认。</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7" w:name="_Toc30663"/>
      <w:bookmarkStart w:id="8" w:name="_Toc8527"/>
      <w:r>
        <w:rPr>
          <w:rFonts w:ascii="Times New Roman" w:eastAsia="仿宋" w:hAnsi="Times New Roman"/>
          <w:b w:val="0"/>
          <w:bCs/>
          <w:szCs w:val="32"/>
        </w:rPr>
        <w:t>（五）项目绩效目标</w:t>
      </w:r>
      <w:bookmarkEnd w:id="7"/>
      <w:bookmarkEnd w:id="8"/>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1.</w:t>
      </w:r>
      <w:r>
        <w:rPr>
          <w:rFonts w:ascii="Times New Roman" w:eastAsia="仿宋" w:hAnsi="Times New Roman"/>
          <w:b w:val="0"/>
          <w:bCs/>
          <w:szCs w:val="32"/>
        </w:rPr>
        <w:t>中长期目标</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到</w:t>
      </w:r>
      <w:r>
        <w:rPr>
          <w:rFonts w:ascii="Times New Roman" w:eastAsia="仿宋" w:hAnsi="Times New Roman"/>
          <w:bCs/>
          <w:sz w:val="32"/>
          <w:szCs w:val="32"/>
        </w:rPr>
        <w:t>2025</w:t>
      </w:r>
      <w:r>
        <w:rPr>
          <w:rFonts w:ascii="Times New Roman" w:eastAsia="仿宋" w:hAnsi="Times New Roman"/>
          <w:bCs/>
          <w:sz w:val="32"/>
          <w:szCs w:val="32"/>
        </w:rPr>
        <w:t>年，全市建成</w:t>
      </w:r>
      <w:r>
        <w:rPr>
          <w:rFonts w:ascii="Times New Roman" w:eastAsia="仿宋" w:hAnsi="Times New Roman"/>
          <w:bCs/>
          <w:sz w:val="32"/>
          <w:szCs w:val="32"/>
        </w:rPr>
        <w:t>100</w:t>
      </w:r>
      <w:r>
        <w:rPr>
          <w:rFonts w:ascii="Times New Roman" w:eastAsia="仿宋" w:hAnsi="Times New Roman"/>
          <w:bCs/>
          <w:sz w:val="32"/>
          <w:szCs w:val="32"/>
        </w:rPr>
        <w:t>个左右市级标准化菜地，设施蔬菜园艺面积稳定在</w:t>
      </w:r>
      <w:r>
        <w:rPr>
          <w:rFonts w:ascii="Times New Roman" w:eastAsia="仿宋" w:hAnsi="Times New Roman"/>
          <w:bCs/>
          <w:sz w:val="32"/>
          <w:szCs w:val="32"/>
        </w:rPr>
        <w:t>60</w:t>
      </w:r>
      <w:r>
        <w:rPr>
          <w:rFonts w:ascii="Times New Roman" w:eastAsia="仿宋" w:hAnsi="Times New Roman"/>
          <w:bCs/>
          <w:sz w:val="32"/>
          <w:szCs w:val="32"/>
        </w:rPr>
        <w:t>万亩左右，在</w:t>
      </w:r>
      <w:r>
        <w:rPr>
          <w:rFonts w:ascii="Times New Roman" w:eastAsia="仿宋" w:hAnsi="Times New Roman"/>
          <w:bCs/>
          <w:sz w:val="32"/>
          <w:szCs w:val="32"/>
        </w:rPr>
        <w:t>300</w:t>
      </w:r>
      <w:r>
        <w:rPr>
          <w:rFonts w:ascii="Times New Roman" w:eastAsia="仿宋" w:hAnsi="Times New Roman"/>
          <w:bCs/>
          <w:sz w:val="32"/>
          <w:szCs w:val="32"/>
        </w:rPr>
        <w:t>个以上基地示范推广绿色防控技术模式。</w:t>
      </w:r>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2.</w:t>
      </w:r>
      <w:r>
        <w:rPr>
          <w:rFonts w:ascii="Times New Roman" w:eastAsia="仿宋" w:hAnsi="Times New Roman"/>
          <w:b w:val="0"/>
          <w:bCs/>
          <w:szCs w:val="32"/>
        </w:rPr>
        <w:t>年度绩效目标</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根</w:t>
      </w:r>
      <w:r>
        <w:rPr>
          <w:rFonts w:ascii="Times New Roman" w:eastAsia="仿宋" w:hAnsi="Times New Roman"/>
          <w:bCs/>
          <w:sz w:val="32"/>
          <w:szCs w:val="32"/>
        </w:rPr>
        <w:t>据蔬菜园艺处提供的《</w:t>
      </w:r>
      <w:r>
        <w:rPr>
          <w:rFonts w:ascii="Times New Roman" w:eastAsia="仿宋" w:hAnsi="Times New Roman"/>
          <w:bCs/>
          <w:sz w:val="32"/>
          <w:szCs w:val="32"/>
        </w:rPr>
        <w:t>2025</w:t>
      </w:r>
      <w:r>
        <w:rPr>
          <w:rFonts w:ascii="Times New Roman" w:eastAsia="仿宋" w:hAnsi="Times New Roman"/>
          <w:bCs/>
          <w:sz w:val="32"/>
          <w:szCs w:val="32"/>
        </w:rPr>
        <w:t>现代蔬菜园艺高质量发展预算绩效目标表》，</w:t>
      </w:r>
      <w:r>
        <w:rPr>
          <w:rFonts w:ascii="Times New Roman" w:eastAsia="仿宋" w:hAnsi="Times New Roman"/>
          <w:bCs/>
          <w:sz w:val="32"/>
          <w:szCs w:val="32"/>
        </w:rPr>
        <w:t>2025</w:t>
      </w:r>
      <w:r>
        <w:rPr>
          <w:rFonts w:ascii="Times New Roman" w:eastAsia="仿宋" w:hAnsi="Times New Roman"/>
          <w:bCs/>
          <w:sz w:val="32"/>
          <w:szCs w:val="32"/>
        </w:rPr>
        <w:t>年，新建标准化菜地</w:t>
      </w:r>
      <w:r>
        <w:rPr>
          <w:rFonts w:ascii="Times New Roman" w:eastAsia="仿宋" w:hAnsi="Times New Roman"/>
          <w:bCs/>
          <w:sz w:val="32"/>
          <w:szCs w:val="32"/>
        </w:rPr>
        <w:t>2</w:t>
      </w:r>
      <w:r>
        <w:rPr>
          <w:rFonts w:ascii="Times New Roman" w:eastAsia="仿宋" w:hAnsi="Times New Roman"/>
          <w:bCs/>
          <w:sz w:val="32"/>
          <w:szCs w:val="32"/>
        </w:rPr>
        <w:t>个，设施蔬菜园艺项目</w:t>
      </w:r>
      <w:r>
        <w:rPr>
          <w:rFonts w:ascii="Times New Roman" w:eastAsia="仿宋" w:hAnsi="Times New Roman"/>
          <w:bCs/>
          <w:sz w:val="32"/>
          <w:szCs w:val="32"/>
        </w:rPr>
        <w:t>63</w:t>
      </w:r>
      <w:r>
        <w:rPr>
          <w:rFonts w:ascii="Times New Roman" w:eastAsia="仿宋" w:hAnsi="Times New Roman"/>
          <w:bCs/>
          <w:sz w:val="32"/>
          <w:szCs w:val="32"/>
        </w:rPr>
        <w:t>个左右，在</w:t>
      </w:r>
      <w:r>
        <w:rPr>
          <w:rFonts w:ascii="Times New Roman" w:eastAsia="仿宋" w:hAnsi="Times New Roman"/>
          <w:bCs/>
          <w:sz w:val="32"/>
          <w:szCs w:val="32"/>
        </w:rPr>
        <w:t>5</w:t>
      </w:r>
      <w:r>
        <w:rPr>
          <w:rFonts w:ascii="Times New Roman" w:eastAsia="仿宋" w:hAnsi="Times New Roman"/>
          <w:bCs/>
          <w:sz w:val="32"/>
          <w:szCs w:val="32"/>
        </w:rPr>
        <w:t>个基地开展绿色防控试验示范与推广。</w:t>
      </w:r>
    </w:p>
    <w:p w:rsidR="009766F6" w:rsidRDefault="00F92F2F">
      <w:pPr>
        <w:pStyle w:val="2"/>
        <w:numPr>
          <w:ilvl w:val="0"/>
          <w:numId w:val="2"/>
        </w:numPr>
        <w:spacing w:before="0" w:after="0" w:line="560" w:lineRule="exact"/>
        <w:ind w:firstLineChars="200" w:firstLine="640"/>
        <w:rPr>
          <w:rFonts w:ascii="Times New Roman" w:eastAsia="仿宋" w:hAnsi="Times New Roman"/>
          <w:b w:val="0"/>
          <w:bCs/>
          <w:szCs w:val="32"/>
        </w:rPr>
      </w:pPr>
      <w:bookmarkStart w:id="9" w:name="_Toc30221"/>
      <w:r>
        <w:rPr>
          <w:rFonts w:ascii="Times New Roman" w:eastAsia="仿宋" w:hAnsi="Times New Roman"/>
          <w:b w:val="0"/>
          <w:bCs/>
          <w:szCs w:val="32"/>
        </w:rPr>
        <w:t>项目实施情况</w:t>
      </w:r>
      <w:bookmarkEnd w:id="9"/>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截至</w:t>
      </w:r>
      <w:r>
        <w:rPr>
          <w:rFonts w:ascii="Times New Roman" w:eastAsia="仿宋" w:hAnsi="Times New Roman"/>
          <w:sz w:val="32"/>
          <w:szCs w:val="32"/>
        </w:rPr>
        <w:t>2026</w:t>
      </w:r>
      <w:r>
        <w:rPr>
          <w:rFonts w:ascii="Times New Roman" w:eastAsia="仿宋" w:hAnsi="Times New Roman"/>
          <w:sz w:val="32"/>
          <w:szCs w:val="32"/>
        </w:rPr>
        <w:t>年</w:t>
      </w:r>
      <w:r>
        <w:rPr>
          <w:rFonts w:ascii="Times New Roman" w:eastAsia="仿宋" w:hAnsi="Times New Roman"/>
          <w:sz w:val="32"/>
          <w:szCs w:val="32"/>
        </w:rPr>
        <w:t>6</w:t>
      </w:r>
      <w:r>
        <w:rPr>
          <w:rFonts w:ascii="Times New Roman" w:eastAsia="仿宋" w:hAnsi="Times New Roman"/>
          <w:sz w:val="32"/>
          <w:szCs w:val="32"/>
        </w:rPr>
        <w:t>月，计划实施</w:t>
      </w:r>
      <w:r>
        <w:rPr>
          <w:rFonts w:ascii="Times New Roman" w:eastAsia="仿宋" w:hAnsi="Times New Roman"/>
          <w:sz w:val="32"/>
          <w:szCs w:val="32"/>
        </w:rPr>
        <w:t>98</w:t>
      </w:r>
      <w:r>
        <w:rPr>
          <w:rFonts w:ascii="Times New Roman" w:eastAsia="仿宋" w:hAnsi="Times New Roman"/>
          <w:sz w:val="32"/>
          <w:szCs w:val="32"/>
        </w:rPr>
        <w:t>个项目：在建项目</w:t>
      </w:r>
      <w:r>
        <w:rPr>
          <w:rFonts w:ascii="Times New Roman" w:eastAsia="仿宋" w:hAnsi="Times New Roman"/>
          <w:sz w:val="32"/>
          <w:szCs w:val="32"/>
        </w:rPr>
        <w:t>13</w:t>
      </w:r>
      <w:r>
        <w:rPr>
          <w:rFonts w:ascii="Times New Roman" w:eastAsia="仿宋" w:hAnsi="Times New Roman"/>
          <w:sz w:val="32"/>
          <w:szCs w:val="32"/>
        </w:rPr>
        <w:t>个、已</w:t>
      </w:r>
      <w:r w:rsidR="005B11D5">
        <w:rPr>
          <w:rFonts w:ascii="Times New Roman" w:eastAsia="仿宋" w:hAnsi="Times New Roman"/>
          <w:sz w:val="32"/>
          <w:szCs w:val="32"/>
        </w:rPr>
        <w:t>完</w:t>
      </w:r>
      <w:bookmarkStart w:id="10" w:name="_GoBack"/>
      <w:bookmarkEnd w:id="10"/>
      <w:r>
        <w:rPr>
          <w:rFonts w:ascii="Times New Roman" w:eastAsia="仿宋" w:hAnsi="Times New Roman"/>
          <w:sz w:val="32"/>
          <w:szCs w:val="32"/>
        </w:rPr>
        <w:t>工项目</w:t>
      </w:r>
      <w:r>
        <w:rPr>
          <w:rFonts w:ascii="Times New Roman" w:eastAsia="仿宋" w:hAnsi="Times New Roman"/>
          <w:sz w:val="32"/>
          <w:szCs w:val="32"/>
        </w:rPr>
        <w:t>82</w:t>
      </w:r>
      <w:r>
        <w:rPr>
          <w:rFonts w:ascii="Times New Roman" w:eastAsia="仿宋" w:hAnsi="Times New Roman"/>
          <w:sz w:val="32"/>
          <w:szCs w:val="32"/>
        </w:rPr>
        <w:t>个、终止项目</w:t>
      </w:r>
      <w:r>
        <w:rPr>
          <w:rFonts w:ascii="Times New Roman" w:eastAsia="仿宋" w:hAnsi="Times New Roman"/>
          <w:sz w:val="32"/>
          <w:szCs w:val="32"/>
        </w:rPr>
        <w:t>3</w:t>
      </w:r>
      <w:r>
        <w:rPr>
          <w:rFonts w:ascii="Times New Roman" w:eastAsia="仿宋" w:hAnsi="Times New Roman"/>
          <w:sz w:val="32"/>
          <w:szCs w:val="32"/>
        </w:rPr>
        <w:t>个，其中已完成验收项目</w:t>
      </w:r>
      <w:r>
        <w:rPr>
          <w:rFonts w:ascii="Times New Roman" w:eastAsia="仿宋" w:hAnsi="Times New Roman"/>
          <w:sz w:val="32"/>
          <w:szCs w:val="32"/>
        </w:rPr>
        <w:t>19</w:t>
      </w:r>
      <w:r>
        <w:rPr>
          <w:rFonts w:ascii="Times New Roman" w:eastAsia="仿宋" w:hAnsi="Times New Roman"/>
          <w:sz w:val="32"/>
          <w:szCs w:val="32"/>
        </w:rPr>
        <w:t>个，具体情况见下表：</w:t>
      </w:r>
    </w:p>
    <w:tbl>
      <w:tblPr>
        <w:tblW w:w="8944" w:type="dxa"/>
        <w:jc w:val="center"/>
        <w:tblLook w:val="04A0" w:firstRow="1" w:lastRow="0" w:firstColumn="1" w:lastColumn="0" w:noHBand="0" w:noVBand="1"/>
      </w:tblPr>
      <w:tblGrid>
        <w:gridCol w:w="3223"/>
        <w:gridCol w:w="822"/>
        <w:gridCol w:w="1092"/>
        <w:gridCol w:w="822"/>
        <w:gridCol w:w="822"/>
        <w:gridCol w:w="2163"/>
      </w:tblGrid>
      <w:tr w:rsidR="009766F6">
        <w:trPr>
          <w:tblHeader/>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所在区</w:t>
            </w:r>
            <w:r>
              <w:rPr>
                <w:rFonts w:ascii="Times New Roman" w:eastAsia="仿宋" w:hAnsi="Times New Roman"/>
                <w:b/>
                <w:bCs/>
                <w:color w:val="000000"/>
                <w:kern w:val="0"/>
                <w:sz w:val="20"/>
                <w:szCs w:val="20"/>
              </w:rPr>
              <w:t>/</w:t>
            </w:r>
            <w:r>
              <w:rPr>
                <w:rFonts w:ascii="Times New Roman" w:eastAsia="仿宋" w:hAnsi="Times New Roman"/>
                <w:b/>
                <w:bCs/>
                <w:color w:val="000000"/>
                <w:kern w:val="0"/>
                <w:sz w:val="20"/>
                <w:szCs w:val="20"/>
              </w:rPr>
              <w:t>项目</w:t>
            </w:r>
          </w:p>
        </w:tc>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在建</w:t>
            </w:r>
          </w:p>
        </w:tc>
        <w:tc>
          <w:tcPr>
            <w:tcW w:w="10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已完工</w:t>
            </w:r>
          </w:p>
        </w:tc>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终止</w:t>
            </w:r>
          </w:p>
        </w:tc>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小计</w:t>
            </w:r>
          </w:p>
        </w:tc>
        <w:tc>
          <w:tcPr>
            <w:tcW w:w="2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其中已完成验收</w:t>
            </w: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市本级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snapToGrid w:val="0"/>
              <w:jc w:val="center"/>
              <w:rPr>
                <w:rFonts w:ascii="Times New Roman" w:eastAsia="仿宋" w:hAnsi="Times New Roman"/>
                <w:color w:val="000000"/>
                <w:sz w:val="20"/>
                <w:szCs w:val="20"/>
              </w:rPr>
            </w:pPr>
            <w:r>
              <w:rPr>
                <w:rFonts w:ascii="Times New Roman" w:eastAsia="仿宋" w:hAnsi="Times New Roman"/>
                <w:color w:val="000000"/>
                <w:sz w:val="20"/>
                <w:szCs w:val="20"/>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snapToGrid w:val="0"/>
              <w:jc w:val="center"/>
              <w:rPr>
                <w:rFonts w:ascii="Times New Roman" w:eastAsia="仿宋" w:hAnsi="Times New Roman"/>
                <w:color w:val="000000"/>
                <w:sz w:val="20"/>
                <w:szCs w:val="20"/>
              </w:rPr>
            </w:pPr>
            <w:r>
              <w:rPr>
                <w:rFonts w:ascii="Times New Roman" w:eastAsia="仿宋" w:hAnsi="Times New Roman"/>
                <w:color w:val="000000"/>
                <w:sz w:val="20"/>
                <w:szCs w:val="20"/>
              </w:rPr>
              <w:t>11</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snapToGrid w:val="0"/>
              <w:jc w:val="center"/>
              <w:rPr>
                <w:rFonts w:ascii="Times New Roman" w:eastAsia="仿宋" w:hAnsi="Times New Roman"/>
                <w:color w:val="000000"/>
                <w:sz w:val="20"/>
                <w:szCs w:val="20"/>
              </w:rPr>
            </w:pPr>
            <w:r>
              <w:rPr>
                <w:rFonts w:ascii="Times New Roman" w:eastAsia="仿宋" w:hAnsi="Times New Roman"/>
                <w:color w:val="000000"/>
                <w:sz w:val="20"/>
                <w:szCs w:val="20"/>
              </w:rPr>
              <w:t>11</w:t>
            </w: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江北新区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浦口区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17</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w:t>
            </w: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江宁区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标准化菜地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lastRenderedPageBreak/>
              <w:t>六合区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标准化菜地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6</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高淳区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8</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12</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高效特色园艺基地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溧水区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绿色防控试验示范与推广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4</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17</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栖霞区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color w:val="000000"/>
                <w:sz w:val="20"/>
                <w:szCs w:val="20"/>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b/>
                <w:bCs/>
                <w:color w:val="000000"/>
                <w:sz w:val="20"/>
                <w:szCs w:val="20"/>
              </w:rPr>
            </w:pPr>
          </w:p>
        </w:tc>
      </w:tr>
      <w:tr w:rsidR="009766F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设施蔬菜园艺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仿宋" w:hAnsi="Times New Roman"/>
                <w:b/>
                <w:bCs/>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20"/>
                <w:szCs w:val="20"/>
              </w:rPr>
            </w:pPr>
            <w:r>
              <w:rPr>
                <w:rFonts w:ascii="Times New Roman" w:eastAsia="仿宋" w:hAnsi="Times New Roman"/>
                <w:color w:val="000000"/>
                <w:kern w:val="0"/>
                <w:sz w:val="20"/>
                <w:szCs w:val="20"/>
              </w:rPr>
              <w:t>7</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1</w:t>
            </w:r>
          </w:p>
        </w:tc>
      </w:tr>
      <w:tr w:rsidR="009766F6">
        <w:trPr>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left"/>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合计</w:t>
            </w:r>
          </w:p>
        </w:tc>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13</w:t>
            </w:r>
          </w:p>
        </w:tc>
        <w:tc>
          <w:tcPr>
            <w:tcW w:w="10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82</w:t>
            </w:r>
          </w:p>
        </w:tc>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3</w:t>
            </w:r>
          </w:p>
        </w:tc>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98</w:t>
            </w:r>
          </w:p>
        </w:tc>
        <w:tc>
          <w:tcPr>
            <w:tcW w:w="21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20"/>
                <w:szCs w:val="20"/>
              </w:rPr>
            </w:pPr>
            <w:r>
              <w:rPr>
                <w:rFonts w:ascii="Times New Roman" w:eastAsia="仿宋" w:hAnsi="Times New Roman"/>
                <w:b/>
                <w:bCs/>
                <w:color w:val="000000"/>
                <w:kern w:val="0"/>
                <w:sz w:val="20"/>
                <w:szCs w:val="20"/>
              </w:rPr>
              <w:t>19</w:t>
            </w:r>
          </w:p>
        </w:tc>
      </w:tr>
    </w:tbl>
    <w:p w:rsidR="009766F6" w:rsidRDefault="00F92F2F">
      <w:pPr>
        <w:pStyle w:val="1"/>
        <w:spacing w:before="0" w:after="0" w:line="560" w:lineRule="exact"/>
        <w:ind w:firstLineChars="200" w:firstLine="640"/>
        <w:rPr>
          <w:rFonts w:ascii="Times New Roman" w:eastAsia="黑体" w:hAnsi="Times New Roman"/>
          <w:b w:val="0"/>
          <w:bCs w:val="0"/>
          <w:sz w:val="32"/>
          <w:szCs w:val="32"/>
        </w:rPr>
      </w:pPr>
      <w:bookmarkStart w:id="11" w:name="_Toc8167"/>
      <w:bookmarkStart w:id="12" w:name="_Toc21412"/>
      <w:r>
        <w:rPr>
          <w:rFonts w:ascii="Times New Roman" w:eastAsia="黑体" w:hAnsi="Times New Roman"/>
          <w:b w:val="0"/>
          <w:bCs w:val="0"/>
          <w:sz w:val="32"/>
          <w:szCs w:val="32"/>
        </w:rPr>
        <w:t>二、绩效评价</w:t>
      </w:r>
      <w:bookmarkEnd w:id="11"/>
      <w:r>
        <w:rPr>
          <w:rFonts w:ascii="Times New Roman" w:eastAsia="黑体" w:hAnsi="Times New Roman"/>
          <w:b w:val="0"/>
          <w:bCs w:val="0"/>
          <w:sz w:val="32"/>
          <w:szCs w:val="32"/>
        </w:rPr>
        <w:t>结论</w:t>
      </w:r>
      <w:bookmarkEnd w:id="12"/>
    </w:p>
    <w:p w:rsidR="009766F6" w:rsidRDefault="00F92F2F">
      <w:pPr>
        <w:pStyle w:val="2"/>
        <w:spacing w:before="0" w:after="0" w:line="560" w:lineRule="exact"/>
        <w:ind w:firstLineChars="200" w:firstLine="640"/>
        <w:rPr>
          <w:rFonts w:ascii="Times New Roman" w:eastAsia="仿宋" w:hAnsi="Times New Roman"/>
          <w:b w:val="0"/>
          <w:bCs/>
          <w:szCs w:val="32"/>
        </w:rPr>
      </w:pPr>
      <w:bookmarkStart w:id="13" w:name="_Toc15592"/>
      <w:bookmarkStart w:id="14" w:name="_Toc8213"/>
      <w:r>
        <w:rPr>
          <w:rFonts w:ascii="Times New Roman" w:eastAsia="仿宋" w:hAnsi="Times New Roman"/>
          <w:b w:val="0"/>
          <w:bCs/>
          <w:szCs w:val="32"/>
        </w:rPr>
        <w:t>（一）评价对象</w:t>
      </w:r>
      <w:bookmarkEnd w:id="13"/>
      <w:r>
        <w:rPr>
          <w:rFonts w:ascii="Times New Roman" w:eastAsia="仿宋" w:hAnsi="Times New Roman"/>
          <w:b w:val="0"/>
          <w:bCs/>
          <w:szCs w:val="32"/>
        </w:rPr>
        <w:t>及范围</w:t>
      </w:r>
      <w:bookmarkEnd w:id="14"/>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本次绩效评价的对象为</w:t>
      </w:r>
      <w:r>
        <w:rPr>
          <w:rFonts w:ascii="Times New Roman" w:eastAsia="仿宋" w:hAnsi="Times New Roman"/>
          <w:bCs/>
          <w:sz w:val="32"/>
          <w:szCs w:val="32"/>
        </w:rPr>
        <w:t>2025</w:t>
      </w:r>
      <w:r>
        <w:rPr>
          <w:rFonts w:ascii="Times New Roman" w:eastAsia="仿宋" w:hAnsi="Times New Roman"/>
          <w:bCs/>
          <w:sz w:val="32"/>
          <w:szCs w:val="32"/>
        </w:rPr>
        <w:t>年度</w:t>
      </w:r>
      <w:r>
        <w:rPr>
          <w:rFonts w:ascii="Times New Roman" w:eastAsia="仿宋" w:hAnsi="Times New Roman"/>
          <w:bCs/>
          <w:sz w:val="32"/>
          <w:szCs w:val="32"/>
        </w:rPr>
        <w:t>南京市现代蔬菜园艺高质量发展项目专项资金。评价范围为市本级单位及</w:t>
      </w:r>
      <w:r>
        <w:rPr>
          <w:rFonts w:ascii="Times New Roman" w:eastAsia="仿宋" w:hAnsi="Times New Roman"/>
          <w:bCs/>
          <w:sz w:val="32"/>
          <w:szCs w:val="32"/>
        </w:rPr>
        <w:t>江北新区、</w:t>
      </w:r>
      <w:r>
        <w:rPr>
          <w:rFonts w:ascii="Times New Roman" w:eastAsia="仿宋" w:hAnsi="Times New Roman"/>
          <w:bCs/>
          <w:sz w:val="32"/>
          <w:szCs w:val="32"/>
        </w:rPr>
        <w:t>浦口区、江宁区、六合区、溧水区、高淳区、</w:t>
      </w:r>
      <w:r>
        <w:rPr>
          <w:rFonts w:ascii="Times New Roman" w:eastAsia="仿宋" w:hAnsi="Times New Roman"/>
          <w:bCs/>
          <w:sz w:val="32"/>
          <w:szCs w:val="32"/>
        </w:rPr>
        <w:t>栖霞</w:t>
      </w:r>
      <w:r>
        <w:rPr>
          <w:rFonts w:ascii="Times New Roman" w:eastAsia="仿宋" w:hAnsi="Times New Roman"/>
          <w:bCs/>
          <w:sz w:val="32"/>
          <w:szCs w:val="32"/>
        </w:rPr>
        <w:t>区等</w:t>
      </w:r>
      <w:r>
        <w:rPr>
          <w:rFonts w:ascii="Times New Roman" w:eastAsia="仿宋" w:hAnsi="Times New Roman"/>
          <w:bCs/>
          <w:sz w:val="32"/>
          <w:szCs w:val="32"/>
        </w:rPr>
        <w:t>7</w:t>
      </w:r>
      <w:r>
        <w:rPr>
          <w:rFonts w:ascii="Times New Roman" w:eastAsia="仿宋" w:hAnsi="Times New Roman"/>
          <w:bCs/>
          <w:sz w:val="32"/>
          <w:szCs w:val="32"/>
        </w:rPr>
        <w:t>个区属的</w:t>
      </w:r>
      <w:r>
        <w:rPr>
          <w:rFonts w:ascii="Times New Roman" w:eastAsia="仿宋" w:hAnsi="Times New Roman"/>
          <w:bCs/>
          <w:sz w:val="32"/>
          <w:szCs w:val="32"/>
        </w:rPr>
        <w:t>2025</w:t>
      </w:r>
      <w:r>
        <w:rPr>
          <w:rFonts w:ascii="Times New Roman" w:eastAsia="仿宋" w:hAnsi="Times New Roman"/>
          <w:bCs/>
          <w:sz w:val="32"/>
          <w:szCs w:val="32"/>
        </w:rPr>
        <w:t>年度南京市现代蔬菜园艺高质量发展项目专项资金的管理使用情况，重点包括项目资金管理、项目实施、项目产出及效益情况。</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15" w:name="_Toc32724"/>
      <w:r>
        <w:rPr>
          <w:rFonts w:ascii="Times New Roman" w:eastAsia="仿宋" w:hAnsi="Times New Roman"/>
          <w:b w:val="0"/>
          <w:bCs/>
          <w:szCs w:val="32"/>
        </w:rPr>
        <w:t>（二）评价结论</w:t>
      </w:r>
      <w:bookmarkEnd w:id="15"/>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2025</w:t>
      </w:r>
      <w:r>
        <w:rPr>
          <w:rFonts w:ascii="Times New Roman" w:eastAsia="仿宋" w:hAnsi="Times New Roman"/>
          <w:bCs/>
          <w:sz w:val="32"/>
          <w:szCs w:val="32"/>
        </w:rPr>
        <w:t>年南京市现代蔬菜园艺高质量发展项目，严格按照立项目标推进落地，资金管理规范，在菜篮子保供，绿色防控试验示范与推广、果蔬新品种引进、农业设施升级四大核心领域取得显著、可量化的实施成效，完成了稳产保供、绿色转型、产业</w:t>
      </w:r>
      <w:r>
        <w:rPr>
          <w:rFonts w:ascii="Times New Roman" w:eastAsia="仿宋" w:hAnsi="Times New Roman"/>
          <w:bCs/>
          <w:sz w:val="32"/>
          <w:szCs w:val="32"/>
        </w:rPr>
        <w:t>提质</w:t>
      </w:r>
      <w:r>
        <w:rPr>
          <w:rFonts w:ascii="Times New Roman" w:eastAsia="仿宋" w:hAnsi="Times New Roman"/>
          <w:bCs/>
          <w:sz w:val="32"/>
          <w:szCs w:val="32"/>
        </w:rPr>
        <w:t>、农民增收各项绩效目标，财政专项资金使用效益充分释放，为南京市现代蔬菜园艺高质量发展奠定坚实基础，具备较强示范推广价值与可持续发展潜力。</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16" w:name="_Toc29527"/>
      <w:r>
        <w:rPr>
          <w:rFonts w:ascii="Times New Roman" w:eastAsia="仿宋" w:hAnsi="Times New Roman"/>
          <w:b w:val="0"/>
          <w:bCs/>
          <w:szCs w:val="32"/>
        </w:rPr>
        <w:t>（三）评价结果</w:t>
      </w:r>
      <w:bookmarkEnd w:id="16"/>
    </w:p>
    <w:p w:rsidR="009766F6" w:rsidRDefault="00F92F2F">
      <w:pPr>
        <w:spacing w:line="560" w:lineRule="exact"/>
        <w:ind w:firstLineChars="200" w:firstLine="640"/>
        <w:rPr>
          <w:rFonts w:ascii="Times New Roman" w:eastAsia="仿宋" w:hAnsi="Times New Roman"/>
          <w:bCs/>
          <w:kern w:val="0"/>
          <w:sz w:val="32"/>
          <w:szCs w:val="32"/>
        </w:rPr>
      </w:pPr>
      <w:r>
        <w:rPr>
          <w:rFonts w:ascii="Times New Roman" w:eastAsia="仿宋" w:hAnsi="Times New Roman"/>
          <w:bCs/>
          <w:kern w:val="0"/>
          <w:sz w:val="32"/>
          <w:szCs w:val="32"/>
        </w:rPr>
        <w:t>根据《</w:t>
      </w:r>
      <w:r>
        <w:rPr>
          <w:rFonts w:ascii="Times New Roman" w:eastAsia="仿宋" w:hAnsi="Times New Roman"/>
          <w:bCs/>
          <w:kern w:val="0"/>
          <w:sz w:val="32"/>
          <w:szCs w:val="32"/>
        </w:rPr>
        <w:t>2025</w:t>
      </w:r>
      <w:r>
        <w:rPr>
          <w:rFonts w:ascii="Times New Roman" w:eastAsia="仿宋" w:hAnsi="Times New Roman"/>
          <w:bCs/>
          <w:kern w:val="0"/>
          <w:sz w:val="32"/>
          <w:szCs w:val="32"/>
        </w:rPr>
        <w:t>现代蔬菜园艺高质量发展预算绩效目标表》，评</w:t>
      </w:r>
      <w:r>
        <w:rPr>
          <w:rFonts w:ascii="Times New Roman" w:eastAsia="仿宋" w:hAnsi="Times New Roman"/>
          <w:bCs/>
          <w:kern w:val="0"/>
          <w:sz w:val="32"/>
          <w:szCs w:val="32"/>
        </w:rPr>
        <w:lastRenderedPageBreak/>
        <w:t>价组对项目特点进行研究，按照项目决策、项目过程、项目产出、项目效益、项目满意度五类一级指标，在一级指标下分别设定二级指标</w:t>
      </w:r>
      <w:r>
        <w:rPr>
          <w:rFonts w:ascii="Times New Roman" w:eastAsia="仿宋" w:hAnsi="Times New Roman"/>
          <w:bCs/>
          <w:kern w:val="0"/>
          <w:sz w:val="32"/>
          <w:szCs w:val="32"/>
        </w:rPr>
        <w:t>13</w:t>
      </w:r>
      <w:r>
        <w:rPr>
          <w:rFonts w:ascii="Times New Roman" w:eastAsia="仿宋" w:hAnsi="Times New Roman"/>
          <w:bCs/>
          <w:kern w:val="0"/>
          <w:sz w:val="32"/>
          <w:szCs w:val="32"/>
        </w:rPr>
        <w:t>个、三级指标</w:t>
      </w:r>
      <w:r>
        <w:rPr>
          <w:rFonts w:ascii="Times New Roman" w:eastAsia="仿宋" w:hAnsi="Times New Roman"/>
          <w:bCs/>
          <w:kern w:val="0"/>
          <w:sz w:val="32"/>
          <w:szCs w:val="32"/>
        </w:rPr>
        <w:t>26</w:t>
      </w:r>
      <w:r>
        <w:rPr>
          <w:rFonts w:ascii="Times New Roman" w:eastAsia="仿宋" w:hAnsi="Times New Roman"/>
          <w:bCs/>
          <w:kern w:val="0"/>
          <w:sz w:val="32"/>
          <w:szCs w:val="32"/>
        </w:rPr>
        <w:t>个，确定各类分值及扣分标准，按照绩效评价有关规定综合评分，评价结果采取百分制，按照综合评分划分为</w:t>
      </w:r>
      <w:r>
        <w:rPr>
          <w:rFonts w:ascii="Times New Roman" w:eastAsia="仿宋" w:hAnsi="Times New Roman"/>
          <w:bCs/>
          <w:kern w:val="0"/>
          <w:sz w:val="32"/>
          <w:szCs w:val="32"/>
        </w:rPr>
        <w:t>4</w:t>
      </w:r>
      <w:r>
        <w:rPr>
          <w:rFonts w:ascii="Times New Roman" w:eastAsia="仿宋" w:hAnsi="Times New Roman"/>
          <w:bCs/>
          <w:kern w:val="0"/>
          <w:sz w:val="32"/>
          <w:szCs w:val="32"/>
        </w:rPr>
        <w:t>个等级，其中</w:t>
      </w:r>
      <w:r>
        <w:rPr>
          <w:rFonts w:ascii="Times New Roman" w:eastAsia="仿宋" w:hAnsi="Times New Roman"/>
          <w:bCs/>
          <w:kern w:val="0"/>
          <w:sz w:val="32"/>
          <w:szCs w:val="32"/>
        </w:rPr>
        <w:t>90</w:t>
      </w:r>
      <w:r>
        <w:rPr>
          <w:rFonts w:ascii="Times New Roman" w:eastAsia="仿宋" w:hAnsi="Times New Roman"/>
          <w:bCs/>
          <w:kern w:val="0"/>
          <w:sz w:val="32"/>
          <w:szCs w:val="32"/>
        </w:rPr>
        <w:t>（含）</w:t>
      </w:r>
      <w:r>
        <w:rPr>
          <w:rFonts w:ascii="Times New Roman" w:eastAsia="仿宋" w:hAnsi="Times New Roman"/>
          <w:bCs/>
          <w:kern w:val="0"/>
          <w:sz w:val="32"/>
          <w:szCs w:val="32"/>
        </w:rPr>
        <w:t>-100</w:t>
      </w:r>
      <w:r>
        <w:rPr>
          <w:rFonts w:ascii="Times New Roman" w:eastAsia="仿宋" w:hAnsi="Times New Roman"/>
          <w:bCs/>
          <w:kern w:val="0"/>
          <w:sz w:val="32"/>
          <w:szCs w:val="32"/>
        </w:rPr>
        <w:t>分为优、</w:t>
      </w:r>
      <w:r>
        <w:rPr>
          <w:rFonts w:ascii="Times New Roman" w:eastAsia="仿宋" w:hAnsi="Times New Roman"/>
          <w:bCs/>
          <w:kern w:val="0"/>
          <w:sz w:val="32"/>
          <w:szCs w:val="32"/>
        </w:rPr>
        <w:t>80</w:t>
      </w:r>
      <w:r>
        <w:rPr>
          <w:rFonts w:ascii="Times New Roman" w:eastAsia="仿宋" w:hAnsi="Times New Roman"/>
          <w:bCs/>
          <w:kern w:val="0"/>
          <w:sz w:val="32"/>
          <w:szCs w:val="32"/>
        </w:rPr>
        <w:t>（含）</w:t>
      </w:r>
      <w:r>
        <w:rPr>
          <w:rFonts w:ascii="Times New Roman" w:eastAsia="仿宋" w:hAnsi="Times New Roman"/>
          <w:bCs/>
          <w:kern w:val="0"/>
          <w:sz w:val="32"/>
          <w:szCs w:val="32"/>
        </w:rPr>
        <w:t>-90</w:t>
      </w:r>
      <w:r>
        <w:rPr>
          <w:rFonts w:ascii="Times New Roman" w:eastAsia="仿宋" w:hAnsi="Times New Roman"/>
          <w:bCs/>
          <w:kern w:val="0"/>
          <w:sz w:val="32"/>
          <w:szCs w:val="32"/>
        </w:rPr>
        <w:t>分为良、</w:t>
      </w:r>
      <w:r>
        <w:rPr>
          <w:rFonts w:ascii="Times New Roman" w:eastAsia="仿宋" w:hAnsi="Times New Roman"/>
          <w:bCs/>
          <w:kern w:val="0"/>
          <w:sz w:val="32"/>
          <w:szCs w:val="32"/>
        </w:rPr>
        <w:t>60</w:t>
      </w:r>
      <w:r>
        <w:rPr>
          <w:rFonts w:ascii="Times New Roman" w:eastAsia="仿宋" w:hAnsi="Times New Roman"/>
          <w:bCs/>
          <w:kern w:val="0"/>
          <w:sz w:val="32"/>
          <w:szCs w:val="32"/>
        </w:rPr>
        <w:t>（含）</w:t>
      </w:r>
      <w:r>
        <w:rPr>
          <w:rFonts w:ascii="Times New Roman" w:eastAsia="仿宋" w:hAnsi="Times New Roman"/>
          <w:bCs/>
          <w:kern w:val="0"/>
          <w:sz w:val="32"/>
          <w:szCs w:val="32"/>
        </w:rPr>
        <w:t>-80</w:t>
      </w:r>
      <w:r>
        <w:rPr>
          <w:rFonts w:ascii="Times New Roman" w:eastAsia="仿宋" w:hAnsi="Times New Roman"/>
          <w:bCs/>
          <w:kern w:val="0"/>
          <w:sz w:val="32"/>
          <w:szCs w:val="32"/>
        </w:rPr>
        <w:t>分为中、</w:t>
      </w:r>
      <w:r>
        <w:rPr>
          <w:rFonts w:ascii="Times New Roman" w:eastAsia="仿宋" w:hAnsi="Times New Roman"/>
          <w:bCs/>
          <w:kern w:val="0"/>
          <w:sz w:val="32"/>
          <w:szCs w:val="32"/>
        </w:rPr>
        <w:t>60</w:t>
      </w:r>
      <w:r>
        <w:rPr>
          <w:rFonts w:ascii="Times New Roman" w:eastAsia="仿宋" w:hAnsi="Times New Roman"/>
          <w:bCs/>
          <w:kern w:val="0"/>
          <w:sz w:val="32"/>
          <w:szCs w:val="32"/>
        </w:rPr>
        <w:t>分以下为差。</w:t>
      </w:r>
    </w:p>
    <w:p w:rsidR="009766F6" w:rsidRDefault="00F92F2F">
      <w:pPr>
        <w:spacing w:line="560" w:lineRule="exact"/>
        <w:ind w:firstLineChars="200" w:firstLine="640"/>
        <w:rPr>
          <w:rFonts w:ascii="Times New Roman" w:eastAsia="仿宋" w:hAnsi="Times New Roman"/>
          <w:bCs/>
          <w:kern w:val="0"/>
          <w:sz w:val="32"/>
          <w:szCs w:val="32"/>
        </w:rPr>
      </w:pPr>
      <w:r>
        <w:rPr>
          <w:rFonts w:ascii="Times New Roman" w:eastAsia="仿宋" w:hAnsi="Times New Roman"/>
          <w:bCs/>
          <w:kern w:val="0"/>
          <w:sz w:val="32"/>
          <w:szCs w:val="32"/>
        </w:rPr>
        <w:t>经基础数据采集、现场核查、发放调查问卷等评价过程，</w:t>
      </w:r>
      <w:r>
        <w:rPr>
          <w:rFonts w:ascii="Times New Roman" w:eastAsia="仿宋" w:hAnsi="Times New Roman"/>
          <w:bCs/>
          <w:kern w:val="0"/>
          <w:sz w:val="32"/>
          <w:szCs w:val="32"/>
        </w:rPr>
        <w:t>2025</w:t>
      </w:r>
      <w:r>
        <w:rPr>
          <w:rFonts w:ascii="Times New Roman" w:eastAsia="仿宋" w:hAnsi="Times New Roman"/>
          <w:bCs/>
          <w:kern w:val="0"/>
          <w:sz w:val="32"/>
          <w:szCs w:val="32"/>
        </w:rPr>
        <w:t>年市级现代蔬菜园艺高质量发展项目综合得分</w:t>
      </w:r>
      <w:r>
        <w:rPr>
          <w:rFonts w:ascii="Times New Roman" w:eastAsia="仿宋" w:hAnsi="Times New Roman"/>
          <w:bCs/>
          <w:kern w:val="0"/>
          <w:sz w:val="32"/>
          <w:szCs w:val="32"/>
        </w:rPr>
        <w:t>93.23</w:t>
      </w:r>
      <w:r>
        <w:rPr>
          <w:rFonts w:ascii="Times New Roman" w:eastAsia="仿宋" w:hAnsi="Times New Roman"/>
          <w:bCs/>
          <w:kern w:val="0"/>
          <w:sz w:val="32"/>
          <w:szCs w:val="32"/>
        </w:rPr>
        <w:t>，该项</w:t>
      </w:r>
      <w:r>
        <w:rPr>
          <w:rFonts w:ascii="Times New Roman" w:eastAsia="仿宋" w:hAnsi="Times New Roman"/>
          <w:bCs/>
          <w:kern w:val="0"/>
          <w:sz w:val="32"/>
          <w:szCs w:val="32"/>
        </w:rPr>
        <w:t>目绩效评价级别为</w:t>
      </w:r>
      <w:r>
        <w:rPr>
          <w:rFonts w:ascii="Times New Roman" w:eastAsia="仿宋" w:hAnsi="Times New Roman"/>
          <w:bCs/>
          <w:kern w:val="0"/>
          <w:sz w:val="32"/>
          <w:szCs w:val="32"/>
        </w:rPr>
        <w:t>“</w:t>
      </w:r>
      <w:r>
        <w:rPr>
          <w:rFonts w:ascii="Times New Roman" w:eastAsia="仿宋" w:hAnsi="Times New Roman"/>
          <w:bCs/>
          <w:kern w:val="0"/>
          <w:sz w:val="32"/>
          <w:szCs w:val="32"/>
        </w:rPr>
        <w:t>优</w:t>
      </w:r>
      <w:r>
        <w:rPr>
          <w:rFonts w:ascii="Times New Roman" w:eastAsia="仿宋" w:hAnsi="Times New Roman"/>
          <w:bCs/>
          <w:kern w:val="0"/>
          <w:sz w:val="32"/>
          <w:szCs w:val="32"/>
        </w:rPr>
        <w:t>”</w:t>
      </w:r>
      <w:r>
        <w:rPr>
          <w:rFonts w:ascii="Times New Roman" w:eastAsia="仿宋" w:hAnsi="Times New Roman"/>
          <w:bCs/>
          <w:kern w:val="0"/>
          <w:sz w:val="32"/>
          <w:szCs w:val="32"/>
        </w:rPr>
        <w:t>，详见附评分简表。</w:t>
      </w:r>
    </w:p>
    <w:p w:rsidR="009766F6" w:rsidRDefault="00F92F2F">
      <w:pPr>
        <w:spacing w:line="560" w:lineRule="exact"/>
        <w:jc w:val="center"/>
        <w:rPr>
          <w:rFonts w:ascii="Times New Roman" w:eastAsia="仿宋" w:hAnsi="Times New Roman"/>
          <w:bCs/>
          <w:kern w:val="0"/>
          <w:sz w:val="32"/>
          <w:szCs w:val="32"/>
        </w:rPr>
      </w:pPr>
      <w:r>
        <w:rPr>
          <w:rFonts w:ascii="Times New Roman" w:eastAsia="仿宋" w:hAnsi="Times New Roman"/>
          <w:bCs/>
          <w:kern w:val="0"/>
          <w:sz w:val="32"/>
          <w:szCs w:val="32"/>
        </w:rPr>
        <w:t>2025</w:t>
      </w:r>
      <w:r>
        <w:rPr>
          <w:rFonts w:ascii="Times New Roman" w:eastAsia="仿宋" w:hAnsi="Times New Roman"/>
          <w:bCs/>
          <w:kern w:val="0"/>
          <w:sz w:val="32"/>
          <w:szCs w:val="32"/>
        </w:rPr>
        <w:t>年市级现代蔬菜园艺高质量发展项目绩效评价评分简表</w:t>
      </w:r>
    </w:p>
    <w:tbl>
      <w:tblPr>
        <w:tblW w:w="4997" w:type="pct"/>
        <w:jc w:val="center"/>
        <w:tblLook w:val="04A0" w:firstRow="1" w:lastRow="0" w:firstColumn="1" w:lastColumn="0" w:noHBand="0" w:noVBand="1"/>
      </w:tblPr>
      <w:tblGrid>
        <w:gridCol w:w="1239"/>
        <w:gridCol w:w="1250"/>
        <w:gridCol w:w="1282"/>
        <w:gridCol w:w="1339"/>
        <w:gridCol w:w="1293"/>
        <w:gridCol w:w="1573"/>
        <w:gridCol w:w="1192"/>
      </w:tblGrid>
      <w:tr w:rsidR="009766F6">
        <w:trPr>
          <w:trHeight w:val="540"/>
          <w:jc w:val="center"/>
        </w:trPr>
        <w:tc>
          <w:tcPr>
            <w:tcW w:w="6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b/>
                <w:bCs/>
                <w:color w:val="000000"/>
                <w:szCs w:val="21"/>
              </w:rPr>
            </w:pPr>
            <w:r>
              <w:rPr>
                <w:rFonts w:ascii="Times New Roman" w:eastAsia="仿宋" w:hAnsi="Times New Roman"/>
                <w:b/>
                <w:bCs/>
                <w:color w:val="000000"/>
                <w:kern w:val="0"/>
                <w:szCs w:val="21"/>
              </w:rPr>
              <w:t>项</w:t>
            </w:r>
            <w:r>
              <w:rPr>
                <w:rFonts w:ascii="Times New Roman" w:eastAsia="仿宋" w:hAnsi="Times New Roman"/>
                <w:b/>
                <w:bCs/>
                <w:color w:val="000000"/>
                <w:kern w:val="0"/>
                <w:szCs w:val="21"/>
              </w:rPr>
              <w:t xml:space="preserve">    </w:t>
            </w:r>
            <w:r>
              <w:rPr>
                <w:rFonts w:ascii="Times New Roman" w:eastAsia="仿宋" w:hAnsi="Times New Roman"/>
                <w:b/>
                <w:bCs/>
                <w:color w:val="000000"/>
                <w:kern w:val="0"/>
                <w:szCs w:val="21"/>
              </w:rPr>
              <w:t>目</w:t>
            </w:r>
          </w:p>
        </w:tc>
        <w:tc>
          <w:tcPr>
            <w:tcW w:w="6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b/>
                <w:bCs/>
                <w:color w:val="000000"/>
                <w:szCs w:val="21"/>
              </w:rPr>
            </w:pPr>
            <w:r>
              <w:rPr>
                <w:rFonts w:ascii="Times New Roman" w:eastAsia="仿宋" w:hAnsi="Times New Roman"/>
                <w:b/>
                <w:bCs/>
                <w:color w:val="000000"/>
                <w:kern w:val="0"/>
                <w:szCs w:val="21"/>
              </w:rPr>
              <w:t>决策指标</w:t>
            </w:r>
          </w:p>
        </w:tc>
        <w:tc>
          <w:tcPr>
            <w:tcW w:w="6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b/>
                <w:bCs/>
                <w:color w:val="000000"/>
                <w:szCs w:val="21"/>
              </w:rPr>
            </w:pPr>
            <w:r>
              <w:rPr>
                <w:rFonts w:ascii="Times New Roman" w:eastAsia="仿宋" w:hAnsi="Times New Roman"/>
                <w:b/>
                <w:bCs/>
                <w:color w:val="000000"/>
                <w:kern w:val="0"/>
                <w:szCs w:val="21"/>
              </w:rPr>
              <w:t>过程指标</w:t>
            </w:r>
          </w:p>
        </w:tc>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b/>
                <w:bCs/>
                <w:color w:val="000000"/>
                <w:szCs w:val="21"/>
              </w:rPr>
            </w:pPr>
            <w:r>
              <w:rPr>
                <w:rFonts w:ascii="Times New Roman" w:eastAsia="仿宋" w:hAnsi="Times New Roman"/>
                <w:b/>
                <w:bCs/>
                <w:color w:val="000000"/>
                <w:kern w:val="0"/>
                <w:szCs w:val="21"/>
              </w:rPr>
              <w:t>产出指标</w:t>
            </w:r>
          </w:p>
        </w:tc>
        <w:tc>
          <w:tcPr>
            <w:tcW w:w="7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b/>
                <w:bCs/>
                <w:color w:val="000000"/>
                <w:szCs w:val="21"/>
              </w:rPr>
            </w:pPr>
            <w:r>
              <w:rPr>
                <w:rFonts w:ascii="Times New Roman" w:eastAsia="仿宋" w:hAnsi="Times New Roman"/>
                <w:b/>
                <w:bCs/>
                <w:color w:val="000000"/>
                <w:kern w:val="0"/>
                <w:szCs w:val="21"/>
              </w:rPr>
              <w:t>效益指标</w:t>
            </w:r>
          </w:p>
        </w:tc>
        <w:tc>
          <w:tcPr>
            <w:tcW w:w="8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b/>
                <w:bCs/>
                <w:color w:val="000000"/>
                <w:szCs w:val="21"/>
              </w:rPr>
            </w:pPr>
            <w:r>
              <w:rPr>
                <w:rFonts w:ascii="Times New Roman" w:eastAsia="仿宋" w:hAnsi="Times New Roman"/>
                <w:b/>
                <w:bCs/>
                <w:color w:val="000000"/>
                <w:kern w:val="0"/>
                <w:szCs w:val="21"/>
              </w:rPr>
              <w:t>满意度指标</w:t>
            </w:r>
          </w:p>
        </w:tc>
        <w:tc>
          <w:tcPr>
            <w:tcW w:w="6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b/>
                <w:bCs/>
                <w:color w:val="000000"/>
                <w:szCs w:val="21"/>
              </w:rPr>
            </w:pPr>
            <w:r>
              <w:rPr>
                <w:rFonts w:ascii="Times New Roman" w:eastAsia="仿宋" w:hAnsi="Times New Roman"/>
                <w:b/>
                <w:bCs/>
                <w:color w:val="000000"/>
                <w:kern w:val="0"/>
                <w:szCs w:val="21"/>
              </w:rPr>
              <w:t>合计分值</w:t>
            </w:r>
          </w:p>
        </w:tc>
      </w:tr>
      <w:tr w:rsidR="009766F6">
        <w:trPr>
          <w:trHeight w:val="280"/>
          <w:jc w:val="center"/>
        </w:trPr>
        <w:tc>
          <w:tcPr>
            <w:tcW w:w="6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标准分值</w:t>
            </w:r>
          </w:p>
        </w:tc>
        <w:tc>
          <w:tcPr>
            <w:tcW w:w="6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12</w:t>
            </w:r>
          </w:p>
        </w:tc>
        <w:tc>
          <w:tcPr>
            <w:tcW w:w="6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18</w:t>
            </w:r>
          </w:p>
        </w:tc>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36</w:t>
            </w:r>
          </w:p>
        </w:tc>
        <w:tc>
          <w:tcPr>
            <w:tcW w:w="7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30</w:t>
            </w:r>
          </w:p>
        </w:tc>
        <w:tc>
          <w:tcPr>
            <w:tcW w:w="8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4</w:t>
            </w:r>
          </w:p>
        </w:tc>
        <w:tc>
          <w:tcPr>
            <w:tcW w:w="6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100</w:t>
            </w:r>
          </w:p>
        </w:tc>
      </w:tr>
      <w:tr w:rsidR="009766F6">
        <w:trPr>
          <w:trHeight w:val="280"/>
          <w:jc w:val="center"/>
        </w:trPr>
        <w:tc>
          <w:tcPr>
            <w:tcW w:w="6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评价得分</w:t>
            </w:r>
          </w:p>
        </w:tc>
        <w:tc>
          <w:tcPr>
            <w:tcW w:w="6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12</w:t>
            </w:r>
          </w:p>
        </w:tc>
        <w:tc>
          <w:tcPr>
            <w:tcW w:w="6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14.55</w:t>
            </w:r>
          </w:p>
        </w:tc>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32.68</w:t>
            </w:r>
          </w:p>
        </w:tc>
        <w:tc>
          <w:tcPr>
            <w:tcW w:w="7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30</w:t>
            </w:r>
          </w:p>
        </w:tc>
        <w:tc>
          <w:tcPr>
            <w:tcW w:w="8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4</w:t>
            </w:r>
          </w:p>
        </w:tc>
        <w:tc>
          <w:tcPr>
            <w:tcW w:w="6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93.23</w:t>
            </w:r>
          </w:p>
        </w:tc>
      </w:tr>
      <w:tr w:rsidR="009766F6">
        <w:trPr>
          <w:trHeight w:val="280"/>
          <w:jc w:val="center"/>
        </w:trPr>
        <w:tc>
          <w:tcPr>
            <w:tcW w:w="6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得分率</w:t>
            </w:r>
          </w:p>
        </w:tc>
        <w:tc>
          <w:tcPr>
            <w:tcW w:w="6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100.00%</w:t>
            </w:r>
          </w:p>
        </w:tc>
        <w:tc>
          <w:tcPr>
            <w:tcW w:w="6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80.83%</w:t>
            </w:r>
          </w:p>
        </w:tc>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90.78%</w:t>
            </w:r>
          </w:p>
        </w:tc>
        <w:tc>
          <w:tcPr>
            <w:tcW w:w="7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100.00%</w:t>
            </w:r>
          </w:p>
        </w:tc>
        <w:tc>
          <w:tcPr>
            <w:tcW w:w="8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100.00%</w:t>
            </w:r>
          </w:p>
        </w:tc>
        <w:tc>
          <w:tcPr>
            <w:tcW w:w="6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jc w:val="center"/>
              <w:textAlignment w:val="center"/>
              <w:rPr>
                <w:rFonts w:ascii="Times New Roman" w:eastAsia="仿宋" w:hAnsi="Times New Roman"/>
                <w:color w:val="000000"/>
                <w:szCs w:val="21"/>
              </w:rPr>
            </w:pPr>
            <w:r>
              <w:rPr>
                <w:rFonts w:ascii="Times New Roman" w:eastAsia="仿宋" w:hAnsi="Times New Roman"/>
                <w:color w:val="000000"/>
                <w:kern w:val="0"/>
                <w:szCs w:val="21"/>
              </w:rPr>
              <w:t>93.23%</w:t>
            </w:r>
          </w:p>
        </w:tc>
      </w:tr>
    </w:tbl>
    <w:p w:rsidR="009766F6" w:rsidRDefault="00F92F2F">
      <w:pPr>
        <w:pStyle w:val="1"/>
        <w:spacing w:before="0" w:after="0" w:line="560" w:lineRule="exact"/>
        <w:ind w:firstLineChars="200" w:firstLine="640"/>
        <w:rPr>
          <w:rFonts w:ascii="Times New Roman" w:eastAsia="黑体" w:hAnsi="Times New Roman"/>
          <w:sz w:val="32"/>
          <w:szCs w:val="32"/>
        </w:rPr>
      </w:pPr>
      <w:bookmarkStart w:id="17" w:name="_Toc31419"/>
      <w:bookmarkStart w:id="18" w:name="_Toc26327"/>
      <w:r>
        <w:rPr>
          <w:rFonts w:ascii="Times New Roman" w:eastAsia="黑体" w:hAnsi="Times New Roman"/>
          <w:b w:val="0"/>
          <w:bCs w:val="0"/>
          <w:sz w:val="32"/>
          <w:szCs w:val="32"/>
        </w:rPr>
        <w:t>三、项目主要成效</w:t>
      </w:r>
      <w:bookmarkEnd w:id="17"/>
      <w:bookmarkEnd w:id="18"/>
    </w:p>
    <w:p w:rsidR="009766F6" w:rsidRDefault="00F92F2F">
      <w:pPr>
        <w:pStyle w:val="2"/>
        <w:spacing w:before="0" w:after="0" w:line="560" w:lineRule="exact"/>
        <w:ind w:firstLineChars="200" w:firstLine="640"/>
        <w:rPr>
          <w:rFonts w:ascii="Times New Roman" w:eastAsia="仿宋" w:hAnsi="Times New Roman"/>
          <w:b w:val="0"/>
          <w:bCs/>
          <w:szCs w:val="32"/>
        </w:rPr>
      </w:pPr>
      <w:bookmarkStart w:id="19" w:name="_Toc22869"/>
      <w:bookmarkStart w:id="20" w:name="_Toc12341"/>
      <w:r>
        <w:rPr>
          <w:rFonts w:ascii="Times New Roman" w:eastAsia="仿宋" w:hAnsi="Times New Roman"/>
          <w:b w:val="0"/>
          <w:bCs/>
          <w:szCs w:val="32"/>
        </w:rPr>
        <w:t>（一）</w:t>
      </w:r>
      <w:bookmarkEnd w:id="19"/>
      <w:r>
        <w:rPr>
          <w:rFonts w:ascii="Times New Roman" w:eastAsia="仿宋" w:hAnsi="Times New Roman"/>
          <w:b w:val="0"/>
          <w:bCs/>
          <w:szCs w:val="32"/>
        </w:rPr>
        <w:t>筑牢</w:t>
      </w:r>
      <w:r>
        <w:rPr>
          <w:rFonts w:ascii="Times New Roman" w:eastAsia="仿宋" w:hAnsi="Times New Roman"/>
          <w:b w:val="0"/>
          <w:bCs/>
          <w:szCs w:val="32"/>
        </w:rPr>
        <w:t>“</w:t>
      </w:r>
      <w:r>
        <w:rPr>
          <w:rFonts w:ascii="Times New Roman" w:eastAsia="仿宋" w:hAnsi="Times New Roman"/>
          <w:b w:val="0"/>
          <w:bCs/>
          <w:szCs w:val="32"/>
        </w:rPr>
        <w:t>菜篮子</w:t>
      </w:r>
      <w:r>
        <w:rPr>
          <w:rFonts w:ascii="Times New Roman" w:eastAsia="仿宋" w:hAnsi="Times New Roman"/>
          <w:b w:val="0"/>
          <w:bCs/>
          <w:szCs w:val="32"/>
        </w:rPr>
        <w:t>”</w:t>
      </w:r>
      <w:r>
        <w:rPr>
          <w:rFonts w:ascii="Times New Roman" w:eastAsia="仿宋" w:hAnsi="Times New Roman"/>
          <w:b w:val="0"/>
          <w:bCs/>
          <w:szCs w:val="32"/>
        </w:rPr>
        <w:t>稳产保供根基，城市蔬菜供给韧性显著增强</w:t>
      </w:r>
      <w:bookmarkEnd w:id="20"/>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通过项目实施，新增设施蔬菜园艺项目面积</w:t>
      </w:r>
      <w:r>
        <w:rPr>
          <w:rFonts w:ascii="Times New Roman" w:eastAsia="仿宋" w:hAnsi="Times New Roman"/>
          <w:sz w:val="32"/>
          <w:szCs w:val="32"/>
        </w:rPr>
        <w:t>4335</w:t>
      </w:r>
      <w:r>
        <w:rPr>
          <w:rFonts w:ascii="Times New Roman" w:eastAsia="仿宋" w:hAnsi="Times New Roman"/>
          <w:sz w:val="32"/>
          <w:szCs w:val="32"/>
        </w:rPr>
        <w:t>亩，打造江宁谷里、浦口永宁、栖霞八卦洲</w:t>
      </w:r>
      <w:r>
        <w:rPr>
          <w:rFonts w:ascii="Times New Roman" w:eastAsia="仿宋" w:hAnsi="Times New Roman"/>
          <w:sz w:val="32"/>
          <w:szCs w:val="32"/>
        </w:rPr>
        <w:t>、</w:t>
      </w:r>
      <w:r>
        <w:rPr>
          <w:rFonts w:ascii="Times New Roman" w:eastAsia="仿宋" w:hAnsi="Times New Roman"/>
          <w:sz w:val="32"/>
          <w:szCs w:val="32"/>
        </w:rPr>
        <w:t>溧水晶桥、六合横梁</w:t>
      </w:r>
      <w:r>
        <w:rPr>
          <w:rFonts w:ascii="Times New Roman" w:eastAsia="仿宋" w:hAnsi="Times New Roman"/>
          <w:sz w:val="32"/>
          <w:szCs w:val="32"/>
        </w:rPr>
        <w:t>等集中蔬菜连片产区，</w:t>
      </w:r>
      <w:r>
        <w:rPr>
          <w:rFonts w:ascii="Times New Roman" w:eastAsia="仿宋" w:hAnsi="Times New Roman"/>
          <w:sz w:val="32"/>
          <w:szCs w:val="32"/>
        </w:rPr>
        <w:t>栖霞芦蒿、六合水芹、高淳早园竹、溧水有机蔬菜等南京特色蔬菜产区，地产蔬菜实现周年错峰上市供应、品类花色丰富。</w:t>
      </w:r>
      <w:r>
        <w:rPr>
          <w:rFonts w:ascii="Times New Roman" w:eastAsia="仿宋" w:hAnsi="Times New Roman"/>
          <w:sz w:val="32"/>
          <w:szCs w:val="32"/>
        </w:rPr>
        <w:t>通过项目实施可直接吸纳本地劳动力，带动周边农户稳定从事蔬菜种植，全方位提升本地蔬菜</w:t>
      </w:r>
      <w:r>
        <w:rPr>
          <w:rFonts w:ascii="Times New Roman" w:eastAsia="仿宋" w:hAnsi="Times New Roman"/>
          <w:sz w:val="32"/>
          <w:szCs w:val="32"/>
        </w:rPr>
        <w:t>供应数量和质量</w:t>
      </w:r>
      <w:r>
        <w:rPr>
          <w:rFonts w:ascii="Times New Roman" w:eastAsia="仿宋" w:hAnsi="Times New Roman"/>
          <w:sz w:val="32"/>
          <w:szCs w:val="32"/>
        </w:rPr>
        <w:t>，提高了群众对蔬菜供应稳定度的满意度。</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21" w:name="_Toc20776"/>
      <w:bookmarkStart w:id="22" w:name="_Toc6275"/>
      <w:r>
        <w:rPr>
          <w:rFonts w:ascii="Times New Roman" w:eastAsia="仿宋" w:hAnsi="Times New Roman"/>
          <w:b w:val="0"/>
          <w:bCs/>
          <w:szCs w:val="32"/>
        </w:rPr>
        <w:lastRenderedPageBreak/>
        <w:t>（二）</w:t>
      </w:r>
      <w:bookmarkEnd w:id="21"/>
      <w:r>
        <w:rPr>
          <w:rFonts w:ascii="Times New Roman" w:eastAsia="仿宋" w:hAnsi="Times New Roman"/>
          <w:b w:val="0"/>
          <w:bCs/>
          <w:szCs w:val="32"/>
        </w:rPr>
        <w:t>全面推广绿色防控技术</w:t>
      </w:r>
      <w:r>
        <w:rPr>
          <w:rFonts w:ascii="Times New Roman" w:eastAsia="仿宋" w:hAnsi="Times New Roman"/>
          <w:b w:val="0"/>
          <w:bCs/>
          <w:szCs w:val="32"/>
        </w:rPr>
        <w:t>，</w:t>
      </w:r>
      <w:r>
        <w:rPr>
          <w:rFonts w:ascii="Times New Roman" w:eastAsia="仿宋" w:hAnsi="Times New Roman"/>
          <w:b w:val="0"/>
          <w:bCs/>
          <w:szCs w:val="32"/>
        </w:rPr>
        <w:t>促进</w:t>
      </w:r>
      <w:r>
        <w:rPr>
          <w:rFonts w:ascii="Times New Roman" w:eastAsia="仿宋" w:hAnsi="Times New Roman"/>
          <w:b w:val="0"/>
          <w:bCs/>
          <w:szCs w:val="32"/>
        </w:rPr>
        <w:t>蔬菜安全生产</w:t>
      </w:r>
      <w:r>
        <w:rPr>
          <w:rFonts w:ascii="Times New Roman" w:eastAsia="仿宋" w:hAnsi="Times New Roman"/>
          <w:b w:val="0"/>
          <w:bCs/>
          <w:szCs w:val="32"/>
        </w:rPr>
        <w:t>，</w:t>
      </w:r>
      <w:r>
        <w:rPr>
          <w:rFonts w:ascii="Times New Roman" w:eastAsia="仿宋" w:hAnsi="Times New Roman"/>
          <w:b w:val="0"/>
          <w:bCs/>
          <w:szCs w:val="32"/>
        </w:rPr>
        <w:t>推动</w:t>
      </w:r>
      <w:r>
        <w:rPr>
          <w:rFonts w:ascii="Times New Roman" w:eastAsia="仿宋" w:hAnsi="Times New Roman"/>
          <w:b w:val="0"/>
          <w:bCs/>
          <w:szCs w:val="32"/>
        </w:rPr>
        <w:t>生态协同发展</w:t>
      </w:r>
      <w:bookmarkEnd w:id="22"/>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通过项目实施，新建绿色防控试验示范与推广项目</w:t>
      </w:r>
      <w:r>
        <w:rPr>
          <w:rFonts w:ascii="Times New Roman" w:eastAsia="仿宋" w:hAnsi="Times New Roman"/>
          <w:sz w:val="32"/>
          <w:szCs w:val="32"/>
        </w:rPr>
        <w:t>19</w:t>
      </w:r>
      <w:r>
        <w:rPr>
          <w:rFonts w:ascii="Times New Roman" w:eastAsia="仿宋" w:hAnsi="Times New Roman"/>
          <w:sz w:val="32"/>
          <w:szCs w:val="32"/>
        </w:rPr>
        <w:t>个，绿色防控实施面积</w:t>
      </w:r>
      <w:r>
        <w:rPr>
          <w:rFonts w:ascii="Times New Roman" w:eastAsia="仿宋" w:hAnsi="Times New Roman"/>
          <w:sz w:val="32"/>
          <w:szCs w:val="32"/>
        </w:rPr>
        <w:t>3857.16</w:t>
      </w:r>
      <w:r>
        <w:rPr>
          <w:rFonts w:ascii="Times New Roman" w:eastAsia="仿宋" w:hAnsi="Times New Roman"/>
          <w:sz w:val="32"/>
          <w:szCs w:val="32"/>
        </w:rPr>
        <w:t>亩，在项目示范基地布设杀虫灯、臭氧植保机、黄</w:t>
      </w:r>
      <w:r>
        <w:rPr>
          <w:rFonts w:ascii="Times New Roman" w:eastAsia="仿宋" w:hAnsi="Times New Roman"/>
          <w:sz w:val="32"/>
          <w:szCs w:val="32"/>
        </w:rPr>
        <w:t>/</w:t>
      </w:r>
      <w:r>
        <w:rPr>
          <w:rFonts w:ascii="Times New Roman" w:eastAsia="仿宋" w:hAnsi="Times New Roman"/>
          <w:sz w:val="32"/>
          <w:szCs w:val="32"/>
        </w:rPr>
        <w:t>蓝诱虫板、性诱捕器等物理防控设备，推广有机肥替代化肥、尾菜资源化还田，蔬菜基地废弃物综合利用率提升，同时减少化学药剂投入后，</w:t>
      </w:r>
      <w:r>
        <w:rPr>
          <w:rFonts w:ascii="Times New Roman" w:eastAsia="仿宋" w:hAnsi="Times New Roman"/>
          <w:sz w:val="32"/>
          <w:szCs w:val="32"/>
        </w:rPr>
        <w:t>夯实了蔬菜园艺产业发展的绿色底色</w:t>
      </w:r>
      <w:r>
        <w:rPr>
          <w:rFonts w:ascii="Times New Roman" w:eastAsia="仿宋" w:hAnsi="Times New Roman"/>
          <w:sz w:val="32"/>
          <w:szCs w:val="32"/>
        </w:rPr>
        <w:t>。集成开展瓜果蔬菜集约化育苗、熊蜂授粉</w:t>
      </w:r>
      <w:r>
        <w:rPr>
          <w:rFonts w:ascii="Times New Roman" w:eastAsia="仿宋" w:hAnsi="Times New Roman"/>
          <w:sz w:val="32"/>
          <w:szCs w:val="32"/>
        </w:rPr>
        <w:t>、</w:t>
      </w:r>
      <w:r>
        <w:rPr>
          <w:rFonts w:ascii="Times New Roman" w:eastAsia="仿宋" w:hAnsi="Times New Roman"/>
          <w:sz w:val="32"/>
          <w:szCs w:val="32"/>
        </w:rPr>
        <w:t>轻简化绿色栽培</w:t>
      </w:r>
      <w:r>
        <w:rPr>
          <w:rFonts w:ascii="Times New Roman" w:eastAsia="仿宋" w:hAnsi="Times New Roman"/>
          <w:sz w:val="32"/>
          <w:szCs w:val="32"/>
        </w:rPr>
        <w:t>等技术试验</w:t>
      </w:r>
      <w:r>
        <w:rPr>
          <w:rFonts w:ascii="Times New Roman" w:eastAsia="仿宋" w:hAnsi="Times New Roman"/>
          <w:sz w:val="32"/>
          <w:szCs w:val="32"/>
        </w:rPr>
        <w:t>示范，</w:t>
      </w:r>
      <w:r>
        <w:rPr>
          <w:rFonts w:ascii="Times New Roman" w:eastAsia="仿宋" w:hAnsi="Times New Roman"/>
          <w:sz w:val="32"/>
          <w:szCs w:val="32"/>
        </w:rPr>
        <w:t>提升了蔬菜园艺生产水平，实现节本增效</w:t>
      </w:r>
      <w:r>
        <w:rPr>
          <w:rFonts w:ascii="Times New Roman" w:eastAsia="仿宋" w:hAnsi="Times New Roman"/>
          <w:sz w:val="32"/>
          <w:szCs w:val="32"/>
        </w:rPr>
        <w:t>。定期开展种植主体绿色防控</w:t>
      </w:r>
      <w:r>
        <w:rPr>
          <w:rFonts w:ascii="Times New Roman" w:eastAsia="仿宋" w:hAnsi="Times New Roman"/>
          <w:sz w:val="32"/>
          <w:szCs w:val="32"/>
        </w:rPr>
        <w:t>相关技术</w:t>
      </w:r>
      <w:r>
        <w:rPr>
          <w:rFonts w:ascii="Times New Roman" w:eastAsia="仿宋" w:hAnsi="Times New Roman"/>
          <w:sz w:val="32"/>
          <w:szCs w:val="32"/>
        </w:rPr>
        <w:t>培训</w:t>
      </w:r>
      <w:r>
        <w:rPr>
          <w:rFonts w:ascii="Times New Roman" w:eastAsia="仿宋" w:hAnsi="Times New Roman"/>
          <w:sz w:val="32"/>
          <w:szCs w:val="32"/>
        </w:rPr>
        <w:t>交流</w:t>
      </w:r>
      <w:r>
        <w:rPr>
          <w:rFonts w:ascii="Times New Roman" w:eastAsia="仿宋" w:hAnsi="Times New Roman"/>
          <w:sz w:val="32"/>
          <w:szCs w:val="32"/>
        </w:rPr>
        <w:t>，</w:t>
      </w:r>
      <w:r>
        <w:rPr>
          <w:rFonts w:ascii="Times New Roman" w:eastAsia="仿宋" w:hAnsi="Times New Roman"/>
          <w:sz w:val="32"/>
          <w:szCs w:val="32"/>
        </w:rPr>
        <w:t>以示范基地做给农民看，提升绿色防控技术模式的示范推广成效</w:t>
      </w:r>
      <w:r>
        <w:rPr>
          <w:rFonts w:ascii="Times New Roman" w:eastAsia="仿宋" w:hAnsi="Times New Roman"/>
          <w:sz w:val="32"/>
          <w:szCs w:val="32"/>
        </w:rPr>
        <w:t>。</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23" w:name="_Toc1851"/>
      <w:bookmarkStart w:id="24" w:name="_Toc16986"/>
      <w:r>
        <w:rPr>
          <w:rFonts w:ascii="Times New Roman" w:eastAsia="仿宋" w:hAnsi="Times New Roman"/>
          <w:b w:val="0"/>
          <w:bCs/>
          <w:szCs w:val="32"/>
        </w:rPr>
        <w:t>（三）</w:t>
      </w:r>
      <w:bookmarkEnd w:id="23"/>
      <w:r>
        <w:rPr>
          <w:rFonts w:ascii="Times New Roman" w:eastAsia="仿宋" w:hAnsi="Times New Roman"/>
          <w:b w:val="0"/>
          <w:bCs/>
          <w:szCs w:val="32"/>
        </w:rPr>
        <w:t>引进筛选优质果蔬新品种，优化品种结构，提升产业竞争力</w:t>
      </w:r>
      <w:bookmarkEnd w:id="24"/>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聚焦南京都市消费需求，通过项目实施引进番茄、</w:t>
      </w:r>
      <w:r>
        <w:rPr>
          <w:rFonts w:ascii="Times New Roman" w:eastAsia="仿宋" w:hAnsi="Times New Roman"/>
          <w:sz w:val="32"/>
          <w:szCs w:val="32"/>
        </w:rPr>
        <w:t>叶菜、</w:t>
      </w:r>
      <w:r>
        <w:rPr>
          <w:rFonts w:ascii="Times New Roman" w:eastAsia="仿宋" w:hAnsi="Times New Roman"/>
          <w:sz w:val="32"/>
          <w:szCs w:val="32"/>
        </w:rPr>
        <w:t>芹菜、香莴笋、</w:t>
      </w:r>
      <w:r>
        <w:rPr>
          <w:rFonts w:ascii="Times New Roman" w:eastAsia="仿宋" w:hAnsi="Times New Roman"/>
          <w:sz w:val="32"/>
          <w:szCs w:val="32"/>
        </w:rPr>
        <w:t>草莓、</w:t>
      </w:r>
      <w:r>
        <w:rPr>
          <w:rFonts w:ascii="Times New Roman" w:eastAsia="仿宋" w:hAnsi="Times New Roman"/>
          <w:sz w:val="32"/>
          <w:szCs w:val="32"/>
        </w:rPr>
        <w:t>蓝莓等</w:t>
      </w:r>
      <w:r>
        <w:rPr>
          <w:rFonts w:ascii="Times New Roman" w:eastAsia="仿宋" w:hAnsi="Times New Roman"/>
          <w:sz w:val="32"/>
          <w:szCs w:val="32"/>
        </w:rPr>
        <w:t>蔬菜园艺</w:t>
      </w:r>
      <w:r>
        <w:rPr>
          <w:rFonts w:ascii="Times New Roman" w:eastAsia="仿宋" w:hAnsi="Times New Roman"/>
          <w:sz w:val="32"/>
          <w:szCs w:val="32"/>
        </w:rPr>
        <w:t>新品种，</w:t>
      </w:r>
      <w:r>
        <w:rPr>
          <w:rFonts w:ascii="Times New Roman" w:eastAsia="仿宋" w:hAnsi="Times New Roman"/>
          <w:sz w:val="32"/>
          <w:szCs w:val="32"/>
        </w:rPr>
        <w:t>以引进示范种植的形式，</w:t>
      </w:r>
      <w:r>
        <w:rPr>
          <w:rFonts w:ascii="Times New Roman" w:eastAsia="仿宋" w:hAnsi="Times New Roman"/>
          <w:sz w:val="32"/>
          <w:szCs w:val="32"/>
        </w:rPr>
        <w:t>筛选适配南京气候、高产出、高抗病、口感优良的</w:t>
      </w:r>
      <w:r>
        <w:rPr>
          <w:rFonts w:ascii="Times New Roman" w:eastAsia="仿宋" w:hAnsi="Times New Roman"/>
          <w:sz w:val="32"/>
          <w:szCs w:val="32"/>
        </w:rPr>
        <w:t>新品种</w:t>
      </w:r>
      <w:r>
        <w:rPr>
          <w:rFonts w:ascii="Times New Roman" w:eastAsia="仿宋" w:hAnsi="Times New Roman"/>
          <w:sz w:val="32"/>
          <w:szCs w:val="32"/>
        </w:rPr>
        <w:t>，</w:t>
      </w:r>
      <w:r>
        <w:rPr>
          <w:rFonts w:ascii="Times New Roman" w:eastAsia="仿宋" w:hAnsi="Times New Roman"/>
          <w:sz w:val="32"/>
          <w:szCs w:val="32"/>
        </w:rPr>
        <w:t>推进全市蔬菜园艺品种结构不断优化，新品种</w:t>
      </w:r>
      <w:r>
        <w:rPr>
          <w:rFonts w:ascii="Times New Roman" w:eastAsia="仿宋" w:hAnsi="Times New Roman"/>
          <w:sz w:val="32"/>
          <w:szCs w:val="32"/>
        </w:rPr>
        <w:t>填补了淡季特色果蔬供给空白，丰富市民菜篮子品类的同时提升</w:t>
      </w:r>
      <w:r>
        <w:rPr>
          <w:rFonts w:ascii="Times New Roman" w:eastAsia="仿宋" w:hAnsi="Times New Roman"/>
          <w:sz w:val="32"/>
          <w:szCs w:val="32"/>
        </w:rPr>
        <w:t>地产蔬菜园艺产品的市场知名度和竞争力</w:t>
      </w:r>
      <w:r>
        <w:rPr>
          <w:rFonts w:ascii="Times New Roman" w:eastAsia="仿宋" w:hAnsi="Times New Roman"/>
          <w:sz w:val="32"/>
          <w:szCs w:val="32"/>
        </w:rPr>
        <w:t>。</w:t>
      </w:r>
    </w:p>
    <w:p w:rsidR="009766F6" w:rsidRDefault="00F92F2F">
      <w:pPr>
        <w:pStyle w:val="2"/>
        <w:numPr>
          <w:ilvl w:val="0"/>
          <w:numId w:val="3"/>
        </w:numPr>
        <w:spacing w:before="0" w:after="0" w:line="560" w:lineRule="exact"/>
        <w:ind w:left="68" w:firstLine="562"/>
        <w:rPr>
          <w:rFonts w:ascii="Times New Roman" w:eastAsia="仿宋" w:hAnsi="Times New Roman"/>
          <w:b w:val="0"/>
          <w:bCs/>
          <w:szCs w:val="32"/>
        </w:rPr>
      </w:pPr>
      <w:bookmarkStart w:id="25" w:name="_Toc26050"/>
      <w:r>
        <w:rPr>
          <w:rFonts w:ascii="Times New Roman" w:eastAsia="仿宋" w:hAnsi="Times New Roman"/>
          <w:b w:val="0"/>
          <w:bCs/>
          <w:szCs w:val="32"/>
        </w:rPr>
        <w:t>加大现代化农业设施投入，装备提档升级、抗灾增效能力大幅提升</w:t>
      </w:r>
      <w:bookmarkEnd w:id="25"/>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通过项目实施，新建新型薄膜日光温室</w:t>
      </w:r>
      <w:r>
        <w:rPr>
          <w:rFonts w:ascii="Times New Roman" w:eastAsia="仿宋" w:hAnsi="Times New Roman"/>
          <w:sz w:val="32"/>
          <w:szCs w:val="32"/>
        </w:rPr>
        <w:t>10000</w:t>
      </w:r>
      <w:r>
        <w:rPr>
          <w:rFonts w:ascii="Times New Roman" w:eastAsia="仿宋" w:hAnsi="Times New Roman"/>
          <w:sz w:val="32"/>
          <w:szCs w:val="32"/>
        </w:rPr>
        <w:t>㎡、玻璃温室</w:t>
      </w:r>
      <w:r>
        <w:rPr>
          <w:rFonts w:ascii="Times New Roman" w:eastAsia="仿宋" w:hAnsi="Times New Roman"/>
          <w:sz w:val="32"/>
          <w:szCs w:val="32"/>
        </w:rPr>
        <w:t>12410</w:t>
      </w:r>
      <w:r>
        <w:rPr>
          <w:rFonts w:ascii="Times New Roman" w:eastAsia="仿宋" w:hAnsi="Times New Roman"/>
          <w:sz w:val="32"/>
          <w:szCs w:val="32"/>
        </w:rPr>
        <w:t>㎡、新建连栋塑料薄膜温室</w:t>
      </w:r>
      <w:r>
        <w:rPr>
          <w:rFonts w:ascii="Times New Roman" w:eastAsia="仿宋" w:hAnsi="Times New Roman"/>
          <w:sz w:val="32"/>
          <w:szCs w:val="32"/>
        </w:rPr>
        <w:t>152558</w:t>
      </w:r>
      <w:r>
        <w:rPr>
          <w:rFonts w:ascii="Times New Roman" w:eastAsia="仿宋" w:hAnsi="Times New Roman"/>
          <w:sz w:val="32"/>
          <w:szCs w:val="32"/>
        </w:rPr>
        <w:t>㎡、</w:t>
      </w:r>
      <w:r>
        <w:rPr>
          <w:rFonts w:ascii="Times New Roman" w:eastAsia="仿宋" w:hAnsi="Times New Roman"/>
          <w:sz w:val="32"/>
          <w:szCs w:val="32"/>
        </w:rPr>
        <w:t>8332</w:t>
      </w:r>
      <w:r>
        <w:rPr>
          <w:rFonts w:ascii="Times New Roman" w:eastAsia="仿宋" w:hAnsi="Times New Roman"/>
          <w:sz w:val="32"/>
          <w:szCs w:val="32"/>
        </w:rPr>
        <w:t>钢架大棚</w:t>
      </w:r>
      <w:r>
        <w:rPr>
          <w:rFonts w:ascii="Times New Roman" w:eastAsia="仿宋" w:hAnsi="Times New Roman"/>
          <w:sz w:val="32"/>
          <w:szCs w:val="32"/>
        </w:rPr>
        <w:t>135</w:t>
      </w:r>
      <w:r>
        <w:rPr>
          <w:rFonts w:ascii="Times New Roman" w:eastAsia="仿宋" w:hAnsi="Times New Roman"/>
          <w:sz w:val="32"/>
          <w:szCs w:val="32"/>
        </w:rPr>
        <w:t>亩、改造老旧破损大棚</w:t>
      </w:r>
      <w:r>
        <w:rPr>
          <w:rFonts w:ascii="Times New Roman" w:eastAsia="仿宋" w:hAnsi="Times New Roman"/>
          <w:sz w:val="32"/>
          <w:szCs w:val="32"/>
        </w:rPr>
        <w:t>1</w:t>
      </w:r>
      <w:r>
        <w:rPr>
          <w:rFonts w:ascii="Times New Roman" w:eastAsia="仿宋" w:hAnsi="Times New Roman"/>
          <w:sz w:val="32"/>
          <w:szCs w:val="32"/>
        </w:rPr>
        <w:t>00</w:t>
      </w:r>
      <w:r>
        <w:rPr>
          <w:rFonts w:ascii="Times New Roman" w:eastAsia="仿宋" w:hAnsi="Times New Roman"/>
          <w:sz w:val="32"/>
          <w:szCs w:val="32"/>
        </w:rPr>
        <w:t>亩，配套外遮阳、内保温、雨水收集</w:t>
      </w:r>
      <w:r>
        <w:rPr>
          <w:rFonts w:ascii="Times New Roman" w:eastAsia="仿宋" w:hAnsi="Times New Roman"/>
          <w:sz w:val="32"/>
          <w:szCs w:val="32"/>
        </w:rPr>
        <w:lastRenderedPageBreak/>
        <w:t>系统，解决传统大棚冬冷夏热</w:t>
      </w:r>
      <w:r>
        <w:rPr>
          <w:rFonts w:ascii="Times New Roman" w:eastAsia="仿宋" w:hAnsi="Times New Roman"/>
          <w:sz w:val="32"/>
          <w:szCs w:val="32"/>
        </w:rPr>
        <w:t>、</w:t>
      </w:r>
      <w:r>
        <w:rPr>
          <w:rFonts w:ascii="Times New Roman" w:eastAsia="仿宋" w:hAnsi="Times New Roman"/>
          <w:sz w:val="32"/>
          <w:szCs w:val="32"/>
        </w:rPr>
        <w:t>防风抗涝性能偏弱的问题</w:t>
      </w:r>
      <w:r>
        <w:rPr>
          <w:rFonts w:ascii="Times New Roman" w:eastAsia="仿宋" w:hAnsi="Times New Roman"/>
          <w:sz w:val="32"/>
          <w:szCs w:val="32"/>
        </w:rPr>
        <w:t>，设施基地全年生产周期延长</w:t>
      </w:r>
      <w:r>
        <w:rPr>
          <w:rFonts w:ascii="Times New Roman" w:eastAsia="仿宋" w:hAnsi="Times New Roman"/>
          <w:sz w:val="32"/>
          <w:szCs w:val="32"/>
        </w:rPr>
        <w:t>2-3</w:t>
      </w:r>
      <w:r>
        <w:rPr>
          <w:rFonts w:ascii="Times New Roman" w:eastAsia="仿宋" w:hAnsi="Times New Roman"/>
          <w:sz w:val="32"/>
          <w:szCs w:val="32"/>
        </w:rPr>
        <w:t>个月，实现蔬菜周年不间断生产。示范基地覆盖配套水肥一体化喷滴管，精准灌溉施肥，大幅降低水电、肥料等农资</w:t>
      </w:r>
      <w:r>
        <w:rPr>
          <w:rFonts w:ascii="Times New Roman" w:eastAsia="仿宋" w:hAnsi="Times New Roman"/>
          <w:sz w:val="32"/>
          <w:szCs w:val="32"/>
        </w:rPr>
        <w:t>生</w:t>
      </w:r>
      <w:r>
        <w:rPr>
          <w:rFonts w:ascii="Times New Roman" w:eastAsia="仿宋" w:hAnsi="Times New Roman"/>
          <w:sz w:val="32"/>
          <w:szCs w:val="32"/>
        </w:rPr>
        <w:t>产成本。</w:t>
      </w:r>
    </w:p>
    <w:p w:rsidR="009766F6" w:rsidRDefault="00F92F2F">
      <w:pPr>
        <w:pStyle w:val="1"/>
        <w:spacing w:before="0" w:after="0" w:line="560" w:lineRule="exact"/>
        <w:ind w:firstLineChars="200" w:firstLine="640"/>
        <w:rPr>
          <w:rFonts w:ascii="Times New Roman" w:eastAsia="黑体" w:hAnsi="Times New Roman"/>
          <w:b w:val="0"/>
          <w:bCs w:val="0"/>
          <w:sz w:val="32"/>
          <w:szCs w:val="32"/>
        </w:rPr>
      </w:pPr>
      <w:bookmarkStart w:id="26" w:name="_Toc32046"/>
      <w:bookmarkStart w:id="27" w:name="_Toc10766"/>
      <w:r>
        <w:rPr>
          <w:rFonts w:ascii="Times New Roman" w:eastAsia="黑体" w:hAnsi="Times New Roman"/>
          <w:b w:val="0"/>
          <w:bCs w:val="0"/>
          <w:sz w:val="32"/>
          <w:szCs w:val="32"/>
        </w:rPr>
        <w:t>四、存在问题</w:t>
      </w:r>
      <w:bookmarkEnd w:id="26"/>
      <w:bookmarkEnd w:id="27"/>
    </w:p>
    <w:p w:rsidR="009766F6" w:rsidRDefault="00F92F2F">
      <w:pPr>
        <w:pStyle w:val="2"/>
        <w:spacing w:before="0" w:after="0" w:line="560" w:lineRule="exact"/>
        <w:ind w:firstLineChars="200" w:firstLine="640"/>
        <w:rPr>
          <w:rFonts w:ascii="Times New Roman" w:eastAsia="仿宋" w:hAnsi="Times New Roman"/>
          <w:b w:val="0"/>
          <w:bCs/>
          <w:szCs w:val="32"/>
        </w:rPr>
      </w:pPr>
      <w:bookmarkStart w:id="28" w:name="_Toc22880"/>
      <w:bookmarkStart w:id="29" w:name="_Toc17580"/>
      <w:r>
        <w:rPr>
          <w:rFonts w:ascii="Times New Roman" w:eastAsia="仿宋" w:hAnsi="Times New Roman"/>
          <w:b w:val="0"/>
          <w:bCs/>
          <w:szCs w:val="32"/>
        </w:rPr>
        <w:t>（一）项目</w:t>
      </w:r>
      <w:bookmarkEnd w:id="28"/>
      <w:r>
        <w:rPr>
          <w:rFonts w:ascii="Times New Roman" w:eastAsia="仿宋" w:hAnsi="Times New Roman"/>
          <w:b w:val="0"/>
          <w:bCs/>
          <w:szCs w:val="32"/>
        </w:rPr>
        <w:t>验收不及时</w:t>
      </w:r>
      <w:r>
        <w:rPr>
          <w:rFonts w:ascii="Times New Roman" w:eastAsia="仿宋" w:hAnsi="Times New Roman"/>
          <w:b w:val="0"/>
          <w:bCs/>
          <w:szCs w:val="32"/>
        </w:rPr>
        <w:t>，</w:t>
      </w:r>
      <w:r>
        <w:rPr>
          <w:rFonts w:ascii="Times New Roman" w:eastAsia="仿宋" w:hAnsi="Times New Roman"/>
          <w:b w:val="0"/>
          <w:bCs/>
          <w:szCs w:val="32"/>
        </w:rPr>
        <w:t>部分项目进度缓慢，资金执行率偏低</w:t>
      </w:r>
      <w:bookmarkEnd w:id="29"/>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区级项目：截至</w:t>
      </w:r>
      <w:r>
        <w:rPr>
          <w:rFonts w:ascii="Times New Roman" w:eastAsia="仿宋" w:hAnsi="Times New Roman"/>
          <w:sz w:val="32"/>
          <w:szCs w:val="32"/>
        </w:rPr>
        <w:t>2026</w:t>
      </w:r>
      <w:r>
        <w:rPr>
          <w:rFonts w:ascii="Times New Roman" w:eastAsia="仿宋" w:hAnsi="Times New Roman"/>
          <w:sz w:val="32"/>
          <w:szCs w:val="32"/>
        </w:rPr>
        <w:t>年</w:t>
      </w:r>
      <w:r>
        <w:rPr>
          <w:rFonts w:ascii="Times New Roman" w:eastAsia="仿宋" w:hAnsi="Times New Roman"/>
          <w:sz w:val="32"/>
          <w:szCs w:val="32"/>
        </w:rPr>
        <w:t>6</w:t>
      </w:r>
      <w:r>
        <w:rPr>
          <w:rFonts w:ascii="Times New Roman" w:eastAsia="仿宋" w:hAnsi="Times New Roman"/>
          <w:sz w:val="32"/>
          <w:szCs w:val="32"/>
        </w:rPr>
        <w:t>月初，虽还未到项目验收截止期，但区级项目多数未验收，未达到验收条件。</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原因分析：各区项目立项批复时间在</w:t>
      </w:r>
      <w:r>
        <w:rPr>
          <w:rFonts w:ascii="Times New Roman" w:eastAsia="仿宋" w:hAnsi="Times New Roman"/>
          <w:sz w:val="32"/>
          <w:szCs w:val="32"/>
        </w:rPr>
        <w:t>2025</w:t>
      </w:r>
      <w:r>
        <w:rPr>
          <w:rFonts w:ascii="Times New Roman" w:eastAsia="仿宋" w:hAnsi="Times New Roman"/>
          <w:sz w:val="32"/>
          <w:szCs w:val="32"/>
        </w:rPr>
        <w:t>年</w:t>
      </w:r>
      <w:r>
        <w:rPr>
          <w:rFonts w:ascii="Times New Roman" w:eastAsia="仿宋" w:hAnsi="Times New Roman"/>
          <w:sz w:val="32"/>
          <w:szCs w:val="32"/>
        </w:rPr>
        <w:t>6</w:t>
      </w:r>
      <w:r>
        <w:rPr>
          <w:rFonts w:ascii="Times New Roman" w:eastAsia="仿宋" w:hAnsi="Times New Roman"/>
          <w:sz w:val="32"/>
          <w:szCs w:val="32"/>
        </w:rPr>
        <w:t>月至</w:t>
      </w:r>
      <w:r>
        <w:rPr>
          <w:rFonts w:ascii="Times New Roman" w:eastAsia="仿宋" w:hAnsi="Times New Roman"/>
          <w:sz w:val="32"/>
          <w:szCs w:val="32"/>
        </w:rPr>
        <w:t>2025</w:t>
      </w:r>
      <w:r>
        <w:rPr>
          <w:rFonts w:ascii="Times New Roman" w:eastAsia="仿宋" w:hAnsi="Times New Roman"/>
          <w:sz w:val="32"/>
          <w:szCs w:val="32"/>
        </w:rPr>
        <w:t>年</w:t>
      </w:r>
      <w:r>
        <w:rPr>
          <w:rFonts w:ascii="Times New Roman" w:eastAsia="仿宋" w:hAnsi="Times New Roman"/>
          <w:sz w:val="32"/>
          <w:szCs w:val="32"/>
        </w:rPr>
        <w:t>11</w:t>
      </w:r>
      <w:r>
        <w:rPr>
          <w:rFonts w:ascii="Times New Roman" w:eastAsia="仿宋" w:hAnsi="Times New Roman"/>
          <w:sz w:val="32"/>
          <w:szCs w:val="32"/>
        </w:rPr>
        <w:t>月，项目批复时间较迟，影响后续的项目实施、直接影响项</w:t>
      </w:r>
      <w:r>
        <w:rPr>
          <w:rFonts w:ascii="Times New Roman" w:eastAsia="仿宋" w:hAnsi="Times New Roman"/>
          <w:sz w:val="32"/>
          <w:szCs w:val="32"/>
        </w:rPr>
        <w:t>目验收率。为保障财政资金使用安全，区级项目</w:t>
      </w:r>
      <w:r>
        <w:rPr>
          <w:rFonts w:ascii="Times New Roman" w:eastAsia="仿宋" w:hAnsi="Times New Roman"/>
          <w:sz w:val="32"/>
          <w:szCs w:val="32"/>
        </w:rPr>
        <w:t>普遍采用</w:t>
      </w:r>
      <w:r>
        <w:rPr>
          <w:rFonts w:ascii="Times New Roman" w:eastAsia="仿宋" w:hAnsi="Times New Roman"/>
          <w:sz w:val="32"/>
          <w:szCs w:val="32"/>
        </w:rPr>
        <w:t>“</w:t>
      </w:r>
      <w:r>
        <w:rPr>
          <w:rFonts w:ascii="Times New Roman" w:eastAsia="仿宋" w:hAnsi="Times New Roman"/>
          <w:sz w:val="32"/>
          <w:szCs w:val="32"/>
        </w:rPr>
        <w:t>先建后补</w:t>
      </w:r>
      <w:r>
        <w:rPr>
          <w:rFonts w:ascii="Times New Roman" w:eastAsia="仿宋" w:hAnsi="Times New Roman"/>
          <w:sz w:val="32"/>
          <w:szCs w:val="32"/>
        </w:rPr>
        <w:t>”</w:t>
      </w:r>
      <w:r>
        <w:rPr>
          <w:rFonts w:ascii="Times New Roman" w:eastAsia="仿宋" w:hAnsi="Times New Roman"/>
          <w:sz w:val="32"/>
          <w:szCs w:val="32"/>
        </w:rPr>
        <w:t>模式，财政</w:t>
      </w:r>
      <w:r>
        <w:rPr>
          <w:rFonts w:ascii="Times New Roman" w:eastAsia="仿宋" w:hAnsi="Times New Roman"/>
          <w:sz w:val="32"/>
          <w:szCs w:val="32"/>
        </w:rPr>
        <w:t>资金</w:t>
      </w:r>
      <w:r>
        <w:rPr>
          <w:rFonts w:ascii="Times New Roman" w:eastAsia="仿宋" w:hAnsi="Times New Roman"/>
          <w:sz w:val="32"/>
          <w:szCs w:val="32"/>
        </w:rPr>
        <w:t>须待项目</w:t>
      </w:r>
      <w:r>
        <w:rPr>
          <w:rFonts w:ascii="Times New Roman" w:eastAsia="仿宋" w:hAnsi="Times New Roman"/>
          <w:sz w:val="32"/>
          <w:szCs w:val="32"/>
        </w:rPr>
        <w:t>验收后</w:t>
      </w:r>
      <w:r>
        <w:rPr>
          <w:rFonts w:ascii="Times New Roman" w:eastAsia="仿宋" w:hAnsi="Times New Roman"/>
          <w:sz w:val="32"/>
          <w:szCs w:val="32"/>
        </w:rPr>
        <w:t>方可</w:t>
      </w:r>
      <w:r>
        <w:rPr>
          <w:rFonts w:ascii="Times New Roman" w:eastAsia="仿宋" w:hAnsi="Times New Roman"/>
          <w:sz w:val="32"/>
          <w:szCs w:val="32"/>
        </w:rPr>
        <w:t>拨付</w:t>
      </w:r>
      <w:r>
        <w:rPr>
          <w:rFonts w:ascii="Times New Roman" w:eastAsia="仿宋" w:hAnsi="Times New Roman"/>
          <w:sz w:val="32"/>
          <w:szCs w:val="32"/>
        </w:rPr>
        <w:t>，</w:t>
      </w:r>
      <w:r>
        <w:rPr>
          <w:rFonts w:ascii="Times New Roman" w:eastAsia="仿宋" w:hAnsi="Times New Roman"/>
          <w:sz w:val="32"/>
          <w:szCs w:val="32"/>
        </w:rPr>
        <w:t>导致财政补助资金支出率偏低。</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30" w:name="_Toc19678"/>
      <w:r>
        <w:rPr>
          <w:rFonts w:ascii="Times New Roman" w:eastAsia="仿宋" w:hAnsi="Times New Roman"/>
          <w:b w:val="0"/>
          <w:bCs/>
          <w:szCs w:val="32"/>
        </w:rPr>
        <w:t>（二）</w:t>
      </w:r>
      <w:r>
        <w:rPr>
          <w:rFonts w:ascii="Times New Roman" w:eastAsia="仿宋" w:hAnsi="Times New Roman"/>
          <w:b w:val="0"/>
          <w:bCs/>
          <w:szCs w:val="32"/>
        </w:rPr>
        <w:t>个别</w:t>
      </w:r>
      <w:r>
        <w:rPr>
          <w:rFonts w:ascii="Times New Roman" w:eastAsia="仿宋" w:hAnsi="Times New Roman"/>
          <w:b w:val="0"/>
          <w:bCs/>
          <w:szCs w:val="32"/>
        </w:rPr>
        <w:t>项目</w:t>
      </w:r>
      <w:r>
        <w:rPr>
          <w:rFonts w:ascii="Times New Roman" w:eastAsia="仿宋" w:hAnsi="Times New Roman"/>
          <w:b w:val="0"/>
          <w:bCs/>
          <w:szCs w:val="32"/>
        </w:rPr>
        <w:t>前期调研工作力度有待提升</w:t>
      </w:r>
      <w:bookmarkEnd w:id="30"/>
    </w:p>
    <w:p w:rsidR="009766F6" w:rsidRDefault="00F92F2F">
      <w:pPr>
        <w:tabs>
          <w:tab w:val="left" w:pos="2940"/>
        </w:tabs>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现场核查发现，</w:t>
      </w:r>
      <w:r>
        <w:rPr>
          <w:rFonts w:ascii="Times New Roman" w:eastAsia="仿宋" w:hAnsi="Times New Roman"/>
          <w:sz w:val="32"/>
          <w:szCs w:val="32"/>
        </w:rPr>
        <w:t>个别</w:t>
      </w:r>
      <w:r>
        <w:rPr>
          <w:rFonts w:ascii="Times New Roman" w:eastAsia="仿宋" w:hAnsi="Times New Roman"/>
          <w:sz w:val="32"/>
          <w:szCs w:val="32"/>
        </w:rPr>
        <w:t>项目如南京市江宁区农汇谷家庭农场申报的农汇谷蓝莓病虫绿色防控试验示范与推广项目，因项目立项之前申报单位与镇街农业服务部门对蓝莓实际种植面积调研工作不充分，导致未完成实施方案批复建设面积（批复</w:t>
      </w:r>
      <w:r>
        <w:rPr>
          <w:rFonts w:ascii="Times New Roman" w:eastAsia="仿宋" w:hAnsi="Times New Roman"/>
          <w:sz w:val="32"/>
          <w:szCs w:val="32"/>
        </w:rPr>
        <w:t>160</w:t>
      </w:r>
      <w:r>
        <w:rPr>
          <w:rFonts w:ascii="Times New Roman" w:eastAsia="仿宋" w:hAnsi="Times New Roman"/>
          <w:sz w:val="32"/>
          <w:szCs w:val="32"/>
        </w:rPr>
        <w:t>亩，实际完成</w:t>
      </w:r>
      <w:r>
        <w:rPr>
          <w:rFonts w:ascii="Times New Roman" w:eastAsia="仿宋" w:hAnsi="Times New Roman"/>
          <w:sz w:val="32"/>
          <w:szCs w:val="32"/>
        </w:rPr>
        <w:t>100.33</w:t>
      </w:r>
      <w:r>
        <w:rPr>
          <w:rFonts w:ascii="Times New Roman" w:eastAsia="仿宋" w:hAnsi="Times New Roman"/>
          <w:sz w:val="32"/>
          <w:szCs w:val="32"/>
        </w:rPr>
        <w:t>亩）</w:t>
      </w:r>
      <w:r>
        <w:rPr>
          <w:rFonts w:ascii="Times New Roman" w:eastAsia="仿宋" w:hAnsi="Times New Roman"/>
          <w:sz w:val="32"/>
          <w:szCs w:val="32"/>
        </w:rPr>
        <w:t>。</w:t>
      </w:r>
      <w:r>
        <w:rPr>
          <w:rFonts w:ascii="Times New Roman" w:eastAsia="仿宋" w:hAnsi="Times New Roman"/>
          <w:sz w:val="32"/>
          <w:szCs w:val="32"/>
        </w:rPr>
        <w:t>浦口区、江宁区、溧水区</w:t>
      </w:r>
      <w:r>
        <w:rPr>
          <w:rFonts w:ascii="Times New Roman" w:eastAsia="仿宋" w:hAnsi="Times New Roman"/>
          <w:sz w:val="32"/>
          <w:szCs w:val="32"/>
        </w:rPr>
        <w:t>共取消项目</w:t>
      </w:r>
      <w:r>
        <w:rPr>
          <w:rFonts w:ascii="Times New Roman" w:eastAsia="仿宋" w:hAnsi="Times New Roman"/>
          <w:sz w:val="32"/>
          <w:szCs w:val="32"/>
        </w:rPr>
        <w:t>2</w:t>
      </w:r>
      <w:r>
        <w:rPr>
          <w:rFonts w:ascii="Times New Roman" w:eastAsia="仿宋" w:hAnsi="Times New Roman"/>
          <w:sz w:val="32"/>
          <w:szCs w:val="32"/>
        </w:rPr>
        <w:t>个，终止项目</w:t>
      </w:r>
      <w:r>
        <w:rPr>
          <w:rFonts w:ascii="Times New Roman" w:eastAsia="仿宋" w:hAnsi="Times New Roman"/>
          <w:sz w:val="32"/>
          <w:szCs w:val="32"/>
        </w:rPr>
        <w:t>1</w:t>
      </w:r>
      <w:r>
        <w:rPr>
          <w:rFonts w:ascii="Times New Roman" w:eastAsia="仿宋" w:hAnsi="Times New Roman"/>
          <w:sz w:val="32"/>
          <w:szCs w:val="32"/>
        </w:rPr>
        <w:t>个，涉及市级财政补助资金</w:t>
      </w:r>
      <w:r>
        <w:rPr>
          <w:rFonts w:ascii="Times New Roman" w:eastAsia="仿宋" w:hAnsi="Times New Roman"/>
          <w:sz w:val="32"/>
          <w:szCs w:val="32"/>
        </w:rPr>
        <w:t>83.54</w:t>
      </w:r>
      <w:r>
        <w:rPr>
          <w:rFonts w:ascii="Times New Roman" w:eastAsia="仿宋" w:hAnsi="Times New Roman"/>
          <w:sz w:val="32"/>
          <w:szCs w:val="32"/>
        </w:rPr>
        <w:t>万元。</w:t>
      </w:r>
      <w:r>
        <w:rPr>
          <w:rFonts w:ascii="Times New Roman" w:eastAsia="仿宋" w:hAnsi="Times New Roman"/>
          <w:sz w:val="32"/>
          <w:szCs w:val="32"/>
        </w:rPr>
        <w:t>经了解均因项目申报单位资金短缺，无法保证项目实施到位，申请取消、终止</w:t>
      </w:r>
      <w:r>
        <w:rPr>
          <w:rFonts w:ascii="Times New Roman" w:eastAsia="仿宋" w:hAnsi="Times New Roman"/>
          <w:sz w:val="32"/>
          <w:szCs w:val="32"/>
        </w:rPr>
        <w:t>。</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31" w:name="_Toc24364"/>
      <w:bookmarkStart w:id="32" w:name="_Toc16501"/>
      <w:r>
        <w:rPr>
          <w:rFonts w:ascii="Times New Roman" w:eastAsia="仿宋" w:hAnsi="Times New Roman"/>
          <w:b w:val="0"/>
          <w:bCs/>
          <w:szCs w:val="32"/>
        </w:rPr>
        <w:lastRenderedPageBreak/>
        <w:t>（三）</w:t>
      </w:r>
      <w:bookmarkEnd w:id="31"/>
      <w:r>
        <w:rPr>
          <w:rFonts w:ascii="Times New Roman" w:eastAsia="仿宋" w:hAnsi="Times New Roman"/>
          <w:b w:val="0"/>
          <w:bCs/>
          <w:szCs w:val="32"/>
        </w:rPr>
        <w:t>个别</w:t>
      </w:r>
      <w:r>
        <w:rPr>
          <w:rFonts w:ascii="Times New Roman" w:eastAsia="仿宋" w:hAnsi="Times New Roman"/>
          <w:b w:val="0"/>
          <w:bCs/>
          <w:szCs w:val="32"/>
        </w:rPr>
        <w:t>项目建设内容</w:t>
      </w:r>
      <w:r>
        <w:rPr>
          <w:rFonts w:ascii="Times New Roman" w:eastAsia="仿宋" w:hAnsi="Times New Roman"/>
          <w:b w:val="0"/>
          <w:bCs/>
          <w:szCs w:val="32"/>
        </w:rPr>
        <w:t>与</w:t>
      </w:r>
      <w:r>
        <w:rPr>
          <w:rFonts w:ascii="Times New Roman" w:eastAsia="仿宋" w:hAnsi="Times New Roman"/>
          <w:b w:val="0"/>
          <w:bCs/>
          <w:szCs w:val="32"/>
        </w:rPr>
        <w:t>批复</w:t>
      </w:r>
      <w:r>
        <w:rPr>
          <w:rFonts w:ascii="Times New Roman" w:eastAsia="仿宋" w:hAnsi="Times New Roman"/>
          <w:b w:val="0"/>
          <w:bCs/>
          <w:szCs w:val="32"/>
        </w:rPr>
        <w:t>标准存在差异</w:t>
      </w:r>
      <w:r>
        <w:rPr>
          <w:rFonts w:ascii="Times New Roman" w:eastAsia="仿宋" w:hAnsi="Times New Roman"/>
          <w:b w:val="0"/>
          <w:bCs/>
          <w:szCs w:val="32"/>
        </w:rPr>
        <w:t>，</w:t>
      </w:r>
      <w:r>
        <w:rPr>
          <w:rFonts w:ascii="Times New Roman" w:eastAsia="仿宋" w:hAnsi="Times New Roman"/>
          <w:b w:val="0"/>
          <w:bCs/>
          <w:szCs w:val="32"/>
        </w:rPr>
        <w:t>个别</w:t>
      </w:r>
      <w:r>
        <w:rPr>
          <w:rFonts w:ascii="Times New Roman" w:eastAsia="仿宋" w:hAnsi="Times New Roman"/>
          <w:b w:val="0"/>
          <w:bCs/>
          <w:szCs w:val="32"/>
        </w:rPr>
        <w:t>绿色防控物资剩余较多或已过保质期</w:t>
      </w:r>
      <w:bookmarkEnd w:id="32"/>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个别</w:t>
      </w:r>
      <w:r>
        <w:rPr>
          <w:rFonts w:ascii="Times New Roman" w:eastAsia="仿宋" w:hAnsi="Times New Roman"/>
          <w:sz w:val="32"/>
          <w:szCs w:val="32"/>
        </w:rPr>
        <w:t>项目建设内容与批复标准存在差异，如</w:t>
      </w:r>
      <w:r>
        <w:rPr>
          <w:rFonts w:ascii="Times New Roman" w:eastAsia="仿宋" w:hAnsi="Times New Roman"/>
          <w:sz w:val="32"/>
          <w:szCs w:val="32"/>
        </w:rPr>
        <w:t>①</w:t>
      </w:r>
      <w:r>
        <w:rPr>
          <w:rFonts w:ascii="Times New Roman" w:eastAsia="仿宋" w:hAnsi="Times New Roman"/>
          <w:sz w:val="32"/>
          <w:szCs w:val="32"/>
        </w:rPr>
        <w:t>栖霞区南京坝上鲜果蔬专业合作社申报的</w:t>
      </w:r>
      <w:r>
        <w:rPr>
          <w:rFonts w:ascii="Times New Roman" w:eastAsia="仿宋" w:hAnsi="Times New Roman"/>
          <w:sz w:val="32"/>
          <w:szCs w:val="32"/>
        </w:rPr>
        <w:t>2025</w:t>
      </w:r>
      <w:r>
        <w:rPr>
          <w:rFonts w:ascii="Times New Roman" w:eastAsia="仿宋" w:hAnsi="Times New Roman"/>
          <w:sz w:val="32"/>
          <w:szCs w:val="32"/>
        </w:rPr>
        <w:t>年坝上鲜连栋塑料温室大棚建设项目钢丝承重系统所安装钢丝的行间距未按照实施方案要求实施（要求钢丝行间距</w:t>
      </w:r>
      <w:r>
        <w:rPr>
          <w:rFonts w:ascii="Times New Roman" w:eastAsia="仿宋" w:hAnsi="Times New Roman"/>
          <w:sz w:val="32"/>
          <w:szCs w:val="32"/>
        </w:rPr>
        <w:t>0.5*0.5m</w:t>
      </w:r>
      <w:r>
        <w:rPr>
          <w:rFonts w:ascii="Times New Roman" w:eastAsia="仿宋" w:hAnsi="Times New Roman"/>
          <w:sz w:val="32"/>
          <w:szCs w:val="32"/>
        </w:rPr>
        <w:t>，实际</w:t>
      </w:r>
      <w:r>
        <w:rPr>
          <w:rFonts w:ascii="Times New Roman" w:eastAsia="仿宋" w:hAnsi="Times New Roman"/>
          <w:sz w:val="32"/>
          <w:szCs w:val="32"/>
        </w:rPr>
        <w:t>0.5*1m</w:t>
      </w:r>
      <w:r>
        <w:rPr>
          <w:rFonts w:ascii="Times New Roman" w:eastAsia="仿宋" w:hAnsi="Times New Roman"/>
          <w:sz w:val="32"/>
          <w:szCs w:val="32"/>
        </w:rPr>
        <w:t>）；</w:t>
      </w:r>
      <w:r>
        <w:rPr>
          <w:rFonts w:ascii="Times New Roman" w:eastAsia="仿宋" w:hAnsi="Times New Roman"/>
          <w:sz w:val="32"/>
          <w:szCs w:val="32"/>
        </w:rPr>
        <w:t>②</w:t>
      </w:r>
      <w:r>
        <w:rPr>
          <w:rFonts w:ascii="Times New Roman" w:eastAsia="仿宋" w:hAnsi="Times New Roman"/>
          <w:sz w:val="32"/>
          <w:szCs w:val="32"/>
        </w:rPr>
        <w:t>高淳区南京市康淳农业科技有限公司申报的康淳农业</w:t>
      </w:r>
      <w:r>
        <w:rPr>
          <w:rFonts w:ascii="Times New Roman" w:eastAsia="仿宋" w:hAnsi="Times New Roman"/>
          <w:sz w:val="32"/>
          <w:szCs w:val="32"/>
        </w:rPr>
        <w:t>8332</w:t>
      </w:r>
      <w:r>
        <w:rPr>
          <w:rFonts w:ascii="Times New Roman" w:eastAsia="仿宋" w:hAnsi="Times New Roman"/>
          <w:sz w:val="32"/>
          <w:szCs w:val="32"/>
        </w:rPr>
        <w:t>钢架大棚改造项目棚门提升高度未按照实施方案要求实施（要求</w:t>
      </w:r>
      <w:r>
        <w:rPr>
          <w:rFonts w:ascii="Times New Roman" w:eastAsia="仿宋" w:hAnsi="Times New Roman"/>
          <w:sz w:val="32"/>
          <w:szCs w:val="32"/>
        </w:rPr>
        <w:t>2m</w:t>
      </w:r>
      <w:r>
        <w:rPr>
          <w:rFonts w:ascii="Times New Roman" w:eastAsia="仿宋" w:hAnsi="Times New Roman"/>
          <w:sz w:val="32"/>
          <w:szCs w:val="32"/>
        </w:rPr>
        <w:t>，实际</w:t>
      </w:r>
      <w:r>
        <w:rPr>
          <w:rFonts w:ascii="Times New Roman" w:eastAsia="仿宋" w:hAnsi="Times New Roman"/>
          <w:sz w:val="32"/>
          <w:szCs w:val="32"/>
        </w:rPr>
        <w:t>1.85m</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sz w:val="32"/>
          <w:szCs w:val="32"/>
        </w:rPr>
        <w:t>部</w:t>
      </w:r>
      <w:r>
        <w:rPr>
          <w:rFonts w:ascii="Times New Roman" w:eastAsia="仿宋" w:hAnsi="Times New Roman"/>
          <w:sz w:val="32"/>
          <w:szCs w:val="32"/>
        </w:rPr>
        <w:t>分设施已损坏</w:t>
      </w:r>
      <w:r>
        <w:rPr>
          <w:rFonts w:ascii="Times New Roman" w:eastAsia="仿宋" w:hAnsi="Times New Roman"/>
          <w:sz w:val="32"/>
          <w:szCs w:val="32"/>
        </w:rPr>
        <w:t>；</w:t>
      </w:r>
      <w:r>
        <w:rPr>
          <w:rFonts w:ascii="Times New Roman" w:eastAsia="仿宋" w:hAnsi="Times New Roman"/>
          <w:sz w:val="32"/>
          <w:szCs w:val="32"/>
        </w:rPr>
        <w:t>③</w:t>
      </w:r>
      <w:r>
        <w:rPr>
          <w:rFonts w:ascii="Times New Roman" w:eastAsia="仿宋" w:hAnsi="Times New Roman"/>
          <w:sz w:val="32"/>
          <w:szCs w:val="32"/>
        </w:rPr>
        <w:t>南京溧水傅家边天润果蔬专业合作社申报的</w:t>
      </w:r>
      <w:r>
        <w:rPr>
          <w:rFonts w:ascii="Times New Roman" w:eastAsia="仿宋" w:hAnsi="Times New Roman"/>
          <w:sz w:val="32"/>
          <w:szCs w:val="32"/>
        </w:rPr>
        <w:t>2025</w:t>
      </w:r>
      <w:r>
        <w:rPr>
          <w:rFonts w:ascii="Times New Roman" w:eastAsia="仿宋" w:hAnsi="Times New Roman"/>
          <w:sz w:val="32"/>
          <w:szCs w:val="32"/>
        </w:rPr>
        <w:t>年洪蓝天润设施蔬菜园艺项目防鸟网四周钢管直径未按照实施方案要</w:t>
      </w:r>
      <w:r>
        <w:rPr>
          <w:rFonts w:ascii="Times New Roman" w:eastAsia="仿宋" w:hAnsi="Times New Roman"/>
          <w:sz w:val="32"/>
          <w:szCs w:val="32"/>
        </w:rPr>
        <w:t>求</w:t>
      </w:r>
      <w:r>
        <w:rPr>
          <w:rFonts w:ascii="Times New Roman" w:eastAsia="仿宋" w:hAnsi="Times New Roman"/>
          <w:sz w:val="32"/>
          <w:szCs w:val="32"/>
        </w:rPr>
        <w:t>实施（要求</w:t>
      </w:r>
      <w:r>
        <w:rPr>
          <w:rFonts w:ascii="Times New Roman" w:eastAsia="仿宋" w:hAnsi="Times New Roman"/>
          <w:sz w:val="32"/>
          <w:szCs w:val="32"/>
        </w:rPr>
        <w:t>50mm</w:t>
      </w:r>
      <w:r>
        <w:rPr>
          <w:rFonts w:ascii="Times New Roman" w:eastAsia="仿宋" w:hAnsi="Times New Roman"/>
          <w:sz w:val="32"/>
          <w:szCs w:val="32"/>
        </w:rPr>
        <w:t>以上，实际</w:t>
      </w:r>
      <w:r>
        <w:rPr>
          <w:rFonts w:ascii="Times New Roman" w:eastAsia="仿宋" w:hAnsi="Times New Roman"/>
          <w:sz w:val="32"/>
          <w:szCs w:val="32"/>
        </w:rPr>
        <w:t>48mm</w:t>
      </w:r>
      <w:r>
        <w:rPr>
          <w:rFonts w:ascii="Times New Roman" w:eastAsia="仿宋" w:hAnsi="Times New Roman"/>
          <w:sz w:val="32"/>
          <w:szCs w:val="32"/>
        </w:rPr>
        <w:t>）；</w:t>
      </w:r>
      <w:r>
        <w:rPr>
          <w:rFonts w:ascii="Times New Roman" w:eastAsia="仿宋" w:hAnsi="Times New Roman"/>
          <w:sz w:val="32"/>
          <w:szCs w:val="32"/>
        </w:rPr>
        <w:t>④</w:t>
      </w:r>
      <w:r>
        <w:rPr>
          <w:rFonts w:ascii="Times New Roman" w:eastAsia="仿宋" w:hAnsi="Times New Roman"/>
          <w:sz w:val="32"/>
          <w:szCs w:val="32"/>
        </w:rPr>
        <w:t>南京邦诚农副产品有限公司申报的</w:t>
      </w:r>
      <w:r>
        <w:rPr>
          <w:rFonts w:ascii="Times New Roman" w:eastAsia="仿宋" w:hAnsi="Times New Roman"/>
          <w:sz w:val="32"/>
          <w:szCs w:val="32"/>
        </w:rPr>
        <w:t>2025</w:t>
      </w:r>
      <w:r>
        <w:rPr>
          <w:rFonts w:ascii="Times New Roman" w:eastAsia="仿宋" w:hAnsi="Times New Roman"/>
          <w:sz w:val="32"/>
          <w:szCs w:val="32"/>
        </w:rPr>
        <w:t>六合横梁街道南京邦诚农副产品有限公司设施农业项目湿帘高度未按照实施方案要求实施（要求</w:t>
      </w:r>
      <w:r>
        <w:rPr>
          <w:rFonts w:ascii="Times New Roman" w:eastAsia="仿宋" w:hAnsi="Times New Roman"/>
          <w:sz w:val="32"/>
          <w:szCs w:val="32"/>
        </w:rPr>
        <w:t>1.5m</w:t>
      </w:r>
      <w:r>
        <w:rPr>
          <w:rFonts w:ascii="Times New Roman" w:eastAsia="仿宋" w:hAnsi="Times New Roman"/>
          <w:sz w:val="32"/>
          <w:szCs w:val="32"/>
        </w:rPr>
        <w:t>，实际</w:t>
      </w:r>
      <w:r>
        <w:rPr>
          <w:rFonts w:ascii="Times New Roman" w:eastAsia="仿宋" w:hAnsi="Times New Roman"/>
          <w:sz w:val="32"/>
          <w:szCs w:val="32"/>
        </w:rPr>
        <w:t>1.2m</w:t>
      </w:r>
      <w:r>
        <w:rPr>
          <w:rFonts w:ascii="Times New Roman" w:eastAsia="仿宋" w:hAnsi="Times New Roman"/>
          <w:sz w:val="32"/>
          <w:szCs w:val="32"/>
        </w:rPr>
        <w:t>）。</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个别</w:t>
      </w:r>
      <w:r>
        <w:rPr>
          <w:rFonts w:ascii="Times New Roman" w:eastAsia="仿宋" w:hAnsi="Times New Roman"/>
          <w:sz w:val="32"/>
          <w:szCs w:val="32"/>
        </w:rPr>
        <w:t>绿色防控项目部分物资剩余较多及部分剩余物资已过保质期，如溧水区</w:t>
      </w:r>
      <w:r>
        <w:rPr>
          <w:rFonts w:ascii="Times New Roman" w:eastAsia="仿宋" w:hAnsi="Times New Roman"/>
          <w:sz w:val="32"/>
          <w:szCs w:val="32"/>
        </w:rPr>
        <w:t>2025</w:t>
      </w:r>
      <w:r>
        <w:rPr>
          <w:rFonts w:ascii="Times New Roman" w:eastAsia="仿宋" w:hAnsi="Times New Roman"/>
          <w:sz w:val="32"/>
          <w:szCs w:val="32"/>
        </w:rPr>
        <w:t>年洪蓝台宁绿色防控项目物资剩余量较多，未用完的生物农药中，枯草芽孢杆菌已过保质期（保质期</w:t>
      </w:r>
      <w:r>
        <w:rPr>
          <w:rFonts w:ascii="Times New Roman" w:eastAsia="仿宋" w:hAnsi="Times New Roman"/>
          <w:sz w:val="32"/>
          <w:szCs w:val="32"/>
        </w:rPr>
        <w:t>2</w:t>
      </w:r>
      <w:r>
        <w:rPr>
          <w:rFonts w:ascii="Times New Roman" w:eastAsia="仿宋" w:hAnsi="Times New Roman"/>
          <w:sz w:val="32"/>
          <w:szCs w:val="32"/>
        </w:rPr>
        <w:t>年，</w:t>
      </w:r>
      <w:r>
        <w:rPr>
          <w:rFonts w:ascii="Times New Roman" w:eastAsia="仿宋" w:hAnsi="Times New Roman"/>
          <w:sz w:val="32"/>
          <w:szCs w:val="32"/>
        </w:rPr>
        <w:t>2026</w:t>
      </w:r>
      <w:r>
        <w:rPr>
          <w:rFonts w:ascii="Times New Roman" w:eastAsia="仿宋" w:hAnsi="Times New Roman"/>
          <w:sz w:val="32"/>
          <w:szCs w:val="32"/>
        </w:rPr>
        <w:t>年</w:t>
      </w:r>
      <w:r>
        <w:rPr>
          <w:rFonts w:ascii="Times New Roman" w:eastAsia="仿宋" w:hAnsi="Times New Roman"/>
          <w:sz w:val="32"/>
          <w:szCs w:val="32"/>
        </w:rPr>
        <w:t>3</w:t>
      </w:r>
      <w:r>
        <w:rPr>
          <w:rFonts w:ascii="Times New Roman" w:eastAsia="仿宋" w:hAnsi="Times New Roman"/>
          <w:sz w:val="32"/>
          <w:szCs w:val="32"/>
        </w:rPr>
        <w:t>月到期）。</w:t>
      </w:r>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原因</w:t>
      </w:r>
      <w:r>
        <w:rPr>
          <w:rFonts w:ascii="Times New Roman" w:eastAsia="仿宋" w:hAnsi="Times New Roman"/>
          <w:sz w:val="32"/>
          <w:szCs w:val="32"/>
        </w:rPr>
        <w:t>及分析：项目实施单位在编制预算之前未对项目进行充分的可行性研究，</w:t>
      </w:r>
      <w:r>
        <w:rPr>
          <w:rFonts w:ascii="Times New Roman" w:eastAsia="仿宋" w:hAnsi="Times New Roman"/>
          <w:sz w:val="32"/>
          <w:szCs w:val="32"/>
        </w:rPr>
        <w:t>实施过程中发现方案与实际需要不符，为更好的服务生产，对建设标准进行了调整</w:t>
      </w:r>
      <w:r>
        <w:rPr>
          <w:rFonts w:ascii="Times New Roman" w:eastAsia="仿宋" w:hAnsi="Times New Roman"/>
          <w:sz w:val="32"/>
          <w:szCs w:val="32"/>
        </w:rPr>
        <w:t>。绿色防控项目重在引导使用绿色防控技术模式，物资使用需结合农时，而且蔬菜园艺作物病虫害发生情况受到气候条件、生产操作等多方面影响，无法准确预计病虫发生情况及对应用药量。</w:t>
      </w:r>
    </w:p>
    <w:p w:rsidR="009766F6" w:rsidRDefault="00F92F2F">
      <w:pPr>
        <w:pStyle w:val="1"/>
        <w:spacing w:before="0" w:after="0" w:line="560" w:lineRule="exact"/>
        <w:ind w:firstLineChars="200" w:firstLine="640"/>
        <w:rPr>
          <w:rFonts w:ascii="Times New Roman" w:eastAsia="黑体" w:hAnsi="Times New Roman"/>
          <w:sz w:val="32"/>
          <w:szCs w:val="32"/>
        </w:rPr>
      </w:pPr>
      <w:bookmarkStart w:id="33" w:name="_Toc10781"/>
      <w:bookmarkStart w:id="34" w:name="_Toc2207"/>
      <w:r>
        <w:rPr>
          <w:rFonts w:ascii="Times New Roman" w:eastAsia="黑体" w:hAnsi="Times New Roman"/>
          <w:b w:val="0"/>
          <w:bCs w:val="0"/>
          <w:sz w:val="32"/>
          <w:szCs w:val="32"/>
        </w:rPr>
        <w:lastRenderedPageBreak/>
        <w:t>五、评价建议</w:t>
      </w:r>
      <w:bookmarkEnd w:id="33"/>
      <w:bookmarkEnd w:id="34"/>
    </w:p>
    <w:p w:rsidR="009766F6" w:rsidRDefault="00F92F2F">
      <w:pPr>
        <w:pStyle w:val="2"/>
        <w:spacing w:before="0" w:after="0" w:line="560" w:lineRule="exact"/>
        <w:ind w:firstLineChars="200" w:firstLine="640"/>
        <w:rPr>
          <w:rFonts w:ascii="Times New Roman" w:eastAsia="仿宋" w:hAnsi="Times New Roman"/>
          <w:b w:val="0"/>
          <w:bCs/>
          <w:szCs w:val="32"/>
        </w:rPr>
      </w:pPr>
      <w:bookmarkStart w:id="35" w:name="_Toc3438"/>
      <w:bookmarkStart w:id="36" w:name="_Toc12547"/>
      <w:r>
        <w:rPr>
          <w:rFonts w:ascii="Times New Roman" w:eastAsia="仿宋" w:hAnsi="Times New Roman"/>
          <w:b w:val="0"/>
          <w:bCs/>
          <w:szCs w:val="32"/>
        </w:rPr>
        <w:t>（一）加强项目全流程管理，加快项目实施进度</w:t>
      </w:r>
      <w:bookmarkEnd w:id="35"/>
      <w:bookmarkEnd w:id="36"/>
    </w:p>
    <w:p w:rsidR="009766F6" w:rsidRDefault="00F92F2F">
      <w:pPr>
        <w:spacing w:line="560" w:lineRule="exact"/>
        <w:ind w:firstLineChars="200" w:firstLine="640"/>
        <w:rPr>
          <w:rFonts w:ascii="Times New Roman" w:eastAsia="仿宋" w:hAnsi="Times New Roman"/>
          <w:bCs/>
          <w:sz w:val="32"/>
          <w:szCs w:val="32"/>
        </w:rPr>
      </w:pPr>
      <w:bookmarkStart w:id="37" w:name="_Toc29376"/>
      <w:r>
        <w:rPr>
          <w:rFonts w:ascii="Times New Roman" w:eastAsia="仿宋" w:hAnsi="Times New Roman"/>
          <w:bCs/>
          <w:sz w:val="32"/>
          <w:szCs w:val="32"/>
        </w:rPr>
        <w:t>一是</w:t>
      </w:r>
      <w:r>
        <w:rPr>
          <w:rFonts w:ascii="Times New Roman" w:eastAsia="仿宋" w:hAnsi="Times New Roman"/>
          <w:bCs/>
          <w:sz w:val="32"/>
          <w:szCs w:val="32"/>
        </w:rPr>
        <w:t>各区农业农村部门要</w:t>
      </w:r>
      <w:r>
        <w:rPr>
          <w:rFonts w:ascii="Times New Roman" w:eastAsia="仿宋" w:hAnsi="Times New Roman"/>
          <w:bCs/>
          <w:sz w:val="32"/>
          <w:szCs w:val="32"/>
        </w:rPr>
        <w:t>加快项目申报、评审、立项，确保项目及时落地。二是及时批复项目，保证项目及时实施，不误农时。三是加强对项目实施单位的培训和指导，督促推进项目实施。对已完成待验收的项目，尽快安排验收工作。对已完成验收的项目，会同财政部门及时将市级补助资金下达到项目实施主体。</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38" w:name="_Toc14363"/>
      <w:r>
        <w:rPr>
          <w:rFonts w:ascii="Times New Roman" w:eastAsia="仿宋" w:hAnsi="Times New Roman"/>
          <w:b w:val="0"/>
          <w:bCs/>
          <w:szCs w:val="32"/>
        </w:rPr>
        <w:t>（二）合理分配项目资金，全面了解实施主体经营状况</w:t>
      </w:r>
      <w:bookmarkEnd w:id="38"/>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项目立项前期做好项目实施主体基本情况特别是资金情况的摸排工作，提高入库项目质量，进行充分的调研，全面了解实施主体的经营状况，确保项目实施期间不出现因资金短缺等原因无法正常实施的情况，进一步提高财政资金使用效</w:t>
      </w:r>
      <w:r>
        <w:rPr>
          <w:rFonts w:ascii="Times New Roman" w:eastAsia="仿宋" w:hAnsi="Times New Roman"/>
          <w:bCs/>
          <w:sz w:val="32"/>
          <w:szCs w:val="32"/>
        </w:rPr>
        <w:t>益。</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39" w:name="_Toc22841"/>
      <w:r>
        <w:rPr>
          <w:rFonts w:ascii="Times New Roman" w:eastAsia="仿宋" w:hAnsi="Times New Roman"/>
          <w:b w:val="0"/>
          <w:bCs/>
          <w:szCs w:val="32"/>
        </w:rPr>
        <w:t>（三）加强项目监督，保障项目内容按质按量完成</w:t>
      </w:r>
      <w:bookmarkEnd w:id="37"/>
      <w:bookmarkEnd w:id="39"/>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bCs/>
          <w:sz w:val="32"/>
          <w:szCs w:val="32"/>
        </w:rPr>
        <w:t>各区项目主管部门</w:t>
      </w:r>
      <w:r>
        <w:rPr>
          <w:rFonts w:ascii="Times New Roman" w:eastAsia="仿宋" w:hAnsi="Times New Roman"/>
          <w:bCs/>
          <w:sz w:val="32"/>
          <w:szCs w:val="32"/>
        </w:rPr>
        <w:t>要加强对项目实施的督促、指导和服务，督促项目单位按照批复后的实施方案及时高效的完成项目内容，</w:t>
      </w:r>
      <w:r>
        <w:rPr>
          <w:rFonts w:ascii="Times New Roman" w:eastAsia="仿宋" w:hAnsi="Times New Roman"/>
          <w:sz w:val="32"/>
          <w:szCs w:val="32"/>
        </w:rPr>
        <w:t>及时核查项目实施内容与方案的一致性，对项目管理人员、项目实施主要负责人进行必要的经济、法规、财务、审计等知识培训，提高项目实施重视度。</w:t>
      </w:r>
    </w:p>
    <w:p w:rsidR="009766F6" w:rsidRDefault="00F92F2F">
      <w:pPr>
        <w:pStyle w:val="1"/>
        <w:spacing w:before="0" w:after="0" w:line="560" w:lineRule="exact"/>
        <w:ind w:firstLineChars="200" w:firstLine="640"/>
        <w:rPr>
          <w:rFonts w:ascii="Times New Roman" w:eastAsia="黑体" w:hAnsi="Times New Roman"/>
          <w:sz w:val="32"/>
          <w:szCs w:val="32"/>
        </w:rPr>
      </w:pPr>
      <w:bookmarkStart w:id="40" w:name="_Toc27938"/>
      <w:bookmarkStart w:id="41" w:name="_Toc16873"/>
      <w:r>
        <w:rPr>
          <w:rFonts w:ascii="Times New Roman" w:eastAsia="黑体" w:hAnsi="Times New Roman"/>
          <w:b w:val="0"/>
          <w:bCs w:val="0"/>
          <w:sz w:val="32"/>
          <w:szCs w:val="32"/>
        </w:rPr>
        <w:t>六、评价工作开展情况及其他需说明的情况</w:t>
      </w:r>
      <w:bookmarkEnd w:id="40"/>
    </w:p>
    <w:p w:rsidR="009766F6" w:rsidRDefault="00F92F2F">
      <w:pPr>
        <w:pStyle w:val="2"/>
        <w:spacing w:before="0" w:after="0" w:line="560" w:lineRule="exact"/>
        <w:ind w:firstLineChars="200" w:firstLine="640"/>
        <w:rPr>
          <w:rFonts w:ascii="Times New Roman" w:eastAsia="仿宋" w:hAnsi="Times New Roman"/>
          <w:b w:val="0"/>
          <w:bCs/>
          <w:szCs w:val="32"/>
        </w:rPr>
      </w:pPr>
      <w:bookmarkStart w:id="42" w:name="_Toc15433"/>
      <w:bookmarkStart w:id="43" w:name="_Toc205457799"/>
      <w:r>
        <w:rPr>
          <w:rFonts w:ascii="Times New Roman" w:eastAsia="仿宋" w:hAnsi="Times New Roman"/>
          <w:b w:val="0"/>
          <w:bCs/>
          <w:szCs w:val="32"/>
        </w:rPr>
        <w:t>（一）绩效评价工作情况</w:t>
      </w:r>
      <w:bookmarkEnd w:id="42"/>
      <w:bookmarkEnd w:id="43"/>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1.</w:t>
      </w:r>
      <w:r>
        <w:rPr>
          <w:rFonts w:ascii="Times New Roman" w:eastAsia="仿宋" w:hAnsi="Times New Roman"/>
          <w:bCs/>
          <w:sz w:val="32"/>
          <w:szCs w:val="32"/>
        </w:rPr>
        <w:t>评价思路及方法</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绩效评价遵循结果导向、科学规范、公正公开、绩效相关的原则，主要包括成本效益分析法、比较法、因素分析法、最低成本法、公众评判法。</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lastRenderedPageBreak/>
        <w:t>本次评价以比较法为主，因素分析法、公众评判法等方法为辅，采取定量与定性相结合的办法进行评价。在比较分析和评定的基础上最终通过得分多少将项目绩效评定为优、良、一般、差四个等级。</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2.</w:t>
      </w:r>
      <w:r>
        <w:rPr>
          <w:rFonts w:ascii="Times New Roman" w:eastAsia="仿宋" w:hAnsi="Times New Roman"/>
          <w:bCs/>
          <w:sz w:val="32"/>
          <w:szCs w:val="32"/>
        </w:rPr>
        <w:t>评价组织与分工</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成立由处室负责人担任组长的绩效评价小组，及时协调、处理绩效评价中遇到的各类问题，并根据工作需要适时配备参与评价的专业技术人员，确保绩效评价工作按计划实施。</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 xml:space="preserve"> 3.</w:t>
      </w:r>
      <w:r>
        <w:rPr>
          <w:rFonts w:ascii="Times New Roman" w:eastAsia="仿宋" w:hAnsi="Times New Roman"/>
          <w:bCs/>
          <w:sz w:val="32"/>
          <w:szCs w:val="32"/>
        </w:rPr>
        <w:t>评价过程</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1</w:t>
      </w:r>
      <w:r>
        <w:rPr>
          <w:rFonts w:ascii="Times New Roman" w:eastAsia="仿宋" w:hAnsi="Times New Roman"/>
          <w:bCs/>
          <w:sz w:val="32"/>
          <w:szCs w:val="32"/>
        </w:rPr>
        <w:t>）前期准备。对各区上报的</w:t>
      </w:r>
      <w:r>
        <w:rPr>
          <w:rFonts w:ascii="Times New Roman" w:eastAsia="仿宋" w:hAnsi="Times New Roman"/>
          <w:bCs/>
          <w:sz w:val="32"/>
          <w:szCs w:val="32"/>
        </w:rPr>
        <w:t>2025</w:t>
      </w:r>
      <w:r>
        <w:rPr>
          <w:rFonts w:ascii="Times New Roman" w:eastAsia="仿宋" w:hAnsi="Times New Roman"/>
          <w:bCs/>
          <w:sz w:val="32"/>
          <w:szCs w:val="32"/>
        </w:rPr>
        <w:t>年市级现代蔬菜园艺高质量发展项目资金和项目实施情况进行了现场核查，对统计表进行数据核实、归纳汇总，分析变化情</w:t>
      </w:r>
      <w:r>
        <w:rPr>
          <w:rFonts w:ascii="Times New Roman" w:eastAsia="仿宋" w:hAnsi="Times New Roman"/>
          <w:bCs/>
          <w:sz w:val="32"/>
          <w:szCs w:val="32"/>
        </w:rPr>
        <w:t>况。综合各区上报数据，对照现场调查情况，对绩效执行、资金来源和使用情况以及绩效目标的实现程度进行了分析评价。</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2</w:t>
      </w:r>
      <w:r>
        <w:rPr>
          <w:rFonts w:ascii="Times New Roman" w:eastAsia="仿宋" w:hAnsi="Times New Roman"/>
          <w:bCs/>
          <w:sz w:val="32"/>
          <w:szCs w:val="32"/>
        </w:rPr>
        <w:t>）基础数据与资料审核。审核搜集资料的相关性、真实性、可靠性，对有效资料进行整理、分类、统计，形成项目基础数据表。</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3</w:t>
      </w:r>
      <w:r>
        <w:rPr>
          <w:rFonts w:ascii="Times New Roman" w:eastAsia="仿宋" w:hAnsi="Times New Roman"/>
          <w:bCs/>
          <w:sz w:val="32"/>
          <w:szCs w:val="32"/>
        </w:rPr>
        <w:t>）项目决策分析、管理分析、绩效分析。对</w:t>
      </w:r>
      <w:r>
        <w:rPr>
          <w:rFonts w:ascii="Times New Roman" w:eastAsia="仿宋" w:hAnsi="Times New Roman"/>
          <w:bCs/>
          <w:sz w:val="32"/>
          <w:szCs w:val="32"/>
        </w:rPr>
        <w:t>2025</w:t>
      </w:r>
      <w:r>
        <w:rPr>
          <w:rFonts w:ascii="Times New Roman" w:eastAsia="仿宋" w:hAnsi="Times New Roman"/>
          <w:bCs/>
          <w:sz w:val="32"/>
          <w:szCs w:val="32"/>
        </w:rPr>
        <w:t>年市级现代蔬菜园艺高质量发展项目专项资金立项、目标设定等决策情况，项目管理制度建设与执行等管理情况以及项目资金使用、成果统计等绩效情况进行分析，对该项目进行定性、定量的评价，分析项目的实施效果。</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4</w:t>
      </w:r>
      <w:r>
        <w:rPr>
          <w:rFonts w:ascii="Times New Roman" w:eastAsia="仿宋" w:hAnsi="Times New Roman"/>
          <w:bCs/>
          <w:sz w:val="32"/>
          <w:szCs w:val="32"/>
        </w:rPr>
        <w:t>）评价指标计量及综合评价。计算绩效</w:t>
      </w:r>
      <w:r>
        <w:rPr>
          <w:rFonts w:ascii="Times New Roman" w:eastAsia="仿宋" w:hAnsi="Times New Roman"/>
          <w:bCs/>
          <w:sz w:val="32"/>
          <w:szCs w:val="32"/>
        </w:rPr>
        <w:t>评价指标，根据本次评价指标体系与评分标准，形成评价结论。</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lastRenderedPageBreak/>
        <w:t>（</w:t>
      </w:r>
      <w:r>
        <w:rPr>
          <w:rFonts w:ascii="Times New Roman" w:eastAsia="仿宋" w:hAnsi="Times New Roman"/>
          <w:bCs/>
          <w:sz w:val="32"/>
          <w:szCs w:val="32"/>
        </w:rPr>
        <w:t>5</w:t>
      </w:r>
      <w:r>
        <w:rPr>
          <w:rFonts w:ascii="Times New Roman" w:eastAsia="仿宋" w:hAnsi="Times New Roman"/>
          <w:bCs/>
          <w:sz w:val="32"/>
          <w:szCs w:val="32"/>
        </w:rPr>
        <w:t>）形成问题和建议。对绩效评价过程中发现的问题进行归总，并提出相关建议。</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6</w:t>
      </w:r>
      <w:r>
        <w:rPr>
          <w:rFonts w:ascii="Times New Roman" w:eastAsia="仿宋" w:hAnsi="Times New Roman"/>
          <w:bCs/>
          <w:sz w:val="32"/>
          <w:szCs w:val="32"/>
        </w:rPr>
        <w:t>）出具报告。撰写、出具</w:t>
      </w:r>
      <w:r>
        <w:rPr>
          <w:rFonts w:ascii="Times New Roman" w:eastAsia="仿宋" w:hAnsi="Times New Roman"/>
          <w:bCs/>
          <w:sz w:val="32"/>
          <w:szCs w:val="32"/>
        </w:rPr>
        <w:t>2025</w:t>
      </w:r>
      <w:r>
        <w:rPr>
          <w:rFonts w:ascii="Times New Roman" w:eastAsia="仿宋" w:hAnsi="Times New Roman"/>
          <w:bCs/>
          <w:sz w:val="32"/>
          <w:szCs w:val="32"/>
        </w:rPr>
        <w:t>年市级现代蔬菜园艺高质量发展项目绩效评价报告。</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7</w:t>
      </w:r>
      <w:r>
        <w:rPr>
          <w:rFonts w:ascii="Times New Roman" w:eastAsia="仿宋" w:hAnsi="Times New Roman"/>
          <w:bCs/>
          <w:sz w:val="32"/>
          <w:szCs w:val="32"/>
        </w:rPr>
        <w:t>）资料整理和归档。对绩效评价工作资料进行整理，完善绩效评价工作底稿并归档。</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4.</w:t>
      </w:r>
      <w:r>
        <w:rPr>
          <w:rFonts w:ascii="Times New Roman" w:eastAsia="仿宋" w:hAnsi="Times New Roman"/>
          <w:bCs/>
          <w:sz w:val="32"/>
          <w:szCs w:val="32"/>
        </w:rPr>
        <w:t>评价指标体系</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以《南京市市级预算项目绩效目标申报表（</w:t>
      </w:r>
      <w:r>
        <w:rPr>
          <w:rFonts w:ascii="Times New Roman" w:eastAsia="仿宋" w:hAnsi="Times New Roman"/>
          <w:bCs/>
          <w:sz w:val="32"/>
          <w:szCs w:val="32"/>
        </w:rPr>
        <w:t>2025</w:t>
      </w:r>
      <w:r>
        <w:rPr>
          <w:rFonts w:ascii="Times New Roman" w:eastAsia="仿宋" w:hAnsi="Times New Roman"/>
          <w:bCs/>
          <w:sz w:val="32"/>
          <w:szCs w:val="32"/>
        </w:rPr>
        <w:t>年市级现代蔬菜园艺高质量发展项目）》的绩效评价指标框架为基础，结合专项资金工作目标，从项目决策、过程管理、项目产出、项目效益四个维度，设置项目立项、绩效目标、资金投入、资金管理、组织实施、产出数量与质量、产出时效、社会效益、生态效益、可持续影响、满意度等</w:t>
      </w:r>
      <w:r>
        <w:rPr>
          <w:rFonts w:ascii="Times New Roman" w:eastAsia="仿宋" w:hAnsi="Times New Roman"/>
          <w:bCs/>
          <w:sz w:val="32"/>
          <w:szCs w:val="32"/>
        </w:rPr>
        <w:t>13</w:t>
      </w:r>
      <w:r>
        <w:rPr>
          <w:rFonts w:ascii="Times New Roman" w:eastAsia="仿宋" w:hAnsi="Times New Roman"/>
          <w:bCs/>
          <w:sz w:val="32"/>
          <w:szCs w:val="32"/>
        </w:rPr>
        <w:t>个二级指标以及</w:t>
      </w:r>
      <w:r>
        <w:rPr>
          <w:rFonts w:ascii="Times New Roman" w:eastAsia="仿宋" w:hAnsi="Times New Roman"/>
          <w:bCs/>
          <w:sz w:val="32"/>
          <w:szCs w:val="32"/>
        </w:rPr>
        <w:t>26</w:t>
      </w:r>
      <w:r>
        <w:rPr>
          <w:rFonts w:ascii="Times New Roman" w:eastAsia="仿宋" w:hAnsi="Times New Roman"/>
          <w:bCs/>
          <w:sz w:val="32"/>
          <w:szCs w:val="32"/>
        </w:rPr>
        <w:t>个三级指标，采取指标分值百分制，依照各指标在绩效评价中的重要程度依次设置不同的标准值和权值，将</w:t>
      </w:r>
      <w:r>
        <w:rPr>
          <w:rFonts w:ascii="Times New Roman" w:eastAsia="仿宋" w:hAnsi="Times New Roman"/>
          <w:bCs/>
          <w:sz w:val="32"/>
          <w:szCs w:val="32"/>
        </w:rPr>
        <w:t>26</w:t>
      </w:r>
      <w:r>
        <w:rPr>
          <w:rFonts w:ascii="Times New Roman" w:eastAsia="仿宋" w:hAnsi="Times New Roman"/>
          <w:bCs/>
          <w:sz w:val="32"/>
          <w:szCs w:val="32"/>
        </w:rPr>
        <w:t>个指标量化为</w:t>
      </w:r>
      <w:r>
        <w:rPr>
          <w:rFonts w:ascii="Times New Roman" w:eastAsia="仿宋" w:hAnsi="Times New Roman"/>
          <w:bCs/>
          <w:sz w:val="32"/>
          <w:szCs w:val="32"/>
        </w:rPr>
        <w:t>100</w:t>
      </w:r>
      <w:r>
        <w:rPr>
          <w:rFonts w:ascii="Times New Roman" w:eastAsia="仿宋" w:hAnsi="Times New Roman"/>
          <w:bCs/>
          <w:sz w:val="32"/>
          <w:szCs w:val="32"/>
        </w:rPr>
        <w:t>分，合理反映每个指标的影响和作用，详见《</w:t>
      </w:r>
      <w:r>
        <w:rPr>
          <w:rFonts w:ascii="Times New Roman" w:eastAsia="仿宋" w:hAnsi="Times New Roman"/>
          <w:bCs/>
          <w:sz w:val="32"/>
          <w:szCs w:val="32"/>
        </w:rPr>
        <w:t>2025</w:t>
      </w:r>
      <w:r>
        <w:rPr>
          <w:rFonts w:ascii="Times New Roman" w:eastAsia="仿宋" w:hAnsi="Times New Roman"/>
          <w:bCs/>
          <w:sz w:val="32"/>
          <w:szCs w:val="32"/>
        </w:rPr>
        <w:t>年市级现代蔬菜园艺高质量发</w:t>
      </w:r>
      <w:r>
        <w:rPr>
          <w:rFonts w:ascii="Times New Roman" w:eastAsia="仿宋" w:hAnsi="Times New Roman"/>
          <w:bCs/>
          <w:sz w:val="32"/>
          <w:szCs w:val="32"/>
        </w:rPr>
        <w:t>展项目专项资金绩效评价评分表》。</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44" w:name="_Toc7198"/>
      <w:r>
        <w:rPr>
          <w:rFonts w:ascii="Times New Roman" w:eastAsia="仿宋" w:hAnsi="Times New Roman"/>
          <w:b w:val="0"/>
          <w:bCs/>
          <w:szCs w:val="32"/>
        </w:rPr>
        <w:t>（二）绩效分析</w:t>
      </w:r>
      <w:bookmarkEnd w:id="44"/>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1.</w:t>
      </w:r>
      <w:r>
        <w:rPr>
          <w:rFonts w:ascii="Times New Roman" w:eastAsia="仿宋" w:hAnsi="Times New Roman"/>
          <w:b w:val="0"/>
          <w:bCs/>
          <w:szCs w:val="32"/>
        </w:rPr>
        <w:t>项目决策评价分析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根据《南京市</w:t>
      </w:r>
      <w:r>
        <w:rPr>
          <w:rFonts w:ascii="Times New Roman" w:eastAsia="仿宋" w:hAnsi="Times New Roman"/>
          <w:bCs/>
          <w:sz w:val="32"/>
          <w:szCs w:val="32"/>
        </w:rPr>
        <w:t>“</w:t>
      </w:r>
      <w:r>
        <w:rPr>
          <w:rFonts w:ascii="Times New Roman" w:eastAsia="仿宋" w:hAnsi="Times New Roman"/>
          <w:bCs/>
          <w:sz w:val="32"/>
          <w:szCs w:val="32"/>
        </w:rPr>
        <w:t>十四五</w:t>
      </w:r>
      <w:r>
        <w:rPr>
          <w:rFonts w:ascii="Times New Roman" w:eastAsia="仿宋" w:hAnsi="Times New Roman"/>
          <w:bCs/>
          <w:sz w:val="32"/>
          <w:szCs w:val="32"/>
        </w:rPr>
        <w:t>”</w:t>
      </w:r>
      <w:r>
        <w:rPr>
          <w:rFonts w:ascii="Times New Roman" w:eastAsia="仿宋" w:hAnsi="Times New Roman"/>
          <w:bCs/>
          <w:sz w:val="32"/>
          <w:szCs w:val="32"/>
        </w:rPr>
        <w:t>现代农业发展规划》等文件，由市本级及区级立项并报市级备案的</w:t>
      </w:r>
      <w:r>
        <w:rPr>
          <w:rFonts w:ascii="Times New Roman" w:eastAsia="仿宋" w:hAnsi="Times New Roman"/>
          <w:bCs/>
          <w:sz w:val="32"/>
          <w:szCs w:val="32"/>
        </w:rPr>
        <w:t>2025</w:t>
      </w:r>
      <w:r>
        <w:rPr>
          <w:rFonts w:ascii="Times New Roman" w:eastAsia="仿宋" w:hAnsi="Times New Roman"/>
          <w:bCs/>
          <w:sz w:val="32"/>
          <w:szCs w:val="32"/>
        </w:rPr>
        <w:t>年市级现代蔬菜园艺高质量发展项目，共计</w:t>
      </w:r>
      <w:r>
        <w:rPr>
          <w:rFonts w:ascii="Times New Roman" w:eastAsia="仿宋" w:hAnsi="Times New Roman"/>
          <w:bCs/>
          <w:sz w:val="32"/>
          <w:szCs w:val="32"/>
        </w:rPr>
        <w:t>98</w:t>
      </w:r>
      <w:r>
        <w:rPr>
          <w:rFonts w:ascii="Times New Roman" w:eastAsia="仿宋" w:hAnsi="Times New Roman"/>
          <w:bCs/>
          <w:sz w:val="32"/>
          <w:szCs w:val="32"/>
        </w:rPr>
        <w:t>个</w:t>
      </w:r>
      <w:r>
        <w:rPr>
          <w:rFonts w:ascii="Times New Roman" w:eastAsia="仿宋" w:hAnsi="Times New Roman"/>
          <w:bCs/>
          <w:sz w:val="32"/>
          <w:szCs w:val="32"/>
        </w:rPr>
        <w:t>，</w:t>
      </w:r>
      <w:r>
        <w:rPr>
          <w:rFonts w:ascii="Times New Roman" w:eastAsia="仿宋" w:hAnsi="Times New Roman"/>
          <w:bCs/>
          <w:sz w:val="32"/>
          <w:szCs w:val="32"/>
        </w:rPr>
        <w:t>其中：市本级</w:t>
      </w:r>
      <w:r>
        <w:rPr>
          <w:rFonts w:ascii="Times New Roman" w:eastAsia="仿宋" w:hAnsi="Times New Roman"/>
          <w:bCs/>
          <w:sz w:val="32"/>
          <w:szCs w:val="32"/>
        </w:rPr>
        <w:t>11</w:t>
      </w:r>
      <w:r>
        <w:rPr>
          <w:rFonts w:ascii="Times New Roman" w:eastAsia="仿宋" w:hAnsi="Times New Roman"/>
          <w:bCs/>
          <w:sz w:val="32"/>
          <w:szCs w:val="32"/>
        </w:rPr>
        <w:t>个，</w:t>
      </w:r>
      <w:r>
        <w:rPr>
          <w:rFonts w:ascii="Times New Roman" w:eastAsia="仿宋" w:hAnsi="Times New Roman"/>
          <w:bCs/>
          <w:sz w:val="32"/>
          <w:szCs w:val="32"/>
        </w:rPr>
        <w:t>区级立项并报市级备案的项目</w:t>
      </w:r>
      <w:r>
        <w:rPr>
          <w:rFonts w:ascii="Times New Roman" w:eastAsia="仿宋" w:hAnsi="Times New Roman"/>
          <w:bCs/>
          <w:sz w:val="32"/>
          <w:szCs w:val="32"/>
        </w:rPr>
        <w:t>87</w:t>
      </w:r>
      <w:r>
        <w:rPr>
          <w:rFonts w:ascii="Times New Roman" w:eastAsia="仿宋" w:hAnsi="Times New Roman"/>
          <w:bCs/>
          <w:sz w:val="32"/>
          <w:szCs w:val="32"/>
        </w:rPr>
        <w:t>个（</w:t>
      </w:r>
      <w:r>
        <w:rPr>
          <w:rFonts w:ascii="Times New Roman" w:eastAsia="仿宋" w:hAnsi="Times New Roman"/>
          <w:bCs/>
          <w:sz w:val="32"/>
          <w:szCs w:val="32"/>
        </w:rPr>
        <w:t>标准化菜地</w:t>
      </w:r>
      <w:r>
        <w:rPr>
          <w:rFonts w:ascii="Times New Roman" w:eastAsia="仿宋" w:hAnsi="Times New Roman"/>
          <w:bCs/>
          <w:sz w:val="32"/>
          <w:szCs w:val="32"/>
        </w:rPr>
        <w:t>2</w:t>
      </w:r>
      <w:r>
        <w:rPr>
          <w:rFonts w:ascii="Times New Roman" w:eastAsia="仿宋" w:hAnsi="Times New Roman"/>
          <w:bCs/>
          <w:sz w:val="32"/>
          <w:szCs w:val="32"/>
        </w:rPr>
        <w:t>个、设施蔬菜园艺</w:t>
      </w:r>
      <w:r>
        <w:rPr>
          <w:rFonts w:ascii="Times New Roman" w:eastAsia="仿宋" w:hAnsi="Times New Roman"/>
          <w:bCs/>
          <w:sz w:val="32"/>
          <w:szCs w:val="32"/>
        </w:rPr>
        <w:t>65</w:t>
      </w:r>
      <w:r>
        <w:rPr>
          <w:rFonts w:ascii="Times New Roman" w:eastAsia="仿宋" w:hAnsi="Times New Roman"/>
          <w:bCs/>
          <w:sz w:val="32"/>
          <w:szCs w:val="32"/>
        </w:rPr>
        <w:t>个、绿色防控试验示范与推广</w:t>
      </w:r>
      <w:r>
        <w:rPr>
          <w:rFonts w:ascii="Times New Roman" w:eastAsia="仿宋" w:hAnsi="Times New Roman"/>
          <w:bCs/>
          <w:sz w:val="32"/>
          <w:szCs w:val="32"/>
        </w:rPr>
        <w:t>19</w:t>
      </w:r>
      <w:r>
        <w:rPr>
          <w:rFonts w:ascii="Times New Roman" w:eastAsia="仿宋" w:hAnsi="Times New Roman"/>
          <w:bCs/>
          <w:sz w:val="32"/>
          <w:szCs w:val="32"/>
        </w:rPr>
        <w:t>个、高效特色园艺基地</w:t>
      </w:r>
      <w:r>
        <w:rPr>
          <w:rFonts w:ascii="Times New Roman" w:eastAsia="仿宋" w:hAnsi="Times New Roman"/>
          <w:bCs/>
          <w:sz w:val="32"/>
          <w:szCs w:val="32"/>
        </w:rPr>
        <w:t>1</w:t>
      </w:r>
      <w:r>
        <w:rPr>
          <w:rFonts w:ascii="Times New Roman" w:eastAsia="仿宋" w:hAnsi="Times New Roman"/>
          <w:bCs/>
          <w:sz w:val="32"/>
          <w:szCs w:val="32"/>
        </w:rPr>
        <w:t>个</w:t>
      </w:r>
      <w:r>
        <w:rPr>
          <w:rFonts w:ascii="Times New Roman" w:eastAsia="仿宋" w:hAnsi="Times New Roman"/>
          <w:bCs/>
          <w:sz w:val="32"/>
          <w:szCs w:val="32"/>
        </w:rPr>
        <w:t>）</w:t>
      </w:r>
      <w:r>
        <w:rPr>
          <w:rFonts w:ascii="Times New Roman" w:eastAsia="仿宋" w:hAnsi="Times New Roman"/>
          <w:bCs/>
          <w:sz w:val="32"/>
          <w:szCs w:val="32"/>
        </w:rPr>
        <w:t>，从获取</w:t>
      </w:r>
      <w:r>
        <w:rPr>
          <w:rFonts w:ascii="Times New Roman" w:eastAsia="仿宋" w:hAnsi="Times New Roman"/>
          <w:bCs/>
          <w:sz w:val="32"/>
          <w:szCs w:val="32"/>
        </w:rPr>
        <w:lastRenderedPageBreak/>
        <w:t>到的市本级及区级批复的实施方案，上述</w:t>
      </w:r>
      <w:r>
        <w:rPr>
          <w:rFonts w:ascii="Times New Roman" w:eastAsia="仿宋" w:hAnsi="Times New Roman"/>
          <w:bCs/>
          <w:sz w:val="32"/>
          <w:szCs w:val="32"/>
        </w:rPr>
        <w:t>98</w:t>
      </w:r>
      <w:r>
        <w:rPr>
          <w:rFonts w:ascii="Times New Roman" w:eastAsia="仿宋" w:hAnsi="Times New Roman"/>
          <w:bCs/>
          <w:sz w:val="32"/>
          <w:szCs w:val="32"/>
        </w:rPr>
        <w:t>个项目均设立了项目绩效目标，总体上看符合地方蔬菜生产、供给的实际需求，因此项目决策依据充分且程序规范。此项权重</w:t>
      </w:r>
      <w:r>
        <w:rPr>
          <w:rFonts w:ascii="Times New Roman" w:eastAsia="仿宋" w:hAnsi="Times New Roman"/>
          <w:bCs/>
          <w:sz w:val="32"/>
          <w:szCs w:val="32"/>
        </w:rPr>
        <w:t>12</w:t>
      </w:r>
      <w:r>
        <w:rPr>
          <w:rFonts w:ascii="Times New Roman" w:eastAsia="仿宋" w:hAnsi="Times New Roman"/>
          <w:bCs/>
          <w:sz w:val="32"/>
          <w:szCs w:val="32"/>
        </w:rPr>
        <w:t>分</w:t>
      </w:r>
      <w:r>
        <w:rPr>
          <w:rFonts w:ascii="Times New Roman" w:eastAsia="仿宋" w:hAnsi="Times New Roman"/>
          <w:bCs/>
          <w:sz w:val="32"/>
          <w:szCs w:val="32"/>
        </w:rPr>
        <w:t>，得</w:t>
      </w:r>
      <w:r>
        <w:rPr>
          <w:rFonts w:ascii="Times New Roman" w:eastAsia="仿宋" w:hAnsi="Times New Roman"/>
          <w:bCs/>
          <w:sz w:val="32"/>
          <w:szCs w:val="32"/>
        </w:rPr>
        <w:t>12</w:t>
      </w:r>
      <w:r>
        <w:rPr>
          <w:rFonts w:ascii="Times New Roman" w:eastAsia="仿宋" w:hAnsi="Times New Roman"/>
          <w:bCs/>
          <w:sz w:val="32"/>
          <w:szCs w:val="32"/>
        </w:rPr>
        <w:t>分。</w:t>
      </w:r>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2.</w:t>
      </w:r>
      <w:r>
        <w:rPr>
          <w:rFonts w:ascii="Times New Roman" w:eastAsia="仿宋" w:hAnsi="Times New Roman"/>
          <w:b w:val="0"/>
          <w:bCs/>
          <w:szCs w:val="32"/>
        </w:rPr>
        <w:t>项目过程评价分析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1</w:t>
      </w:r>
      <w:r>
        <w:rPr>
          <w:rFonts w:ascii="Times New Roman" w:eastAsia="仿宋" w:hAnsi="Times New Roman"/>
          <w:bCs/>
          <w:sz w:val="32"/>
          <w:szCs w:val="32"/>
        </w:rPr>
        <w:t>）资金管理评价分析</w:t>
      </w:r>
    </w:p>
    <w:p w:rsidR="009766F6" w:rsidRDefault="00F92F2F">
      <w:pPr>
        <w:spacing w:line="560" w:lineRule="exact"/>
        <w:ind w:firstLineChars="300" w:firstLine="960"/>
        <w:rPr>
          <w:rFonts w:ascii="Times New Roman" w:eastAsia="仿宋" w:hAnsi="Times New Roman"/>
          <w:bCs/>
          <w:sz w:val="32"/>
          <w:szCs w:val="32"/>
        </w:rPr>
      </w:pPr>
      <w:r>
        <w:rPr>
          <w:rFonts w:ascii="Times New Roman" w:eastAsia="仿宋" w:hAnsi="Times New Roman"/>
          <w:bCs/>
          <w:sz w:val="32"/>
          <w:szCs w:val="32"/>
        </w:rPr>
        <w:t>①</w:t>
      </w:r>
      <w:r>
        <w:rPr>
          <w:rFonts w:ascii="Times New Roman" w:eastAsia="仿宋" w:hAnsi="Times New Roman"/>
          <w:bCs/>
          <w:sz w:val="32"/>
          <w:szCs w:val="32"/>
        </w:rPr>
        <w:t>资金预算到位率分析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2025</w:t>
      </w:r>
      <w:r>
        <w:rPr>
          <w:rFonts w:ascii="Times New Roman" w:eastAsia="仿宋" w:hAnsi="Times New Roman"/>
          <w:bCs/>
          <w:sz w:val="32"/>
          <w:szCs w:val="32"/>
        </w:rPr>
        <w:t>年市级现代蔬菜园艺高质量发展项目，</w:t>
      </w:r>
      <w:r>
        <w:rPr>
          <w:rFonts w:ascii="Times New Roman" w:eastAsia="仿宋" w:hAnsi="Times New Roman"/>
          <w:bCs/>
          <w:sz w:val="32"/>
          <w:szCs w:val="32"/>
        </w:rPr>
        <w:t>预算安排资金</w:t>
      </w:r>
      <w:r>
        <w:rPr>
          <w:rFonts w:ascii="Times New Roman" w:eastAsia="仿宋" w:hAnsi="Times New Roman"/>
          <w:bCs/>
          <w:sz w:val="32"/>
          <w:szCs w:val="32"/>
        </w:rPr>
        <w:t>共计</w:t>
      </w:r>
      <w:r>
        <w:rPr>
          <w:rFonts w:ascii="Times New Roman" w:eastAsia="仿宋" w:hAnsi="Times New Roman"/>
          <w:bCs/>
          <w:sz w:val="32"/>
          <w:szCs w:val="32"/>
        </w:rPr>
        <w:t>4,851.00</w:t>
      </w:r>
      <w:r>
        <w:rPr>
          <w:rFonts w:ascii="Times New Roman" w:eastAsia="仿宋" w:hAnsi="Times New Roman"/>
          <w:bCs/>
          <w:sz w:val="32"/>
          <w:szCs w:val="32"/>
        </w:rPr>
        <w:t>万元</w:t>
      </w:r>
      <w:r>
        <w:rPr>
          <w:rFonts w:ascii="Times New Roman" w:eastAsia="仿宋" w:hAnsi="Times New Roman"/>
          <w:bCs/>
          <w:sz w:val="32"/>
          <w:szCs w:val="32"/>
        </w:rPr>
        <w:t>，</w:t>
      </w:r>
      <w:r>
        <w:rPr>
          <w:rFonts w:ascii="Times New Roman" w:eastAsia="仿宋" w:hAnsi="Times New Roman"/>
          <w:bCs/>
          <w:sz w:val="32"/>
          <w:szCs w:val="32"/>
        </w:rPr>
        <w:t>已全部到位，</w:t>
      </w:r>
      <w:r>
        <w:rPr>
          <w:rFonts w:ascii="Times New Roman" w:eastAsia="仿宋" w:hAnsi="Times New Roman"/>
          <w:bCs/>
          <w:sz w:val="32"/>
          <w:szCs w:val="32"/>
        </w:rPr>
        <w:t>预算到位率</w:t>
      </w:r>
      <w:r>
        <w:rPr>
          <w:rFonts w:ascii="Times New Roman" w:eastAsia="仿宋" w:hAnsi="Times New Roman"/>
          <w:bCs/>
          <w:sz w:val="32"/>
          <w:szCs w:val="32"/>
        </w:rPr>
        <w:t>100.00</w:t>
      </w:r>
      <w:r>
        <w:rPr>
          <w:rFonts w:ascii="Times New Roman" w:eastAsia="仿宋" w:hAnsi="Times New Roman"/>
          <w:bCs/>
          <w:sz w:val="32"/>
          <w:szCs w:val="32"/>
        </w:rPr>
        <w:t>%</w:t>
      </w:r>
      <w:r>
        <w:rPr>
          <w:rFonts w:ascii="Times New Roman" w:eastAsia="仿宋" w:hAnsi="Times New Roman"/>
          <w:bCs/>
          <w:sz w:val="32"/>
          <w:szCs w:val="32"/>
        </w:rPr>
        <w:t>，此项权重</w:t>
      </w:r>
      <w:r>
        <w:rPr>
          <w:rFonts w:ascii="Times New Roman" w:eastAsia="仿宋" w:hAnsi="Times New Roman"/>
          <w:bCs/>
          <w:sz w:val="32"/>
          <w:szCs w:val="32"/>
        </w:rPr>
        <w:t>3</w:t>
      </w:r>
      <w:r>
        <w:rPr>
          <w:rFonts w:ascii="Times New Roman" w:eastAsia="仿宋" w:hAnsi="Times New Roman"/>
          <w:bCs/>
          <w:sz w:val="32"/>
          <w:szCs w:val="32"/>
        </w:rPr>
        <w:t>分，得</w:t>
      </w:r>
      <w:r>
        <w:rPr>
          <w:rFonts w:ascii="Times New Roman" w:eastAsia="仿宋" w:hAnsi="Times New Roman"/>
          <w:bCs/>
          <w:sz w:val="32"/>
          <w:szCs w:val="32"/>
        </w:rPr>
        <w:t>3</w:t>
      </w:r>
      <w:r>
        <w:rPr>
          <w:rFonts w:ascii="Times New Roman" w:eastAsia="仿宋" w:hAnsi="Times New Roman"/>
          <w:bCs/>
          <w:sz w:val="32"/>
          <w:szCs w:val="32"/>
        </w:rPr>
        <w:t>分。</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 xml:space="preserve">  ②</w:t>
      </w:r>
      <w:r>
        <w:rPr>
          <w:rFonts w:ascii="Times New Roman" w:eastAsia="仿宋" w:hAnsi="Times New Roman"/>
          <w:bCs/>
          <w:sz w:val="32"/>
          <w:szCs w:val="32"/>
        </w:rPr>
        <w:t>资金</w:t>
      </w:r>
      <w:r>
        <w:rPr>
          <w:rFonts w:ascii="Times New Roman" w:eastAsia="仿宋" w:hAnsi="Times New Roman"/>
          <w:bCs/>
          <w:sz w:val="32"/>
          <w:szCs w:val="32"/>
        </w:rPr>
        <w:t>合规</w:t>
      </w:r>
      <w:r>
        <w:rPr>
          <w:rFonts w:ascii="Times New Roman" w:eastAsia="仿宋" w:hAnsi="Times New Roman"/>
          <w:bCs/>
          <w:sz w:val="32"/>
          <w:szCs w:val="32"/>
        </w:rPr>
        <w:t>性分析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项目资金使用符合国家财经法规和财务管理制度以及有关专项资金管理办法的规定；资金的拨付有完整的审批程序和手续；符合项目预算批复或合同规定的用途；未发现截留、挤占、挪用、虚列支出等情况，此项权重</w:t>
      </w:r>
      <w:r>
        <w:rPr>
          <w:rFonts w:ascii="Times New Roman" w:eastAsia="仿宋" w:hAnsi="Times New Roman"/>
          <w:bCs/>
          <w:sz w:val="32"/>
          <w:szCs w:val="32"/>
        </w:rPr>
        <w:t>4</w:t>
      </w:r>
      <w:r>
        <w:rPr>
          <w:rFonts w:ascii="Times New Roman" w:eastAsia="仿宋" w:hAnsi="Times New Roman"/>
          <w:bCs/>
          <w:sz w:val="32"/>
          <w:szCs w:val="32"/>
        </w:rPr>
        <w:t>分，得</w:t>
      </w:r>
      <w:r>
        <w:rPr>
          <w:rFonts w:ascii="Times New Roman" w:eastAsia="仿宋" w:hAnsi="Times New Roman"/>
          <w:bCs/>
          <w:sz w:val="32"/>
          <w:szCs w:val="32"/>
        </w:rPr>
        <w:t>4</w:t>
      </w:r>
      <w:r>
        <w:rPr>
          <w:rFonts w:ascii="Times New Roman" w:eastAsia="仿宋" w:hAnsi="Times New Roman"/>
          <w:bCs/>
          <w:sz w:val="32"/>
          <w:szCs w:val="32"/>
        </w:rPr>
        <w:t>分。</w:t>
      </w:r>
    </w:p>
    <w:p w:rsidR="009766F6" w:rsidRDefault="00F92F2F">
      <w:pPr>
        <w:spacing w:line="560" w:lineRule="exact"/>
        <w:ind w:firstLineChars="300" w:firstLine="960"/>
        <w:rPr>
          <w:rFonts w:ascii="Times New Roman" w:eastAsia="仿宋" w:hAnsi="Times New Roman"/>
          <w:bCs/>
          <w:sz w:val="32"/>
          <w:szCs w:val="32"/>
        </w:rPr>
      </w:pPr>
      <w:r>
        <w:rPr>
          <w:rFonts w:ascii="Times New Roman" w:eastAsia="仿宋" w:hAnsi="Times New Roman"/>
          <w:bCs/>
          <w:sz w:val="32"/>
          <w:szCs w:val="32"/>
        </w:rPr>
        <w:t>③</w:t>
      </w:r>
      <w:r>
        <w:rPr>
          <w:rFonts w:ascii="Times New Roman" w:eastAsia="仿宋" w:hAnsi="Times New Roman"/>
          <w:bCs/>
          <w:sz w:val="32"/>
          <w:szCs w:val="32"/>
        </w:rPr>
        <w:t>资金执行率分析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2025</w:t>
      </w:r>
      <w:r>
        <w:rPr>
          <w:rFonts w:ascii="Times New Roman" w:eastAsia="仿宋" w:hAnsi="Times New Roman"/>
          <w:bCs/>
          <w:sz w:val="32"/>
          <w:szCs w:val="32"/>
        </w:rPr>
        <w:t>年市级现代蔬菜园艺高质量发展项目，</w:t>
      </w:r>
      <w:r>
        <w:rPr>
          <w:rFonts w:ascii="Times New Roman" w:eastAsia="仿宋" w:hAnsi="Times New Roman"/>
          <w:bCs/>
          <w:sz w:val="32"/>
          <w:szCs w:val="32"/>
        </w:rPr>
        <w:t>市本级及各区已安排资金共计</w:t>
      </w:r>
      <w:r>
        <w:rPr>
          <w:rFonts w:ascii="Times New Roman" w:eastAsia="仿宋" w:hAnsi="Times New Roman"/>
          <w:bCs/>
          <w:sz w:val="32"/>
          <w:szCs w:val="32"/>
        </w:rPr>
        <w:t>4,768.88</w:t>
      </w:r>
      <w:r>
        <w:rPr>
          <w:rFonts w:ascii="Times New Roman" w:eastAsia="仿宋" w:hAnsi="Times New Roman"/>
          <w:bCs/>
          <w:sz w:val="32"/>
          <w:szCs w:val="32"/>
        </w:rPr>
        <w:t>万元</w:t>
      </w:r>
      <w:r>
        <w:rPr>
          <w:rFonts w:ascii="Times New Roman" w:eastAsia="仿宋" w:hAnsi="Times New Roman"/>
          <w:bCs/>
          <w:sz w:val="32"/>
          <w:szCs w:val="32"/>
        </w:rPr>
        <w:t>，实际支出资金共计</w:t>
      </w:r>
      <w:r>
        <w:rPr>
          <w:rFonts w:ascii="Times New Roman" w:eastAsia="仿宋" w:hAnsi="Times New Roman"/>
          <w:bCs/>
          <w:sz w:val="32"/>
          <w:szCs w:val="32"/>
        </w:rPr>
        <w:t>1,673.09</w:t>
      </w:r>
      <w:r>
        <w:rPr>
          <w:rFonts w:ascii="Times New Roman" w:eastAsia="仿宋" w:hAnsi="Times New Roman"/>
          <w:bCs/>
          <w:sz w:val="32"/>
          <w:szCs w:val="32"/>
        </w:rPr>
        <w:t>万元，执行率</w:t>
      </w:r>
      <w:r>
        <w:rPr>
          <w:rFonts w:ascii="Times New Roman" w:eastAsia="仿宋" w:hAnsi="Times New Roman"/>
          <w:bCs/>
          <w:sz w:val="32"/>
          <w:szCs w:val="32"/>
        </w:rPr>
        <w:t>35.08</w:t>
      </w:r>
      <w:r>
        <w:rPr>
          <w:rFonts w:ascii="Times New Roman" w:eastAsia="仿宋" w:hAnsi="Times New Roman"/>
          <w:bCs/>
          <w:sz w:val="32"/>
          <w:szCs w:val="32"/>
        </w:rPr>
        <w:t>%</w:t>
      </w:r>
      <w:r>
        <w:rPr>
          <w:rFonts w:ascii="Times New Roman" w:eastAsia="仿宋" w:hAnsi="Times New Roman"/>
          <w:bCs/>
          <w:sz w:val="32"/>
          <w:szCs w:val="32"/>
        </w:rPr>
        <w:t>，此项权重</w:t>
      </w:r>
      <w:r>
        <w:rPr>
          <w:rFonts w:ascii="Times New Roman" w:eastAsia="仿宋" w:hAnsi="Times New Roman"/>
          <w:bCs/>
          <w:sz w:val="32"/>
          <w:szCs w:val="32"/>
        </w:rPr>
        <w:t>3</w:t>
      </w:r>
      <w:r>
        <w:rPr>
          <w:rFonts w:ascii="Times New Roman" w:eastAsia="仿宋" w:hAnsi="Times New Roman"/>
          <w:bCs/>
          <w:sz w:val="32"/>
          <w:szCs w:val="32"/>
        </w:rPr>
        <w:t>分，得</w:t>
      </w:r>
      <w:r>
        <w:rPr>
          <w:rFonts w:ascii="Times New Roman" w:eastAsia="仿宋" w:hAnsi="Times New Roman"/>
          <w:bCs/>
          <w:sz w:val="32"/>
          <w:szCs w:val="32"/>
        </w:rPr>
        <w:t>3×34.48%=1.0</w:t>
      </w:r>
      <w:r>
        <w:rPr>
          <w:rFonts w:ascii="Times New Roman" w:eastAsia="仿宋" w:hAnsi="Times New Roman"/>
          <w:bCs/>
          <w:sz w:val="32"/>
          <w:szCs w:val="32"/>
        </w:rPr>
        <w:t>5</w:t>
      </w:r>
      <w:r>
        <w:rPr>
          <w:rFonts w:ascii="Times New Roman" w:eastAsia="仿宋" w:hAnsi="Times New Roman"/>
          <w:bCs/>
          <w:sz w:val="32"/>
          <w:szCs w:val="32"/>
        </w:rPr>
        <w:t>分。</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2</w:t>
      </w:r>
      <w:r>
        <w:rPr>
          <w:rFonts w:ascii="Times New Roman" w:eastAsia="仿宋" w:hAnsi="Times New Roman"/>
          <w:bCs/>
          <w:sz w:val="32"/>
          <w:szCs w:val="32"/>
        </w:rPr>
        <w:t>）项目组织分析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针对市本级项目，蔬菜园艺处成立了项目管理工作小组，实行</w:t>
      </w:r>
      <w:r>
        <w:rPr>
          <w:rFonts w:ascii="Times New Roman" w:eastAsia="仿宋" w:hAnsi="Times New Roman"/>
          <w:bCs/>
          <w:sz w:val="32"/>
          <w:szCs w:val="32"/>
        </w:rPr>
        <w:t>“</w:t>
      </w:r>
      <w:r>
        <w:rPr>
          <w:rFonts w:ascii="Times New Roman" w:eastAsia="仿宋" w:hAnsi="Times New Roman"/>
          <w:bCs/>
          <w:sz w:val="32"/>
          <w:szCs w:val="32"/>
        </w:rPr>
        <w:t>前期服务指导、中期监督推进、末期备案抽查和绩效评价</w:t>
      </w:r>
      <w:r>
        <w:rPr>
          <w:rFonts w:ascii="Times New Roman" w:eastAsia="仿宋" w:hAnsi="Times New Roman"/>
          <w:bCs/>
          <w:sz w:val="32"/>
          <w:szCs w:val="32"/>
        </w:rPr>
        <w:t>”</w:t>
      </w:r>
      <w:r>
        <w:rPr>
          <w:rFonts w:ascii="Times New Roman" w:eastAsia="仿宋" w:hAnsi="Times New Roman"/>
          <w:bCs/>
          <w:sz w:val="32"/>
          <w:szCs w:val="32"/>
        </w:rPr>
        <w:t>的项目管理流程，项目管理细化到人，分工明确。为确保项目有序开展，市局出台了《关于印发南京市相关农业大专项补助资金管理办法的通知》《关于进一步推进南京市涉农资金</w:t>
      </w:r>
      <w:r>
        <w:rPr>
          <w:rFonts w:ascii="Times New Roman" w:eastAsia="仿宋" w:hAnsi="Times New Roman"/>
          <w:bCs/>
          <w:sz w:val="32"/>
          <w:szCs w:val="32"/>
        </w:rPr>
        <w:t>“</w:t>
      </w:r>
      <w:r>
        <w:rPr>
          <w:rFonts w:ascii="Times New Roman" w:eastAsia="仿宋" w:hAnsi="Times New Roman"/>
          <w:bCs/>
          <w:sz w:val="32"/>
          <w:szCs w:val="32"/>
        </w:rPr>
        <w:t>大专项</w:t>
      </w:r>
      <w:r>
        <w:rPr>
          <w:rFonts w:ascii="Times New Roman" w:eastAsia="仿宋" w:hAnsi="Times New Roman"/>
          <w:bCs/>
          <w:sz w:val="32"/>
          <w:szCs w:val="32"/>
        </w:rPr>
        <w:t>+</w:t>
      </w:r>
      <w:r>
        <w:rPr>
          <w:rFonts w:ascii="Times New Roman" w:eastAsia="仿宋" w:hAnsi="Times New Roman"/>
          <w:bCs/>
          <w:sz w:val="32"/>
          <w:szCs w:val="32"/>
        </w:rPr>
        <w:t>任务</w:t>
      </w:r>
      <w:r>
        <w:rPr>
          <w:rFonts w:ascii="Times New Roman" w:eastAsia="仿宋" w:hAnsi="Times New Roman"/>
          <w:bCs/>
          <w:sz w:val="32"/>
          <w:szCs w:val="32"/>
        </w:rPr>
        <w:lastRenderedPageBreak/>
        <w:t>清单</w:t>
      </w:r>
      <w:r>
        <w:rPr>
          <w:rFonts w:ascii="Times New Roman" w:eastAsia="仿宋" w:hAnsi="Times New Roman"/>
          <w:bCs/>
          <w:sz w:val="32"/>
          <w:szCs w:val="32"/>
        </w:rPr>
        <w:t>”</w:t>
      </w:r>
      <w:r>
        <w:rPr>
          <w:rFonts w:ascii="Times New Roman" w:eastAsia="仿宋" w:hAnsi="Times New Roman"/>
          <w:bCs/>
          <w:sz w:val="32"/>
          <w:szCs w:val="32"/>
        </w:rPr>
        <w:t>管理模式的实施意见》等政策文件，管理制度完善。</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针对</w:t>
      </w:r>
      <w:r>
        <w:rPr>
          <w:rFonts w:ascii="Times New Roman" w:eastAsia="仿宋" w:hAnsi="Times New Roman"/>
          <w:bCs/>
          <w:sz w:val="32"/>
          <w:szCs w:val="32"/>
        </w:rPr>
        <w:t>区级项目，区级农业管理部门结合本区实际，制定了项目申报指南，有明确的支持重点、实施条件、补助对象、补助标准、支持方式、实施要求和监管措施。采取入库、竞争立项的方式筛选项目实施单位，将市定工作任务分解落实到具体项目。立项审批后组织项目实施单位编制项目实施方案，并对实施方案进行专家论证，确保实施方案的编制科学、合理。同时也制定了一系列的管理制度，确保项目顺利实施。截至</w:t>
      </w:r>
      <w:r>
        <w:rPr>
          <w:rFonts w:ascii="Times New Roman" w:eastAsia="仿宋" w:hAnsi="Times New Roman"/>
          <w:bCs/>
          <w:sz w:val="32"/>
          <w:szCs w:val="32"/>
        </w:rPr>
        <w:t>2026</w:t>
      </w:r>
      <w:r>
        <w:rPr>
          <w:rFonts w:ascii="Times New Roman" w:eastAsia="仿宋" w:hAnsi="Times New Roman"/>
          <w:bCs/>
          <w:sz w:val="32"/>
          <w:szCs w:val="32"/>
        </w:rPr>
        <w:t>年</w:t>
      </w:r>
      <w:r>
        <w:rPr>
          <w:rFonts w:ascii="Times New Roman" w:eastAsia="仿宋" w:hAnsi="Times New Roman"/>
          <w:bCs/>
          <w:sz w:val="32"/>
          <w:szCs w:val="32"/>
        </w:rPr>
        <w:t>6</w:t>
      </w:r>
      <w:r>
        <w:rPr>
          <w:rFonts w:ascii="Times New Roman" w:eastAsia="仿宋" w:hAnsi="Times New Roman"/>
          <w:bCs/>
          <w:sz w:val="32"/>
          <w:szCs w:val="32"/>
        </w:rPr>
        <w:t>月区级项目未全部完成验收，材料未能及时归档。</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综上所述</w:t>
      </w:r>
      <w:r>
        <w:rPr>
          <w:rFonts w:ascii="Times New Roman" w:eastAsia="仿宋" w:hAnsi="Times New Roman"/>
          <w:bCs/>
          <w:sz w:val="32"/>
          <w:szCs w:val="32"/>
        </w:rPr>
        <w:t>此项权重</w:t>
      </w:r>
      <w:r>
        <w:rPr>
          <w:rFonts w:ascii="Times New Roman" w:eastAsia="仿宋" w:hAnsi="Times New Roman"/>
          <w:bCs/>
          <w:sz w:val="32"/>
          <w:szCs w:val="32"/>
        </w:rPr>
        <w:t>8</w:t>
      </w:r>
      <w:r>
        <w:rPr>
          <w:rFonts w:ascii="Times New Roman" w:eastAsia="仿宋" w:hAnsi="Times New Roman"/>
          <w:bCs/>
          <w:sz w:val="32"/>
          <w:szCs w:val="32"/>
        </w:rPr>
        <w:t>分，得</w:t>
      </w:r>
      <w:r>
        <w:rPr>
          <w:rFonts w:ascii="Times New Roman" w:eastAsia="仿宋" w:hAnsi="Times New Roman"/>
          <w:bCs/>
          <w:sz w:val="32"/>
          <w:szCs w:val="32"/>
        </w:rPr>
        <w:t>6.5</w:t>
      </w:r>
      <w:r>
        <w:rPr>
          <w:rFonts w:ascii="Times New Roman" w:eastAsia="仿宋" w:hAnsi="Times New Roman"/>
          <w:bCs/>
          <w:sz w:val="32"/>
          <w:szCs w:val="32"/>
        </w:rPr>
        <w:t>分。</w:t>
      </w:r>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3.</w:t>
      </w:r>
      <w:r>
        <w:rPr>
          <w:rFonts w:ascii="Times New Roman" w:eastAsia="仿宋" w:hAnsi="Times New Roman"/>
          <w:b w:val="0"/>
          <w:bCs/>
          <w:szCs w:val="32"/>
        </w:rPr>
        <w:t>项目产出评价分析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1</w:t>
      </w:r>
      <w:r>
        <w:rPr>
          <w:rFonts w:ascii="Times New Roman" w:eastAsia="仿宋" w:hAnsi="Times New Roman"/>
          <w:bCs/>
          <w:sz w:val="32"/>
          <w:szCs w:val="32"/>
        </w:rPr>
        <w:t>）产出数量分析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2025</w:t>
      </w:r>
      <w:r>
        <w:rPr>
          <w:rFonts w:ascii="Times New Roman" w:eastAsia="仿宋" w:hAnsi="Times New Roman"/>
          <w:bCs/>
          <w:sz w:val="32"/>
          <w:szCs w:val="32"/>
        </w:rPr>
        <w:t>年度，共新建标准化菜地</w:t>
      </w:r>
      <w:r>
        <w:rPr>
          <w:rFonts w:ascii="Times New Roman" w:eastAsia="仿宋" w:hAnsi="Times New Roman"/>
          <w:bCs/>
          <w:sz w:val="32"/>
          <w:szCs w:val="32"/>
        </w:rPr>
        <w:t>2</w:t>
      </w:r>
      <w:r>
        <w:rPr>
          <w:rFonts w:ascii="Times New Roman" w:eastAsia="仿宋" w:hAnsi="Times New Roman"/>
          <w:bCs/>
          <w:sz w:val="32"/>
          <w:szCs w:val="32"/>
        </w:rPr>
        <w:t>个，新建设施蔬菜园艺项目</w:t>
      </w:r>
      <w:r>
        <w:rPr>
          <w:rFonts w:ascii="Times New Roman" w:eastAsia="仿宋" w:hAnsi="Times New Roman"/>
          <w:bCs/>
          <w:sz w:val="32"/>
          <w:szCs w:val="32"/>
        </w:rPr>
        <w:t>65</w:t>
      </w:r>
      <w:r>
        <w:rPr>
          <w:rFonts w:ascii="Times New Roman" w:eastAsia="仿宋" w:hAnsi="Times New Roman"/>
          <w:bCs/>
          <w:sz w:val="32"/>
          <w:szCs w:val="32"/>
        </w:rPr>
        <w:t>个，绿色防控试验示范与推广项目</w:t>
      </w:r>
      <w:r>
        <w:rPr>
          <w:rFonts w:ascii="Times New Roman" w:eastAsia="仿宋" w:hAnsi="Times New Roman"/>
          <w:bCs/>
          <w:sz w:val="32"/>
          <w:szCs w:val="32"/>
        </w:rPr>
        <w:t>19</w:t>
      </w:r>
      <w:r>
        <w:rPr>
          <w:rFonts w:ascii="Times New Roman" w:eastAsia="仿宋" w:hAnsi="Times New Roman"/>
          <w:bCs/>
          <w:sz w:val="32"/>
          <w:szCs w:val="32"/>
        </w:rPr>
        <w:t>个，绿色防控实施面积</w:t>
      </w:r>
      <w:r>
        <w:rPr>
          <w:rFonts w:ascii="Times New Roman" w:eastAsia="仿宋" w:hAnsi="Times New Roman"/>
          <w:bCs/>
          <w:sz w:val="32"/>
          <w:szCs w:val="32"/>
        </w:rPr>
        <w:t>3857.16</w:t>
      </w:r>
      <w:r>
        <w:rPr>
          <w:rFonts w:ascii="Times New Roman" w:eastAsia="仿宋" w:hAnsi="Times New Roman"/>
          <w:bCs/>
          <w:sz w:val="32"/>
          <w:szCs w:val="32"/>
        </w:rPr>
        <w:t>亩，新建设施蔬菜园艺项目</w:t>
      </w:r>
      <w:r>
        <w:rPr>
          <w:rFonts w:ascii="Times New Roman" w:eastAsia="仿宋" w:hAnsi="Times New Roman"/>
          <w:bCs/>
          <w:sz w:val="32"/>
          <w:szCs w:val="32"/>
        </w:rPr>
        <w:t>4335</w:t>
      </w:r>
      <w:r>
        <w:rPr>
          <w:rFonts w:ascii="Times New Roman" w:eastAsia="仿宋" w:hAnsi="Times New Roman"/>
          <w:bCs/>
          <w:sz w:val="32"/>
          <w:szCs w:val="32"/>
        </w:rPr>
        <w:t>亩，均完成了年度指标值。此项权重</w:t>
      </w:r>
      <w:r>
        <w:rPr>
          <w:rFonts w:ascii="Times New Roman" w:eastAsia="仿宋" w:hAnsi="Times New Roman"/>
          <w:bCs/>
          <w:sz w:val="32"/>
          <w:szCs w:val="32"/>
        </w:rPr>
        <w:t>17</w:t>
      </w:r>
      <w:r>
        <w:rPr>
          <w:rFonts w:ascii="Times New Roman" w:eastAsia="仿宋" w:hAnsi="Times New Roman"/>
          <w:bCs/>
          <w:sz w:val="32"/>
          <w:szCs w:val="32"/>
        </w:rPr>
        <w:t>分，得</w:t>
      </w:r>
      <w:r>
        <w:rPr>
          <w:rFonts w:ascii="Times New Roman" w:eastAsia="仿宋" w:hAnsi="Times New Roman"/>
          <w:bCs/>
          <w:sz w:val="32"/>
          <w:szCs w:val="32"/>
        </w:rPr>
        <w:t>17</w:t>
      </w:r>
      <w:r>
        <w:rPr>
          <w:rFonts w:ascii="Times New Roman" w:eastAsia="仿宋" w:hAnsi="Times New Roman"/>
          <w:bCs/>
          <w:sz w:val="32"/>
          <w:szCs w:val="32"/>
        </w:rPr>
        <w:t>分。</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2</w:t>
      </w:r>
      <w:r>
        <w:rPr>
          <w:rFonts w:ascii="Times New Roman" w:eastAsia="仿宋" w:hAnsi="Times New Roman"/>
          <w:bCs/>
          <w:sz w:val="32"/>
          <w:szCs w:val="32"/>
        </w:rPr>
        <w:t>）质量指标分析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从全市选择</w:t>
      </w:r>
      <w:r>
        <w:rPr>
          <w:rFonts w:ascii="Times New Roman" w:eastAsia="仿宋" w:hAnsi="Times New Roman"/>
          <w:bCs/>
          <w:sz w:val="32"/>
          <w:szCs w:val="32"/>
        </w:rPr>
        <w:t>49</w:t>
      </w:r>
      <w:r>
        <w:rPr>
          <w:rFonts w:ascii="Times New Roman" w:eastAsia="仿宋" w:hAnsi="Times New Roman"/>
          <w:bCs/>
          <w:sz w:val="32"/>
          <w:szCs w:val="32"/>
        </w:rPr>
        <w:t>个项目（</w:t>
      </w:r>
      <w:r>
        <w:rPr>
          <w:rFonts w:ascii="Times New Roman" w:eastAsia="仿宋" w:hAnsi="Times New Roman"/>
          <w:bCs/>
          <w:sz w:val="32"/>
          <w:szCs w:val="32"/>
        </w:rPr>
        <w:t>≥50%</w:t>
      </w:r>
      <w:r>
        <w:rPr>
          <w:rFonts w:ascii="Times New Roman" w:eastAsia="仿宋" w:hAnsi="Times New Roman"/>
          <w:bCs/>
          <w:sz w:val="32"/>
          <w:szCs w:val="32"/>
        </w:rPr>
        <w:t>）开展现场核查，走访实施项目的农业经营主体，通过</w:t>
      </w:r>
      <w:r>
        <w:rPr>
          <w:rFonts w:ascii="Times New Roman" w:eastAsia="仿宋" w:hAnsi="Times New Roman"/>
          <w:bCs/>
          <w:sz w:val="32"/>
          <w:szCs w:val="32"/>
        </w:rPr>
        <w:t>调查</w:t>
      </w:r>
      <w:r>
        <w:rPr>
          <w:rFonts w:ascii="Times New Roman" w:eastAsia="仿宋" w:hAnsi="Times New Roman"/>
          <w:bCs/>
          <w:sz w:val="32"/>
          <w:szCs w:val="32"/>
        </w:rPr>
        <w:t>问卷和问询的方式了解项目实施情况，项目建成后都由项目实施主体落实经营发展且全部具备长期运营能力。</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标准化菜地项目建成后实现标准化菜地</w:t>
      </w:r>
      <w:r>
        <w:rPr>
          <w:rFonts w:ascii="Times New Roman" w:eastAsia="仿宋" w:hAnsi="Times New Roman"/>
          <w:bCs/>
          <w:sz w:val="32"/>
          <w:szCs w:val="32"/>
        </w:rPr>
        <w:t>“</w:t>
      </w:r>
      <w:r>
        <w:rPr>
          <w:rFonts w:ascii="Times New Roman" w:eastAsia="仿宋" w:hAnsi="Times New Roman"/>
          <w:bCs/>
          <w:sz w:val="32"/>
          <w:szCs w:val="32"/>
        </w:rPr>
        <w:t>渠相通、路相连、旱能灌、涝能排、渍能降、机能进、土肥沃、高产出</w:t>
      </w:r>
      <w:r>
        <w:rPr>
          <w:rFonts w:ascii="Times New Roman" w:eastAsia="仿宋" w:hAnsi="Times New Roman"/>
          <w:bCs/>
          <w:sz w:val="32"/>
          <w:szCs w:val="32"/>
        </w:rPr>
        <w:t>”</w:t>
      </w:r>
      <w:r>
        <w:rPr>
          <w:rFonts w:ascii="Times New Roman" w:eastAsia="仿宋" w:hAnsi="Times New Roman"/>
          <w:bCs/>
          <w:sz w:val="32"/>
          <w:szCs w:val="32"/>
        </w:rPr>
        <w:t>的新面貌，生产条件明显得到改善。</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lastRenderedPageBreak/>
        <w:t>绿色防控项目，设定的目标值</w:t>
      </w:r>
      <w:r>
        <w:rPr>
          <w:rFonts w:ascii="Times New Roman" w:eastAsia="仿宋" w:hAnsi="Times New Roman"/>
          <w:bCs/>
          <w:sz w:val="32"/>
          <w:szCs w:val="32"/>
        </w:rPr>
        <w:t>95%</w:t>
      </w:r>
      <w:r>
        <w:rPr>
          <w:rFonts w:ascii="Times New Roman" w:eastAsia="仿宋" w:hAnsi="Times New Roman"/>
          <w:bCs/>
          <w:sz w:val="32"/>
          <w:szCs w:val="32"/>
        </w:rPr>
        <w:t>，已达到主要病虫害绿色防控综合防治效果</w:t>
      </w:r>
      <w:r>
        <w:rPr>
          <w:rFonts w:ascii="Times New Roman" w:eastAsia="仿宋" w:hAnsi="Times New Roman"/>
          <w:bCs/>
          <w:sz w:val="32"/>
          <w:szCs w:val="32"/>
        </w:rPr>
        <w:t>95%</w:t>
      </w:r>
      <w:r>
        <w:rPr>
          <w:rFonts w:ascii="Times New Roman" w:eastAsia="仿宋" w:hAnsi="Times New Roman"/>
          <w:bCs/>
          <w:sz w:val="32"/>
          <w:szCs w:val="32"/>
        </w:rPr>
        <w:t>的目标。</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综上所述此项权重</w:t>
      </w:r>
      <w:r>
        <w:rPr>
          <w:rFonts w:ascii="Times New Roman" w:eastAsia="仿宋" w:hAnsi="Times New Roman"/>
          <w:bCs/>
          <w:sz w:val="32"/>
          <w:szCs w:val="32"/>
        </w:rPr>
        <w:t>9</w:t>
      </w:r>
      <w:r>
        <w:rPr>
          <w:rFonts w:ascii="Times New Roman" w:eastAsia="仿宋" w:hAnsi="Times New Roman"/>
          <w:bCs/>
          <w:sz w:val="32"/>
          <w:szCs w:val="32"/>
        </w:rPr>
        <w:t>分，得</w:t>
      </w:r>
      <w:r>
        <w:rPr>
          <w:rFonts w:ascii="Times New Roman" w:eastAsia="仿宋" w:hAnsi="Times New Roman"/>
          <w:bCs/>
          <w:sz w:val="32"/>
          <w:szCs w:val="32"/>
        </w:rPr>
        <w:t>9</w:t>
      </w:r>
      <w:r>
        <w:rPr>
          <w:rFonts w:ascii="Times New Roman" w:eastAsia="仿宋" w:hAnsi="Times New Roman"/>
          <w:bCs/>
          <w:sz w:val="32"/>
          <w:szCs w:val="32"/>
        </w:rPr>
        <w:t>分。</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w:t>
      </w:r>
      <w:r>
        <w:rPr>
          <w:rFonts w:ascii="Times New Roman" w:eastAsia="仿宋" w:hAnsi="Times New Roman"/>
          <w:bCs/>
          <w:sz w:val="32"/>
          <w:szCs w:val="32"/>
        </w:rPr>
        <w:t>3</w:t>
      </w:r>
      <w:r>
        <w:rPr>
          <w:rFonts w:ascii="Times New Roman" w:eastAsia="仿宋" w:hAnsi="Times New Roman"/>
          <w:bCs/>
          <w:sz w:val="32"/>
          <w:szCs w:val="32"/>
        </w:rPr>
        <w:t>）产出时效分析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项目按时完成率：实施项目数量</w:t>
      </w:r>
      <w:r>
        <w:rPr>
          <w:rFonts w:ascii="Times New Roman" w:eastAsia="仿宋" w:hAnsi="Times New Roman"/>
          <w:bCs/>
          <w:sz w:val="32"/>
          <w:szCs w:val="32"/>
        </w:rPr>
        <w:t>98</w:t>
      </w:r>
      <w:r>
        <w:rPr>
          <w:rFonts w:ascii="Times New Roman" w:eastAsia="仿宋" w:hAnsi="Times New Roman"/>
          <w:bCs/>
          <w:sz w:val="32"/>
          <w:szCs w:val="32"/>
        </w:rPr>
        <w:t>个，尚未完成</w:t>
      </w:r>
      <w:r>
        <w:rPr>
          <w:rFonts w:ascii="Times New Roman" w:eastAsia="仿宋" w:hAnsi="Times New Roman"/>
          <w:bCs/>
          <w:sz w:val="32"/>
          <w:szCs w:val="32"/>
        </w:rPr>
        <w:t>13</w:t>
      </w:r>
      <w:r>
        <w:rPr>
          <w:rFonts w:ascii="Times New Roman" w:eastAsia="仿宋" w:hAnsi="Times New Roman"/>
          <w:bCs/>
          <w:sz w:val="32"/>
          <w:szCs w:val="32"/>
        </w:rPr>
        <w:t>个、取消</w:t>
      </w:r>
      <w:r>
        <w:rPr>
          <w:rFonts w:ascii="Times New Roman" w:eastAsia="仿宋" w:hAnsi="Times New Roman"/>
          <w:bCs/>
          <w:sz w:val="32"/>
          <w:szCs w:val="32"/>
        </w:rPr>
        <w:t>3</w:t>
      </w:r>
      <w:r>
        <w:rPr>
          <w:rFonts w:ascii="Times New Roman" w:eastAsia="仿宋" w:hAnsi="Times New Roman"/>
          <w:bCs/>
          <w:sz w:val="32"/>
          <w:szCs w:val="32"/>
        </w:rPr>
        <w:t>个，完成数量</w:t>
      </w:r>
      <w:r>
        <w:rPr>
          <w:rFonts w:ascii="Times New Roman" w:eastAsia="仿宋" w:hAnsi="Times New Roman"/>
          <w:bCs/>
          <w:sz w:val="32"/>
          <w:szCs w:val="32"/>
        </w:rPr>
        <w:t>82</w:t>
      </w:r>
      <w:r>
        <w:rPr>
          <w:rFonts w:ascii="Times New Roman" w:eastAsia="仿宋" w:hAnsi="Times New Roman"/>
          <w:bCs/>
          <w:sz w:val="32"/>
          <w:szCs w:val="32"/>
        </w:rPr>
        <w:t>个，完成及时率</w:t>
      </w:r>
      <w:r>
        <w:rPr>
          <w:rFonts w:ascii="Times New Roman" w:eastAsia="仿宋" w:hAnsi="Times New Roman"/>
          <w:bCs/>
          <w:sz w:val="32"/>
          <w:szCs w:val="32"/>
        </w:rPr>
        <w:t>83.67</w:t>
      </w:r>
      <w:r>
        <w:rPr>
          <w:rFonts w:ascii="Times New Roman" w:eastAsia="仿宋" w:hAnsi="Times New Roman"/>
          <w:bCs/>
          <w:sz w:val="32"/>
          <w:szCs w:val="32"/>
        </w:rPr>
        <w:t>%</w:t>
      </w:r>
      <w:r>
        <w:rPr>
          <w:rFonts w:ascii="Times New Roman" w:eastAsia="仿宋" w:hAnsi="Times New Roman"/>
          <w:bCs/>
          <w:sz w:val="32"/>
          <w:szCs w:val="32"/>
        </w:rPr>
        <w:t>。此项权重</w:t>
      </w:r>
      <w:r>
        <w:rPr>
          <w:rFonts w:ascii="Times New Roman" w:eastAsia="仿宋" w:hAnsi="Times New Roman"/>
          <w:bCs/>
          <w:sz w:val="32"/>
          <w:szCs w:val="32"/>
        </w:rPr>
        <w:t>5</w:t>
      </w:r>
      <w:r>
        <w:rPr>
          <w:rFonts w:ascii="Times New Roman" w:eastAsia="仿宋" w:hAnsi="Times New Roman"/>
          <w:bCs/>
          <w:sz w:val="32"/>
          <w:szCs w:val="32"/>
        </w:rPr>
        <w:t>分，得</w:t>
      </w:r>
      <w:r>
        <w:rPr>
          <w:rFonts w:ascii="Times New Roman" w:eastAsia="仿宋" w:hAnsi="Times New Roman"/>
          <w:bCs/>
          <w:sz w:val="32"/>
          <w:szCs w:val="32"/>
        </w:rPr>
        <w:t>5*</w:t>
      </w:r>
      <w:r>
        <w:rPr>
          <w:rFonts w:ascii="Times New Roman" w:eastAsia="仿宋" w:hAnsi="Times New Roman"/>
          <w:bCs/>
          <w:sz w:val="32"/>
          <w:szCs w:val="32"/>
        </w:rPr>
        <w:t>83.67</w:t>
      </w:r>
      <w:r>
        <w:rPr>
          <w:rFonts w:ascii="Times New Roman" w:eastAsia="仿宋" w:hAnsi="Times New Roman"/>
          <w:bCs/>
          <w:sz w:val="32"/>
          <w:szCs w:val="32"/>
        </w:rPr>
        <w:t>%=4.</w:t>
      </w:r>
      <w:r>
        <w:rPr>
          <w:rFonts w:ascii="Times New Roman" w:eastAsia="仿宋" w:hAnsi="Times New Roman"/>
          <w:bCs/>
          <w:sz w:val="32"/>
          <w:szCs w:val="32"/>
        </w:rPr>
        <w:t>18</w:t>
      </w:r>
      <w:r>
        <w:rPr>
          <w:rFonts w:ascii="Times New Roman" w:eastAsia="仿宋" w:hAnsi="Times New Roman"/>
          <w:bCs/>
          <w:sz w:val="32"/>
          <w:szCs w:val="32"/>
        </w:rPr>
        <w:t>分。</w:t>
      </w:r>
    </w:p>
    <w:p w:rsidR="009766F6" w:rsidRDefault="00F92F2F" w:rsidP="005B11D5">
      <w:pPr>
        <w:spacing w:line="560" w:lineRule="exact"/>
        <w:ind w:firstLineChars="228" w:firstLine="730"/>
        <w:rPr>
          <w:rFonts w:ascii="Times New Roman" w:eastAsia="仿宋" w:hAnsi="Times New Roman"/>
          <w:bCs/>
          <w:sz w:val="32"/>
          <w:szCs w:val="32"/>
        </w:rPr>
      </w:pPr>
      <w:r>
        <w:rPr>
          <w:rFonts w:ascii="Times New Roman" w:eastAsia="仿宋" w:hAnsi="Times New Roman"/>
          <w:bCs/>
          <w:sz w:val="32"/>
          <w:szCs w:val="32"/>
        </w:rPr>
        <w:t>项目验收及时率：完成区级或市</w:t>
      </w:r>
      <w:r>
        <w:rPr>
          <w:rFonts w:ascii="Times New Roman" w:eastAsia="仿宋" w:hAnsi="Times New Roman"/>
          <w:bCs/>
          <w:sz w:val="32"/>
          <w:szCs w:val="32"/>
        </w:rPr>
        <w:t>本</w:t>
      </w:r>
      <w:r>
        <w:rPr>
          <w:rFonts w:ascii="Times New Roman" w:eastAsia="仿宋" w:hAnsi="Times New Roman"/>
          <w:bCs/>
          <w:sz w:val="32"/>
          <w:szCs w:val="32"/>
        </w:rPr>
        <w:t>级验收项目</w:t>
      </w:r>
      <w:r>
        <w:rPr>
          <w:rFonts w:ascii="Times New Roman" w:eastAsia="仿宋" w:hAnsi="Times New Roman"/>
          <w:bCs/>
          <w:sz w:val="32"/>
          <w:szCs w:val="32"/>
        </w:rPr>
        <w:t>19</w:t>
      </w:r>
      <w:r>
        <w:rPr>
          <w:rFonts w:ascii="Times New Roman" w:eastAsia="仿宋" w:hAnsi="Times New Roman"/>
          <w:bCs/>
          <w:sz w:val="32"/>
          <w:szCs w:val="32"/>
        </w:rPr>
        <w:t>个，完成项目数量</w:t>
      </w:r>
      <w:r>
        <w:rPr>
          <w:rFonts w:ascii="Times New Roman" w:eastAsia="仿宋" w:hAnsi="Times New Roman"/>
          <w:bCs/>
          <w:sz w:val="32"/>
          <w:szCs w:val="32"/>
        </w:rPr>
        <w:t>82</w:t>
      </w:r>
      <w:r>
        <w:rPr>
          <w:rFonts w:ascii="Times New Roman" w:eastAsia="仿宋" w:hAnsi="Times New Roman"/>
          <w:bCs/>
          <w:sz w:val="32"/>
          <w:szCs w:val="32"/>
        </w:rPr>
        <w:t>个，验收及时率</w:t>
      </w:r>
      <w:r>
        <w:rPr>
          <w:rFonts w:ascii="Times New Roman" w:eastAsia="仿宋" w:hAnsi="Times New Roman"/>
          <w:bCs/>
          <w:sz w:val="32"/>
          <w:szCs w:val="32"/>
        </w:rPr>
        <w:t>23.17%</w:t>
      </w:r>
      <w:r>
        <w:rPr>
          <w:rFonts w:ascii="Times New Roman" w:eastAsia="仿宋" w:hAnsi="Times New Roman"/>
          <w:bCs/>
          <w:sz w:val="32"/>
          <w:szCs w:val="32"/>
        </w:rPr>
        <w:t>。此项权重</w:t>
      </w:r>
      <w:r>
        <w:rPr>
          <w:rFonts w:ascii="Times New Roman" w:eastAsia="仿宋" w:hAnsi="Times New Roman"/>
          <w:bCs/>
          <w:sz w:val="32"/>
          <w:szCs w:val="32"/>
        </w:rPr>
        <w:t>5</w:t>
      </w:r>
      <w:r>
        <w:rPr>
          <w:rFonts w:ascii="Times New Roman" w:eastAsia="仿宋" w:hAnsi="Times New Roman"/>
          <w:bCs/>
          <w:sz w:val="32"/>
          <w:szCs w:val="32"/>
        </w:rPr>
        <w:t>分，</w:t>
      </w:r>
      <w:r>
        <w:rPr>
          <w:rFonts w:ascii="Times New Roman" w:eastAsia="仿宋" w:hAnsi="Times New Roman"/>
          <w:bCs/>
          <w:sz w:val="32"/>
          <w:szCs w:val="32"/>
        </w:rPr>
        <w:t>按照评分标准</w:t>
      </w:r>
      <w:r>
        <w:rPr>
          <w:rFonts w:ascii="Times New Roman" w:eastAsia="仿宋" w:hAnsi="Times New Roman"/>
          <w:bCs/>
          <w:sz w:val="32"/>
          <w:szCs w:val="32"/>
        </w:rPr>
        <w:t>得</w:t>
      </w:r>
      <w:r>
        <w:rPr>
          <w:rFonts w:ascii="Times New Roman" w:eastAsia="仿宋" w:hAnsi="Times New Roman"/>
          <w:bCs/>
          <w:sz w:val="32"/>
          <w:szCs w:val="32"/>
        </w:rPr>
        <w:t>2.5</w:t>
      </w:r>
      <w:r>
        <w:rPr>
          <w:rFonts w:ascii="Times New Roman" w:eastAsia="仿宋" w:hAnsi="Times New Roman"/>
          <w:bCs/>
          <w:sz w:val="32"/>
          <w:szCs w:val="32"/>
        </w:rPr>
        <w:t>分</w:t>
      </w:r>
      <w:r>
        <w:rPr>
          <w:rFonts w:ascii="Times New Roman" w:eastAsia="仿宋" w:hAnsi="Times New Roman"/>
          <w:bCs/>
          <w:sz w:val="32"/>
          <w:szCs w:val="32"/>
        </w:rPr>
        <w:t>分。</w:t>
      </w:r>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4.</w:t>
      </w:r>
      <w:r>
        <w:rPr>
          <w:rFonts w:ascii="Times New Roman" w:eastAsia="仿宋" w:hAnsi="Times New Roman"/>
          <w:b w:val="0"/>
          <w:bCs/>
          <w:szCs w:val="32"/>
        </w:rPr>
        <w:t>项目效益指标分析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经济效益方面。项目建成后，项目支持</w:t>
      </w:r>
      <w:r>
        <w:rPr>
          <w:rFonts w:ascii="Times New Roman" w:eastAsia="仿宋" w:hAnsi="Times New Roman"/>
          <w:bCs/>
          <w:sz w:val="32"/>
          <w:szCs w:val="32"/>
        </w:rPr>
        <w:t>实施绿色防控技术新模式，实现节本增效；支持示范引进新品种，开拓新兴市场渠道，提高了产出附加值。现场询问已经完工且投入生产的申报主体，项目建成后蔬菜</w:t>
      </w:r>
      <w:r>
        <w:rPr>
          <w:rFonts w:ascii="Times New Roman" w:eastAsia="仿宋" w:hAnsi="Times New Roman"/>
          <w:bCs/>
          <w:sz w:val="32"/>
          <w:szCs w:val="32"/>
        </w:rPr>
        <w:t>、</w:t>
      </w:r>
      <w:r>
        <w:rPr>
          <w:rFonts w:ascii="Times New Roman" w:eastAsia="仿宋" w:hAnsi="Times New Roman"/>
          <w:bCs/>
          <w:sz w:val="32"/>
          <w:szCs w:val="32"/>
        </w:rPr>
        <w:t>瓜果产量显著提升，水肥人工等生产成本明显降低，亩效益较之前相比提高</w:t>
      </w:r>
      <w:r>
        <w:rPr>
          <w:rFonts w:ascii="Times New Roman" w:eastAsia="仿宋" w:hAnsi="Times New Roman"/>
          <w:bCs/>
          <w:sz w:val="32"/>
          <w:szCs w:val="32"/>
        </w:rPr>
        <w:t>5%</w:t>
      </w:r>
      <w:r>
        <w:rPr>
          <w:rFonts w:ascii="Times New Roman" w:eastAsia="仿宋" w:hAnsi="Times New Roman"/>
          <w:bCs/>
          <w:sz w:val="32"/>
          <w:szCs w:val="32"/>
        </w:rPr>
        <w:t>。</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社会效益方面。项目建成后，蔬菜园艺基地完善设施条件，提高抵抗不利自然气候影响，增加高品质蔬菜园艺产品供给，保供能力得到提升。</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生态效益方面。项目建成后，通过标准化生产大大减少了病害防治的用药量，保障了蔬菜</w:t>
      </w:r>
      <w:r>
        <w:rPr>
          <w:rFonts w:ascii="Times New Roman" w:eastAsia="仿宋" w:hAnsi="Times New Roman"/>
          <w:bCs/>
          <w:sz w:val="32"/>
          <w:szCs w:val="32"/>
        </w:rPr>
        <w:t>园艺的</w:t>
      </w:r>
      <w:r>
        <w:rPr>
          <w:rFonts w:ascii="Times New Roman" w:eastAsia="仿宋" w:hAnsi="Times New Roman"/>
          <w:bCs/>
          <w:sz w:val="32"/>
          <w:szCs w:val="32"/>
        </w:rPr>
        <w:t>绿色、安全，减少农药残留问题，增加本地新鲜蔬菜供应，提升居民健康水平。</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可持续性方面。项目建成后，依托于农业设施的更新完善，蔬果基地得以实现周年供应。部分实施主体建立了订单农业模式，</w:t>
      </w:r>
      <w:r>
        <w:rPr>
          <w:rFonts w:ascii="Times New Roman" w:eastAsia="仿宋" w:hAnsi="Times New Roman"/>
          <w:bCs/>
          <w:sz w:val="32"/>
          <w:szCs w:val="32"/>
        </w:rPr>
        <w:lastRenderedPageBreak/>
        <w:t>与超市（如盒马）、电商平台（如叮咚买菜）等建立了长期合作关系，保障销路。同时推广</w:t>
      </w:r>
      <w:r>
        <w:rPr>
          <w:rFonts w:ascii="Times New Roman" w:eastAsia="仿宋" w:hAnsi="Times New Roman"/>
          <w:bCs/>
          <w:sz w:val="32"/>
          <w:szCs w:val="32"/>
        </w:rPr>
        <w:t>“</w:t>
      </w:r>
      <w:r>
        <w:rPr>
          <w:rFonts w:ascii="Times New Roman" w:eastAsia="仿宋" w:hAnsi="Times New Roman"/>
          <w:bCs/>
          <w:sz w:val="32"/>
          <w:szCs w:val="32"/>
        </w:rPr>
        <w:t>合作社</w:t>
      </w:r>
      <w:r>
        <w:rPr>
          <w:rFonts w:ascii="Times New Roman" w:eastAsia="仿宋" w:hAnsi="Times New Roman"/>
          <w:bCs/>
          <w:sz w:val="32"/>
          <w:szCs w:val="32"/>
        </w:rPr>
        <w:t>+</w:t>
      </w:r>
      <w:r>
        <w:rPr>
          <w:rFonts w:ascii="Times New Roman" w:eastAsia="仿宋" w:hAnsi="Times New Roman"/>
          <w:bCs/>
          <w:sz w:val="32"/>
          <w:szCs w:val="32"/>
        </w:rPr>
        <w:t>农户</w:t>
      </w:r>
      <w:r>
        <w:rPr>
          <w:rFonts w:ascii="Times New Roman" w:eastAsia="仿宋" w:hAnsi="Times New Roman"/>
          <w:bCs/>
          <w:sz w:val="32"/>
          <w:szCs w:val="32"/>
        </w:rPr>
        <w:t>”“</w:t>
      </w:r>
      <w:r>
        <w:rPr>
          <w:rFonts w:ascii="Times New Roman" w:eastAsia="仿宋" w:hAnsi="Times New Roman"/>
          <w:bCs/>
          <w:sz w:val="32"/>
          <w:szCs w:val="32"/>
        </w:rPr>
        <w:t>企业</w:t>
      </w:r>
      <w:r>
        <w:rPr>
          <w:rFonts w:ascii="Times New Roman" w:eastAsia="仿宋" w:hAnsi="Times New Roman"/>
          <w:bCs/>
          <w:sz w:val="32"/>
          <w:szCs w:val="32"/>
        </w:rPr>
        <w:t>+</w:t>
      </w:r>
      <w:r>
        <w:rPr>
          <w:rFonts w:ascii="Times New Roman" w:eastAsia="仿宋" w:hAnsi="Times New Roman"/>
          <w:bCs/>
          <w:sz w:val="32"/>
          <w:szCs w:val="32"/>
        </w:rPr>
        <w:t>基地</w:t>
      </w:r>
      <w:r>
        <w:rPr>
          <w:rFonts w:ascii="Times New Roman" w:eastAsia="仿宋" w:hAnsi="Times New Roman"/>
          <w:bCs/>
          <w:sz w:val="32"/>
          <w:szCs w:val="32"/>
        </w:rPr>
        <w:t>+</w:t>
      </w:r>
      <w:r>
        <w:rPr>
          <w:rFonts w:ascii="Times New Roman" w:eastAsia="仿宋" w:hAnsi="Times New Roman"/>
          <w:bCs/>
          <w:sz w:val="32"/>
          <w:szCs w:val="32"/>
        </w:rPr>
        <w:t>农户</w:t>
      </w:r>
      <w:r>
        <w:rPr>
          <w:rFonts w:ascii="Times New Roman" w:eastAsia="仿宋" w:hAnsi="Times New Roman"/>
          <w:bCs/>
          <w:sz w:val="32"/>
          <w:szCs w:val="32"/>
        </w:rPr>
        <w:t>”</w:t>
      </w:r>
      <w:r>
        <w:rPr>
          <w:rFonts w:ascii="Times New Roman" w:eastAsia="仿宋" w:hAnsi="Times New Roman"/>
          <w:bCs/>
          <w:sz w:val="32"/>
          <w:szCs w:val="32"/>
        </w:rPr>
        <w:t>的模式，生产基地在定点定向供应蔬果的同时，还示范、带动了周边合作社、家庭农场和农户的蔬果销售。</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综上所述此项权重</w:t>
      </w:r>
      <w:r>
        <w:rPr>
          <w:rFonts w:ascii="Times New Roman" w:eastAsia="仿宋" w:hAnsi="Times New Roman"/>
          <w:bCs/>
          <w:sz w:val="32"/>
          <w:szCs w:val="32"/>
        </w:rPr>
        <w:t>30</w:t>
      </w:r>
      <w:r>
        <w:rPr>
          <w:rFonts w:ascii="Times New Roman" w:eastAsia="仿宋" w:hAnsi="Times New Roman"/>
          <w:bCs/>
          <w:sz w:val="32"/>
          <w:szCs w:val="32"/>
        </w:rPr>
        <w:t>分，得</w:t>
      </w:r>
      <w:r>
        <w:rPr>
          <w:rFonts w:ascii="Times New Roman" w:eastAsia="仿宋" w:hAnsi="Times New Roman"/>
          <w:bCs/>
          <w:sz w:val="32"/>
          <w:szCs w:val="32"/>
        </w:rPr>
        <w:t>30</w:t>
      </w:r>
      <w:r>
        <w:rPr>
          <w:rFonts w:ascii="Times New Roman" w:eastAsia="仿宋" w:hAnsi="Times New Roman"/>
          <w:bCs/>
          <w:sz w:val="32"/>
          <w:szCs w:val="32"/>
        </w:rPr>
        <w:t>分。</w:t>
      </w:r>
    </w:p>
    <w:p w:rsidR="009766F6" w:rsidRDefault="00F92F2F">
      <w:pPr>
        <w:pStyle w:val="3"/>
        <w:spacing w:before="0" w:after="0" w:line="560" w:lineRule="exact"/>
        <w:ind w:firstLineChars="200" w:firstLine="640"/>
        <w:rPr>
          <w:rFonts w:ascii="Times New Roman" w:eastAsia="仿宋" w:hAnsi="Times New Roman"/>
          <w:b w:val="0"/>
          <w:bCs/>
          <w:szCs w:val="32"/>
        </w:rPr>
      </w:pPr>
      <w:r>
        <w:rPr>
          <w:rFonts w:ascii="Times New Roman" w:eastAsia="仿宋" w:hAnsi="Times New Roman"/>
          <w:b w:val="0"/>
          <w:bCs/>
          <w:szCs w:val="32"/>
        </w:rPr>
        <w:t>5.</w:t>
      </w:r>
      <w:r>
        <w:rPr>
          <w:rFonts w:ascii="Times New Roman" w:eastAsia="仿宋" w:hAnsi="Times New Roman"/>
          <w:b w:val="0"/>
          <w:bCs/>
          <w:szCs w:val="32"/>
        </w:rPr>
        <w:t>社会公众或服务对象满意度指标分析</w:t>
      </w:r>
    </w:p>
    <w:p w:rsidR="009766F6" w:rsidRDefault="00F92F2F">
      <w:pPr>
        <w:spacing w:line="560" w:lineRule="exact"/>
        <w:ind w:firstLineChars="200" w:firstLine="640"/>
        <w:rPr>
          <w:rFonts w:ascii="Times New Roman" w:eastAsia="仿宋" w:hAnsi="Times New Roman"/>
          <w:bCs/>
          <w:sz w:val="32"/>
          <w:szCs w:val="32"/>
        </w:rPr>
      </w:pPr>
      <w:r>
        <w:rPr>
          <w:rFonts w:ascii="Times New Roman" w:eastAsia="仿宋" w:hAnsi="Times New Roman"/>
          <w:bCs/>
          <w:sz w:val="32"/>
          <w:szCs w:val="32"/>
        </w:rPr>
        <w:t>通过</w:t>
      </w:r>
      <w:r>
        <w:rPr>
          <w:rFonts w:ascii="Times New Roman" w:eastAsia="仿宋" w:hAnsi="Times New Roman"/>
          <w:bCs/>
          <w:sz w:val="32"/>
          <w:szCs w:val="32"/>
        </w:rPr>
        <w:t>“</w:t>
      </w:r>
      <w:r>
        <w:rPr>
          <w:rFonts w:ascii="Times New Roman" w:eastAsia="仿宋" w:hAnsi="Times New Roman"/>
          <w:bCs/>
          <w:sz w:val="32"/>
          <w:szCs w:val="32"/>
        </w:rPr>
        <w:t>问卷星</w:t>
      </w:r>
      <w:r>
        <w:rPr>
          <w:rFonts w:ascii="Times New Roman" w:eastAsia="仿宋" w:hAnsi="Times New Roman"/>
          <w:bCs/>
          <w:sz w:val="32"/>
          <w:szCs w:val="32"/>
        </w:rPr>
        <w:t>”</w:t>
      </w:r>
      <w:r>
        <w:rPr>
          <w:rFonts w:ascii="Times New Roman" w:eastAsia="仿宋" w:hAnsi="Times New Roman"/>
          <w:bCs/>
          <w:sz w:val="32"/>
          <w:szCs w:val="32"/>
        </w:rPr>
        <w:t>网站小程序进行问卷调查，整体满意率为</w:t>
      </w:r>
      <w:r>
        <w:rPr>
          <w:rFonts w:ascii="Times New Roman" w:eastAsia="仿宋" w:hAnsi="Times New Roman"/>
          <w:bCs/>
          <w:sz w:val="32"/>
          <w:szCs w:val="32"/>
        </w:rPr>
        <w:t>100%</w:t>
      </w:r>
      <w:r>
        <w:rPr>
          <w:rFonts w:ascii="Times New Roman" w:eastAsia="仿宋" w:hAnsi="Times New Roman"/>
          <w:bCs/>
          <w:sz w:val="32"/>
          <w:szCs w:val="32"/>
        </w:rPr>
        <w:t>。</w:t>
      </w:r>
    </w:p>
    <w:p w:rsidR="009766F6" w:rsidRDefault="00F92F2F">
      <w:pPr>
        <w:pStyle w:val="2"/>
        <w:spacing w:before="0" w:after="0" w:line="560" w:lineRule="exact"/>
        <w:ind w:firstLineChars="200" w:firstLine="640"/>
        <w:rPr>
          <w:rFonts w:ascii="Times New Roman" w:eastAsia="仿宋" w:hAnsi="Times New Roman"/>
          <w:b w:val="0"/>
          <w:bCs/>
          <w:szCs w:val="32"/>
        </w:rPr>
      </w:pPr>
      <w:bookmarkStart w:id="45" w:name="_Toc205457801"/>
      <w:bookmarkStart w:id="46" w:name="_Toc2807"/>
      <w:r>
        <w:rPr>
          <w:rFonts w:ascii="Times New Roman" w:eastAsia="仿宋" w:hAnsi="Times New Roman"/>
          <w:b w:val="0"/>
          <w:bCs/>
          <w:szCs w:val="32"/>
        </w:rPr>
        <w:t>（三）其他事项说明</w:t>
      </w:r>
      <w:bookmarkEnd w:id="45"/>
      <w:bookmarkEnd w:id="46"/>
    </w:p>
    <w:p w:rsidR="009766F6" w:rsidRDefault="00F92F2F">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本次评价采取事中及事后评价相结合的方式，对已完成项目开展事后评价，对已立项、未完成项目开展事中评价。</w:t>
      </w:r>
    </w:p>
    <w:p w:rsidR="009766F6" w:rsidRDefault="009766F6">
      <w:pPr>
        <w:spacing w:line="560" w:lineRule="exact"/>
        <w:ind w:firstLineChars="200" w:firstLine="640"/>
        <w:rPr>
          <w:rFonts w:ascii="Times New Roman" w:eastAsia="方正仿宋_GB2312" w:hAnsi="Times New Roman"/>
          <w:sz w:val="32"/>
          <w:szCs w:val="32"/>
        </w:rPr>
      </w:pPr>
    </w:p>
    <w:bookmarkEnd w:id="41"/>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p w:rsidR="009766F6" w:rsidRDefault="009766F6">
      <w:pPr>
        <w:spacing w:line="560" w:lineRule="exact"/>
        <w:ind w:firstLineChars="200" w:firstLine="640"/>
        <w:rPr>
          <w:rFonts w:ascii="Times New Roman" w:eastAsia="仿宋" w:hAnsi="Times New Roman"/>
          <w:sz w:val="32"/>
          <w:szCs w:val="32"/>
        </w:rPr>
      </w:pPr>
    </w:p>
    <w:tbl>
      <w:tblPr>
        <w:tblW w:w="9167" w:type="dxa"/>
        <w:jc w:val="center"/>
        <w:tblLayout w:type="fixed"/>
        <w:tblLook w:val="04A0" w:firstRow="1" w:lastRow="0" w:firstColumn="1" w:lastColumn="0" w:noHBand="0" w:noVBand="1"/>
      </w:tblPr>
      <w:tblGrid>
        <w:gridCol w:w="633"/>
        <w:gridCol w:w="625"/>
        <w:gridCol w:w="637"/>
        <w:gridCol w:w="592"/>
        <w:gridCol w:w="608"/>
        <w:gridCol w:w="1298"/>
        <w:gridCol w:w="3153"/>
        <w:gridCol w:w="665"/>
        <w:gridCol w:w="956"/>
      </w:tblGrid>
      <w:tr w:rsidR="009766F6">
        <w:trPr>
          <w:jc w:val="center"/>
        </w:trPr>
        <w:tc>
          <w:tcPr>
            <w:tcW w:w="1258" w:type="dxa"/>
            <w:gridSpan w:val="2"/>
            <w:tcBorders>
              <w:top w:val="nil"/>
              <w:left w:val="nil"/>
              <w:bottom w:val="nil"/>
              <w:right w:val="nil"/>
            </w:tcBorders>
            <w:shd w:val="clear" w:color="auto" w:fill="auto"/>
            <w:vAlign w:val="center"/>
          </w:tcPr>
          <w:p w:rsidR="009766F6" w:rsidRDefault="00F92F2F">
            <w:pPr>
              <w:snapToGrid w:val="0"/>
              <w:rPr>
                <w:rFonts w:ascii="Times New Roman" w:eastAsia="等线" w:hAnsi="Times New Roman"/>
                <w:b/>
                <w:bCs/>
                <w:color w:val="000000"/>
                <w:sz w:val="32"/>
                <w:szCs w:val="32"/>
              </w:rPr>
            </w:pPr>
            <w:r>
              <w:rPr>
                <w:rFonts w:ascii="Times New Roman" w:eastAsia="方正黑体_GBK" w:hAnsi="Times New Roman"/>
                <w:color w:val="000000"/>
                <w:kern w:val="0"/>
                <w:sz w:val="24"/>
                <w:szCs w:val="24"/>
                <w:lang w:bidi="ar"/>
              </w:rPr>
              <w:lastRenderedPageBreak/>
              <w:t>附件</w:t>
            </w:r>
          </w:p>
        </w:tc>
        <w:tc>
          <w:tcPr>
            <w:tcW w:w="637" w:type="dxa"/>
            <w:tcBorders>
              <w:top w:val="nil"/>
              <w:left w:val="nil"/>
              <w:bottom w:val="nil"/>
              <w:right w:val="nil"/>
            </w:tcBorders>
            <w:shd w:val="clear" w:color="auto" w:fill="auto"/>
            <w:vAlign w:val="center"/>
          </w:tcPr>
          <w:p w:rsidR="009766F6" w:rsidRDefault="009766F6">
            <w:pPr>
              <w:snapToGrid w:val="0"/>
              <w:rPr>
                <w:rFonts w:ascii="Times New Roman" w:eastAsia="等线" w:hAnsi="Times New Roman"/>
                <w:b/>
                <w:bCs/>
                <w:color w:val="000000"/>
                <w:sz w:val="32"/>
                <w:szCs w:val="32"/>
              </w:rPr>
            </w:pPr>
          </w:p>
        </w:tc>
        <w:tc>
          <w:tcPr>
            <w:tcW w:w="592" w:type="dxa"/>
            <w:tcBorders>
              <w:top w:val="nil"/>
              <w:left w:val="nil"/>
              <w:bottom w:val="nil"/>
              <w:right w:val="nil"/>
            </w:tcBorders>
            <w:shd w:val="clear" w:color="auto" w:fill="auto"/>
            <w:vAlign w:val="center"/>
          </w:tcPr>
          <w:p w:rsidR="009766F6" w:rsidRDefault="009766F6">
            <w:pPr>
              <w:snapToGrid w:val="0"/>
              <w:rPr>
                <w:rFonts w:ascii="Times New Roman" w:eastAsia="等线" w:hAnsi="Times New Roman"/>
                <w:b/>
                <w:bCs/>
                <w:color w:val="000000"/>
                <w:sz w:val="32"/>
                <w:szCs w:val="32"/>
              </w:rPr>
            </w:pPr>
          </w:p>
        </w:tc>
        <w:tc>
          <w:tcPr>
            <w:tcW w:w="608" w:type="dxa"/>
            <w:tcBorders>
              <w:top w:val="nil"/>
              <w:left w:val="nil"/>
              <w:bottom w:val="nil"/>
              <w:right w:val="nil"/>
            </w:tcBorders>
            <w:shd w:val="clear" w:color="auto" w:fill="auto"/>
            <w:vAlign w:val="center"/>
          </w:tcPr>
          <w:p w:rsidR="009766F6" w:rsidRDefault="009766F6">
            <w:pPr>
              <w:snapToGrid w:val="0"/>
              <w:rPr>
                <w:rFonts w:ascii="Times New Roman" w:eastAsia="等线" w:hAnsi="Times New Roman"/>
                <w:b/>
                <w:bCs/>
                <w:color w:val="000000"/>
                <w:sz w:val="32"/>
                <w:szCs w:val="32"/>
              </w:rPr>
            </w:pPr>
          </w:p>
        </w:tc>
        <w:tc>
          <w:tcPr>
            <w:tcW w:w="1298" w:type="dxa"/>
            <w:tcBorders>
              <w:top w:val="nil"/>
              <w:left w:val="nil"/>
              <w:bottom w:val="nil"/>
              <w:right w:val="nil"/>
            </w:tcBorders>
            <w:shd w:val="clear" w:color="auto" w:fill="auto"/>
            <w:vAlign w:val="center"/>
          </w:tcPr>
          <w:p w:rsidR="009766F6" w:rsidRDefault="009766F6">
            <w:pPr>
              <w:snapToGrid w:val="0"/>
              <w:rPr>
                <w:rFonts w:ascii="Times New Roman" w:eastAsia="等线" w:hAnsi="Times New Roman"/>
                <w:b/>
                <w:bCs/>
                <w:color w:val="000000"/>
                <w:sz w:val="32"/>
                <w:szCs w:val="32"/>
              </w:rPr>
            </w:pPr>
          </w:p>
        </w:tc>
        <w:tc>
          <w:tcPr>
            <w:tcW w:w="3153" w:type="dxa"/>
            <w:tcBorders>
              <w:top w:val="nil"/>
              <w:left w:val="nil"/>
              <w:bottom w:val="nil"/>
              <w:right w:val="nil"/>
            </w:tcBorders>
            <w:shd w:val="clear" w:color="auto" w:fill="auto"/>
            <w:vAlign w:val="center"/>
          </w:tcPr>
          <w:p w:rsidR="009766F6" w:rsidRDefault="009766F6">
            <w:pPr>
              <w:snapToGrid w:val="0"/>
              <w:rPr>
                <w:rFonts w:ascii="Times New Roman" w:eastAsia="等线" w:hAnsi="Times New Roman"/>
                <w:b/>
                <w:bCs/>
                <w:color w:val="000000"/>
                <w:sz w:val="32"/>
                <w:szCs w:val="32"/>
              </w:rPr>
            </w:pPr>
          </w:p>
        </w:tc>
        <w:tc>
          <w:tcPr>
            <w:tcW w:w="665" w:type="dxa"/>
            <w:tcBorders>
              <w:top w:val="nil"/>
              <w:left w:val="nil"/>
              <w:bottom w:val="nil"/>
              <w:right w:val="nil"/>
            </w:tcBorders>
            <w:shd w:val="clear" w:color="auto" w:fill="auto"/>
            <w:vAlign w:val="center"/>
          </w:tcPr>
          <w:p w:rsidR="009766F6" w:rsidRDefault="009766F6">
            <w:pPr>
              <w:snapToGrid w:val="0"/>
              <w:rPr>
                <w:rFonts w:ascii="Times New Roman" w:eastAsia="等线" w:hAnsi="Times New Roman"/>
                <w:b/>
                <w:bCs/>
                <w:color w:val="000000"/>
                <w:sz w:val="32"/>
                <w:szCs w:val="32"/>
              </w:rPr>
            </w:pPr>
          </w:p>
        </w:tc>
        <w:tc>
          <w:tcPr>
            <w:tcW w:w="956" w:type="dxa"/>
            <w:tcBorders>
              <w:top w:val="nil"/>
              <w:left w:val="nil"/>
              <w:bottom w:val="nil"/>
              <w:right w:val="nil"/>
            </w:tcBorders>
            <w:shd w:val="clear" w:color="auto" w:fill="auto"/>
            <w:vAlign w:val="center"/>
          </w:tcPr>
          <w:p w:rsidR="009766F6" w:rsidRDefault="009766F6">
            <w:pPr>
              <w:snapToGrid w:val="0"/>
              <w:rPr>
                <w:rFonts w:ascii="Times New Roman" w:eastAsia="等线" w:hAnsi="Times New Roman"/>
                <w:b/>
                <w:bCs/>
                <w:color w:val="000000"/>
                <w:sz w:val="32"/>
                <w:szCs w:val="32"/>
              </w:rPr>
            </w:pPr>
          </w:p>
        </w:tc>
      </w:tr>
      <w:tr w:rsidR="009766F6">
        <w:trPr>
          <w:jc w:val="center"/>
        </w:trPr>
        <w:tc>
          <w:tcPr>
            <w:tcW w:w="9167" w:type="dxa"/>
            <w:gridSpan w:val="9"/>
            <w:tcBorders>
              <w:top w:val="nil"/>
              <w:left w:val="nil"/>
              <w:bottom w:val="single" w:sz="4" w:space="0" w:color="000000"/>
              <w:right w:val="nil"/>
            </w:tcBorders>
            <w:shd w:val="clear" w:color="auto" w:fill="auto"/>
            <w:vAlign w:val="center"/>
          </w:tcPr>
          <w:p w:rsidR="009766F6" w:rsidRDefault="00F92F2F">
            <w:pPr>
              <w:widowControl/>
              <w:snapToGrid w:val="0"/>
              <w:jc w:val="center"/>
              <w:textAlignment w:val="center"/>
              <w:rPr>
                <w:rStyle w:val="font31"/>
                <w:rFonts w:eastAsia="等线"/>
                <w:lang w:bidi="ar"/>
              </w:rPr>
            </w:pPr>
            <w:r>
              <w:rPr>
                <w:rStyle w:val="font31"/>
                <w:rFonts w:eastAsia="等线"/>
                <w:lang w:bidi="ar"/>
              </w:rPr>
              <w:t>2025</w:t>
            </w:r>
            <w:r>
              <w:rPr>
                <w:rStyle w:val="font31"/>
                <w:rFonts w:eastAsia="等线"/>
                <w:lang w:bidi="ar"/>
              </w:rPr>
              <w:t>年现代蔬菜园艺高质量发展专项资金绩效评价评分表</w:t>
            </w:r>
          </w:p>
          <w:p w:rsidR="009766F6" w:rsidRDefault="009766F6">
            <w:pPr>
              <w:widowControl/>
              <w:snapToGrid w:val="0"/>
              <w:jc w:val="center"/>
              <w:textAlignment w:val="center"/>
              <w:rPr>
                <w:rStyle w:val="font31"/>
                <w:rFonts w:eastAsia="等线"/>
                <w:lang w:bidi="ar"/>
              </w:rPr>
            </w:pPr>
          </w:p>
        </w:tc>
      </w:tr>
      <w:tr w:rsidR="009766F6">
        <w:trPr>
          <w:jc w:val="center"/>
        </w:trPr>
        <w:tc>
          <w:tcPr>
            <w:tcW w:w="189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评价指标</w:t>
            </w:r>
          </w:p>
        </w:tc>
        <w:tc>
          <w:tcPr>
            <w:tcW w:w="5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标准值</w:t>
            </w:r>
          </w:p>
        </w:tc>
        <w:tc>
          <w:tcPr>
            <w:tcW w:w="6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分值</w:t>
            </w:r>
          </w:p>
        </w:tc>
        <w:tc>
          <w:tcPr>
            <w:tcW w:w="12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评价内容</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评价标准</w:t>
            </w:r>
          </w:p>
        </w:tc>
        <w:tc>
          <w:tcPr>
            <w:tcW w:w="6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得分</w:t>
            </w:r>
          </w:p>
        </w:tc>
        <w:tc>
          <w:tcPr>
            <w:tcW w:w="9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得分说明</w:t>
            </w:r>
          </w:p>
        </w:tc>
      </w:tr>
      <w:tr w:rsidR="009766F6">
        <w:trPr>
          <w:jc w:val="center"/>
        </w:trPr>
        <w:tc>
          <w:tcPr>
            <w:tcW w:w="6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一级指标</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二级指标</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三级指标</w:t>
            </w:r>
          </w:p>
        </w:tc>
        <w:tc>
          <w:tcPr>
            <w:tcW w:w="5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仿宋" w:hAnsi="Times New Roman"/>
                <w:color w:val="000000"/>
                <w:sz w:val="18"/>
                <w:szCs w:val="18"/>
              </w:rPr>
            </w:pPr>
          </w:p>
        </w:tc>
        <w:tc>
          <w:tcPr>
            <w:tcW w:w="6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仿宋" w:hAnsi="Times New Roman"/>
                <w:color w:val="000000"/>
                <w:sz w:val="18"/>
                <w:szCs w:val="18"/>
              </w:rPr>
            </w:pPr>
          </w:p>
        </w:tc>
        <w:tc>
          <w:tcPr>
            <w:tcW w:w="12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仿宋" w:hAnsi="Times New Roman"/>
                <w:color w:val="000000"/>
                <w:sz w:val="18"/>
                <w:szCs w:val="18"/>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仿宋" w:hAnsi="Times New Roman"/>
                <w:color w:val="000000"/>
                <w:sz w:val="18"/>
                <w:szCs w:val="18"/>
              </w:rPr>
            </w:pPr>
          </w:p>
        </w:tc>
        <w:tc>
          <w:tcPr>
            <w:tcW w:w="6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仿宋" w:hAnsi="Times New Roman"/>
                <w:color w:val="000000"/>
                <w:sz w:val="18"/>
                <w:szCs w:val="18"/>
              </w:rPr>
            </w:pPr>
          </w:p>
        </w:tc>
        <w:tc>
          <w:tcPr>
            <w:tcW w:w="9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仿宋" w:hAnsi="Times New Roman"/>
                <w:color w:val="000000"/>
                <w:sz w:val="18"/>
                <w:szCs w:val="18"/>
              </w:rPr>
            </w:pPr>
          </w:p>
        </w:tc>
      </w:tr>
      <w:tr w:rsidR="009766F6">
        <w:trPr>
          <w:jc w:val="center"/>
        </w:trPr>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决策</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12</w:t>
            </w:r>
            <w:r>
              <w:rPr>
                <w:rStyle w:val="font41"/>
                <w:rFonts w:ascii="Times New Roman" w:hAnsi="Times New Roman" w:cs="Times New Roman" w:hint="default"/>
                <w:lang w:bidi="ar"/>
              </w:rPr>
              <w:t>分）</w:t>
            </w:r>
          </w:p>
        </w:tc>
        <w:tc>
          <w:tcPr>
            <w:tcW w:w="6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项目立项</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4</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立项依据充分性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充分</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项目立项是否符合法律法规、相关政策、发展规划以及部门职责，用以反映和考核项目立项依据情况。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项目是否按照规定的程序申请设立（</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审批文件、材料是否符合相关要求（</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③</w:t>
            </w:r>
            <w:r>
              <w:rPr>
                <w:rStyle w:val="font71"/>
                <w:rFonts w:ascii="Times New Roman" w:hAnsi="Times New Roman" w:cs="Times New Roman" w:hint="default"/>
                <w:lang w:bidi="ar"/>
              </w:rPr>
              <w:t>事前是否已经过必要的可行性研究、专家论证、风险评估、绩效评估、集体决策（</w:t>
            </w:r>
            <w:r>
              <w:rPr>
                <w:rStyle w:val="font61"/>
                <w:rFonts w:eastAsia="仿宋"/>
                <w:lang w:bidi="ar"/>
              </w:rPr>
              <w:t>1</w:t>
            </w:r>
            <w:r>
              <w:rPr>
                <w:rStyle w:val="font71"/>
                <w:rFonts w:ascii="Times New Roman" w:hAnsi="Times New Roman" w:cs="Times New Roman" w:hint="default"/>
                <w:lang w:bidi="ar"/>
              </w:rPr>
              <w:t>分）。以上三项符合得相应权重分，不相符则不得分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充分</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立项程序规范性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规范</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项目申请、设立过程是否符合相关要求，用以反映和考核项目立项的规范情况。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项目立项是否符合国家法律法规、国民经济发展规划和相关政策（</w:t>
            </w:r>
            <w:r>
              <w:rPr>
                <w:rStyle w:val="font61"/>
                <w:rFonts w:eastAsia="仿宋"/>
                <w:lang w:bidi="ar"/>
              </w:rPr>
              <w:t>0.4</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项目立项是否符合行业发展规划和政策要求（</w:t>
            </w:r>
            <w:r>
              <w:rPr>
                <w:rStyle w:val="font61"/>
                <w:rFonts w:eastAsia="仿宋"/>
                <w:lang w:bidi="ar"/>
              </w:rPr>
              <w:t>0.4</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③</w:t>
            </w:r>
            <w:r>
              <w:rPr>
                <w:rStyle w:val="font71"/>
                <w:rFonts w:ascii="Times New Roman" w:hAnsi="Times New Roman" w:cs="Times New Roman" w:hint="default"/>
                <w:lang w:bidi="ar"/>
              </w:rPr>
              <w:t>项目立项是否与部门职责范围相符，属于部门履职所需（</w:t>
            </w:r>
            <w:r>
              <w:rPr>
                <w:rStyle w:val="font61"/>
                <w:rFonts w:eastAsia="仿宋"/>
                <w:lang w:bidi="ar"/>
              </w:rPr>
              <w:t>0.4</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④</w:t>
            </w:r>
            <w:r>
              <w:rPr>
                <w:rStyle w:val="font71"/>
                <w:rFonts w:ascii="Times New Roman" w:hAnsi="Times New Roman" w:cs="Times New Roman" w:hint="default"/>
                <w:lang w:bidi="ar"/>
              </w:rPr>
              <w:t>项目是否属于公共财政支持范围，是否符合中央、地方事权支出责任划分原则（</w:t>
            </w:r>
            <w:r>
              <w:rPr>
                <w:rStyle w:val="font61"/>
                <w:rFonts w:eastAsia="仿宋"/>
                <w:lang w:bidi="ar"/>
              </w:rPr>
              <w:t>0.4</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⑤</w:t>
            </w:r>
            <w:r>
              <w:rPr>
                <w:rStyle w:val="font71"/>
                <w:rFonts w:ascii="Times New Roman" w:hAnsi="Times New Roman" w:cs="Times New Roman" w:hint="default"/>
                <w:lang w:bidi="ar"/>
              </w:rPr>
              <w:t>项目是否与相关部门同类项目或部门内部相关项目重复（</w:t>
            </w:r>
            <w:r>
              <w:rPr>
                <w:rStyle w:val="font61"/>
                <w:rFonts w:eastAsia="仿宋"/>
                <w:lang w:bidi="ar"/>
              </w:rPr>
              <w:t>0.4</w:t>
            </w:r>
            <w:r>
              <w:rPr>
                <w:rStyle w:val="font71"/>
                <w:rFonts w:ascii="Times New Roman" w:hAnsi="Times New Roman" w:cs="Times New Roman" w:hint="default"/>
                <w:lang w:bidi="ar"/>
              </w:rPr>
              <w:t>分）。以上五项符合得相应权重分，不相符则不得分。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规范</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绩效目标</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4</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绩效目标合理性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合理</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反映项目所设定的绩效目标是否依据充分，是否符合客观实际，用以反映和考核项目绩效目标与项目实施的相符情况。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项目是否有绩效目标（</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项目绩效目标与实际工作内容是否具有相关性（</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③</w:t>
            </w:r>
            <w:r>
              <w:rPr>
                <w:rStyle w:val="font71"/>
                <w:rFonts w:ascii="Times New Roman" w:hAnsi="Times New Roman" w:cs="Times New Roman" w:hint="default"/>
                <w:lang w:bidi="ar"/>
              </w:rPr>
              <w:t>项目预期产出效益和效果是否符合正常的业绩水平（</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④</w:t>
            </w:r>
            <w:r>
              <w:rPr>
                <w:rStyle w:val="font71"/>
                <w:rFonts w:ascii="Times New Roman" w:hAnsi="Times New Roman" w:cs="Times New Roman" w:hint="default"/>
                <w:lang w:bidi="ar"/>
              </w:rPr>
              <w:t>是否与预算确定的项目投资额或资金量相匹配（</w:t>
            </w:r>
            <w:r>
              <w:rPr>
                <w:rStyle w:val="font61"/>
                <w:rFonts w:eastAsia="仿宋"/>
                <w:lang w:bidi="ar"/>
              </w:rPr>
              <w:t>0.5</w:t>
            </w:r>
            <w:r>
              <w:rPr>
                <w:rStyle w:val="font71"/>
                <w:rFonts w:ascii="Times New Roman" w:hAnsi="Times New Roman" w:cs="Times New Roman" w:hint="default"/>
                <w:lang w:bidi="ar"/>
              </w:rPr>
              <w:t>分）。</w:t>
            </w:r>
            <w:r>
              <w:rPr>
                <w:rStyle w:val="font61"/>
                <w:rFonts w:eastAsia="仿宋"/>
                <w:lang w:bidi="ar"/>
              </w:rPr>
              <w:br/>
            </w:r>
            <w:r>
              <w:rPr>
                <w:rStyle w:val="font71"/>
                <w:rFonts w:ascii="Times New Roman" w:hAnsi="Times New Roman" w:cs="Times New Roman" w:hint="default"/>
                <w:lang w:bidi="ar"/>
              </w:rPr>
              <w:t>以上四项符合得相应权重分，不相符则不得分。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合理</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绩效指标明确性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明确</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反映依据绩效目标设定的绩效指标是否清晰、细化、可衡量等，用以反映和考核项目绩效目标的明确和细化程度。</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是否将项目绩效目标细化分解为具体的绩效指标（</w:t>
            </w:r>
            <w:r>
              <w:rPr>
                <w:rStyle w:val="font61"/>
                <w:rFonts w:eastAsia="仿宋"/>
                <w:lang w:bidi="ar"/>
              </w:rPr>
              <w:t>1</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是否通过清晰、可衡量的指标值予以体现（</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③</w:t>
            </w:r>
            <w:r>
              <w:rPr>
                <w:rStyle w:val="font71"/>
                <w:rFonts w:ascii="Times New Roman" w:hAnsi="Times New Roman" w:cs="Times New Roman" w:hint="default"/>
                <w:lang w:bidi="ar"/>
              </w:rPr>
              <w:t>是否与项目目标任务数或计划数相对应（</w:t>
            </w:r>
            <w:r>
              <w:rPr>
                <w:rStyle w:val="font61"/>
                <w:rFonts w:eastAsia="仿宋"/>
                <w:lang w:bidi="ar"/>
              </w:rPr>
              <w:t>0.5</w:t>
            </w:r>
            <w:r>
              <w:rPr>
                <w:rStyle w:val="font71"/>
                <w:rFonts w:ascii="Times New Roman" w:hAnsi="Times New Roman" w:cs="Times New Roman" w:hint="default"/>
                <w:lang w:bidi="ar"/>
              </w:rPr>
              <w:t>分）。以上三项符合得相应权重分，不相符则不得分。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明确</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资金投入</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4</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预算编制科学性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科学</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项目预算编制是否经过科学论证、有明确标准，资金额度与年度目标是否相适应，用以反映和考核项目预算编制的科学性、合理性情况。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预算编制是否经过科学论证（</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预算内容与项目内容是否匹配（</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③</w:t>
            </w:r>
            <w:r>
              <w:rPr>
                <w:rStyle w:val="font71"/>
                <w:rFonts w:ascii="Times New Roman" w:hAnsi="Times New Roman" w:cs="Times New Roman" w:hint="default"/>
                <w:lang w:bidi="ar"/>
              </w:rPr>
              <w:t>预算额度测算依据是否充分，是否按照标准编制（</w:t>
            </w:r>
            <w:r>
              <w:rPr>
                <w:rStyle w:val="font61"/>
                <w:rFonts w:eastAsia="仿宋"/>
                <w:lang w:bidi="ar"/>
              </w:rPr>
              <w:t>0.5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④</w:t>
            </w:r>
            <w:r>
              <w:rPr>
                <w:rStyle w:val="font71"/>
                <w:rFonts w:ascii="Times New Roman" w:hAnsi="Times New Roman" w:cs="Times New Roman" w:hint="default"/>
                <w:lang w:bidi="ar"/>
              </w:rPr>
              <w:t>预算确定的项目投资额或资金量是否与工作任务相匹配（</w:t>
            </w:r>
            <w:r>
              <w:rPr>
                <w:rStyle w:val="font61"/>
                <w:rFonts w:eastAsia="仿宋"/>
                <w:lang w:bidi="ar"/>
              </w:rPr>
              <w:t>0.5</w:t>
            </w:r>
            <w:r>
              <w:rPr>
                <w:rStyle w:val="font71"/>
                <w:rFonts w:ascii="Times New Roman" w:hAnsi="Times New Roman" w:cs="Times New Roman" w:hint="default"/>
                <w:lang w:bidi="ar"/>
              </w:rPr>
              <w:t>分）。</w:t>
            </w:r>
            <w:r>
              <w:rPr>
                <w:rStyle w:val="font61"/>
                <w:rFonts w:eastAsia="仿宋"/>
                <w:lang w:bidi="ar"/>
              </w:rPr>
              <w:br/>
            </w:r>
            <w:r>
              <w:rPr>
                <w:rStyle w:val="font71"/>
                <w:rFonts w:ascii="Times New Roman" w:hAnsi="Times New Roman" w:cs="Times New Roman" w:hint="default"/>
                <w:lang w:bidi="ar"/>
              </w:rPr>
              <w:t>以上四项符合得相应权重分，不相符则不得分。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科学</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资金分配</w:t>
            </w:r>
            <w:r>
              <w:rPr>
                <w:rFonts w:ascii="Times New Roman" w:eastAsia="仿宋" w:hAnsi="Times New Roman"/>
                <w:color w:val="000000"/>
                <w:kern w:val="0"/>
                <w:sz w:val="18"/>
                <w:szCs w:val="18"/>
                <w:lang w:bidi="ar"/>
              </w:rPr>
              <w:lastRenderedPageBreak/>
              <w:t>合理性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lastRenderedPageBreak/>
              <w:t>合理</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项目预算资金分配是否有测</w:t>
            </w:r>
            <w:r>
              <w:rPr>
                <w:rFonts w:ascii="Times New Roman" w:eastAsia="仿宋" w:hAnsi="Times New Roman"/>
                <w:color w:val="000000"/>
                <w:kern w:val="0"/>
                <w:sz w:val="18"/>
                <w:szCs w:val="18"/>
                <w:lang w:bidi="ar"/>
              </w:rPr>
              <w:lastRenderedPageBreak/>
              <w:t>算依据，与补助单位或地方实际是否相适应，用以反映和考核项目预算资金分配的科学性、合理性情况。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lastRenderedPageBreak/>
              <w:t>①</w:t>
            </w:r>
            <w:r>
              <w:rPr>
                <w:rStyle w:val="font71"/>
                <w:rFonts w:ascii="Times New Roman" w:hAnsi="Times New Roman" w:cs="Times New Roman" w:hint="default"/>
                <w:lang w:bidi="ar"/>
              </w:rPr>
              <w:t>预算资金分配依据是否充分（</w:t>
            </w:r>
            <w:r>
              <w:rPr>
                <w:rStyle w:val="font61"/>
                <w:rFonts w:eastAsia="仿宋"/>
                <w:lang w:bidi="ar"/>
              </w:rPr>
              <w:t>1</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资金分配额度是否合理，与项目单</w:t>
            </w:r>
            <w:r>
              <w:rPr>
                <w:rStyle w:val="font71"/>
                <w:rFonts w:ascii="Times New Roman" w:hAnsi="Times New Roman" w:cs="Times New Roman" w:hint="default"/>
                <w:lang w:bidi="ar"/>
              </w:rPr>
              <w:lastRenderedPageBreak/>
              <w:t>位或地方实际是否相适应（</w:t>
            </w:r>
            <w:r>
              <w:rPr>
                <w:rStyle w:val="font61"/>
                <w:rFonts w:eastAsia="仿宋"/>
                <w:lang w:bidi="ar"/>
              </w:rPr>
              <w:t>1</w:t>
            </w:r>
            <w:r>
              <w:rPr>
                <w:rStyle w:val="font71"/>
                <w:rFonts w:ascii="Times New Roman" w:hAnsi="Times New Roman" w:cs="Times New Roman" w:hint="default"/>
                <w:lang w:bidi="ar"/>
              </w:rPr>
              <w:t>分）。</w:t>
            </w:r>
            <w:r>
              <w:rPr>
                <w:rStyle w:val="font61"/>
                <w:rFonts w:eastAsia="仿宋"/>
                <w:lang w:bidi="ar"/>
              </w:rPr>
              <w:br/>
            </w:r>
            <w:r>
              <w:rPr>
                <w:rStyle w:val="font71"/>
                <w:rFonts w:ascii="Times New Roman" w:hAnsi="Times New Roman" w:cs="Times New Roman" w:hint="default"/>
                <w:lang w:bidi="ar"/>
              </w:rPr>
              <w:t>以上两项符合得相应权重分，不相符则不得分。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lastRenderedPageBreak/>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合理</w:t>
            </w:r>
          </w:p>
        </w:tc>
      </w:tr>
      <w:tr w:rsidR="009766F6">
        <w:trPr>
          <w:jc w:val="center"/>
        </w:trPr>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lastRenderedPageBreak/>
              <w:t>过程</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18</w:t>
            </w:r>
            <w:r>
              <w:rPr>
                <w:rStyle w:val="font41"/>
                <w:rFonts w:ascii="Times New Roman" w:hAnsi="Times New Roman" w:cs="Times New Roman" w:hint="default"/>
                <w:lang w:bidi="ar"/>
              </w:rPr>
              <w:t>分）</w:t>
            </w:r>
          </w:p>
        </w:tc>
        <w:tc>
          <w:tcPr>
            <w:tcW w:w="6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资金管理</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10</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资金执行率</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100%</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项目预算资金是否按照计划执行，用以反映或考核项目预算执行情况。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预算执行率</w:t>
            </w:r>
            <w:r>
              <w:rPr>
                <w:rStyle w:val="font61"/>
                <w:rFonts w:eastAsia="仿宋"/>
                <w:lang w:bidi="ar"/>
              </w:rPr>
              <w:t>=</w:t>
            </w:r>
            <w:r>
              <w:rPr>
                <w:rStyle w:val="font71"/>
                <w:rFonts w:ascii="Times New Roman" w:hAnsi="Times New Roman" w:cs="Times New Roman" w:hint="default"/>
                <w:lang w:bidi="ar"/>
              </w:rPr>
              <w:t>（实际支出资金</w:t>
            </w:r>
            <w:r>
              <w:rPr>
                <w:rStyle w:val="font61"/>
                <w:rFonts w:eastAsia="仿宋"/>
                <w:lang w:bidi="ar"/>
              </w:rPr>
              <w:t>/</w:t>
            </w:r>
            <w:r>
              <w:rPr>
                <w:rStyle w:val="font71"/>
                <w:rFonts w:ascii="Times New Roman" w:hAnsi="Times New Roman" w:cs="Times New Roman" w:hint="default"/>
                <w:lang w:bidi="ar"/>
              </w:rPr>
              <w:t>实际到位资金）</w:t>
            </w:r>
            <w:r>
              <w:rPr>
                <w:rStyle w:val="font61"/>
                <w:rFonts w:eastAsia="仿宋"/>
                <w:lang w:bidi="ar"/>
              </w:rPr>
              <w:t>×100%</w:t>
            </w:r>
            <w:r>
              <w:rPr>
                <w:rStyle w:val="font71"/>
                <w:rFonts w:ascii="Times New Roman" w:hAnsi="Times New Roman" w:cs="Times New Roman" w:hint="default"/>
                <w:lang w:bidi="ar"/>
              </w:rPr>
              <w:t>。</w:t>
            </w:r>
            <w:r>
              <w:rPr>
                <w:rStyle w:val="font61"/>
                <w:rFonts w:eastAsia="仿宋"/>
                <w:lang w:bidi="ar"/>
              </w:rPr>
              <w:br/>
            </w:r>
            <w:r>
              <w:rPr>
                <w:rStyle w:val="font71"/>
                <w:rFonts w:ascii="Times New Roman" w:hAnsi="Times New Roman" w:cs="Times New Roman" w:hint="default"/>
                <w:lang w:bidi="ar"/>
              </w:rPr>
              <w:t>实际支出资金：一定时期（本年度或项目期）内项目实际拨付的资金。评分规则：得分</w:t>
            </w:r>
            <w:r>
              <w:rPr>
                <w:rStyle w:val="font61"/>
                <w:rFonts w:eastAsia="仿宋"/>
                <w:lang w:bidi="ar"/>
              </w:rPr>
              <w:t>=</w:t>
            </w:r>
            <w:r>
              <w:rPr>
                <w:rStyle w:val="font71"/>
                <w:rFonts w:ascii="Times New Roman" w:hAnsi="Times New Roman" w:cs="Times New Roman" w:hint="default"/>
                <w:lang w:bidi="ar"/>
              </w:rPr>
              <w:t>资金到位率</w:t>
            </w:r>
            <w:r>
              <w:rPr>
                <w:rStyle w:val="font61"/>
                <w:rFonts w:eastAsia="仿宋"/>
                <w:lang w:bidi="ar"/>
              </w:rPr>
              <w:t>×</w:t>
            </w:r>
            <w:r>
              <w:rPr>
                <w:rStyle w:val="font71"/>
                <w:rFonts w:ascii="Times New Roman" w:hAnsi="Times New Roman" w:cs="Times New Roman" w:hint="default"/>
                <w:lang w:bidi="ar"/>
              </w:rPr>
              <w:t>分值。</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1.05</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51"/>
                <w:rFonts w:eastAsia="等线"/>
                <w:lang w:bidi="ar"/>
              </w:rPr>
              <w:t>2025</w:t>
            </w:r>
            <w:r>
              <w:rPr>
                <w:rStyle w:val="font41"/>
                <w:rFonts w:ascii="Times New Roman" w:hAnsi="Times New Roman" w:cs="Times New Roman" w:hint="default"/>
                <w:lang w:bidi="ar"/>
              </w:rPr>
              <w:t>年市级现代蔬菜园艺高质量发展项目，市本级及各区已安排资金共计</w:t>
            </w:r>
            <w:r>
              <w:rPr>
                <w:rStyle w:val="font51"/>
                <w:rFonts w:eastAsia="等线"/>
                <w:lang w:bidi="ar"/>
              </w:rPr>
              <w:t>4768.88</w:t>
            </w:r>
            <w:r>
              <w:rPr>
                <w:rStyle w:val="font41"/>
                <w:rFonts w:ascii="Times New Roman" w:hAnsi="Times New Roman" w:cs="Times New Roman" w:hint="default"/>
                <w:lang w:bidi="ar"/>
              </w:rPr>
              <w:t>万元，实际支出资金共计</w:t>
            </w:r>
            <w:r>
              <w:rPr>
                <w:rStyle w:val="font51"/>
                <w:rFonts w:eastAsia="等线"/>
                <w:lang w:bidi="ar"/>
              </w:rPr>
              <w:t>1673.09</w:t>
            </w:r>
            <w:r>
              <w:rPr>
                <w:rStyle w:val="font41"/>
                <w:rFonts w:ascii="Times New Roman" w:hAnsi="Times New Roman" w:cs="Times New Roman" w:hint="default"/>
                <w:lang w:bidi="ar"/>
              </w:rPr>
              <w:t>万元，执行率</w:t>
            </w:r>
            <w:r>
              <w:rPr>
                <w:rStyle w:val="font51"/>
                <w:rFonts w:eastAsia="等线"/>
                <w:lang w:bidi="ar"/>
              </w:rPr>
              <w:t>35.08%</w:t>
            </w:r>
            <w:r>
              <w:rPr>
                <w:rStyle w:val="font41"/>
                <w:rFonts w:ascii="Times New Roman" w:hAnsi="Times New Roman" w:cs="Times New Roman" w:hint="default"/>
                <w:lang w:bidi="ar"/>
              </w:rPr>
              <w:t>，得</w:t>
            </w:r>
            <w:r>
              <w:rPr>
                <w:rStyle w:val="font51"/>
                <w:rFonts w:eastAsia="等线"/>
                <w:lang w:bidi="ar"/>
              </w:rPr>
              <w:t>3×35.08%=1.05</w:t>
            </w:r>
            <w:r>
              <w:rPr>
                <w:rStyle w:val="font41"/>
                <w:rFonts w:ascii="Times New Roman" w:hAnsi="Times New Roman" w:cs="Times New Roman" w:hint="default"/>
                <w:lang w:bidi="ar"/>
              </w:rPr>
              <w:t>分</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资金使用合规性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合规</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4</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项目资金使用是否符合相关的财务管理制度规定，用以反映和考核项目资金的规范运行情况。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是否符合国家财经法规和财务管理制度以及有关专项资金管理办法的规定（</w:t>
            </w:r>
            <w:r>
              <w:rPr>
                <w:rStyle w:val="font61"/>
                <w:rFonts w:eastAsia="仿宋"/>
                <w:lang w:bidi="ar"/>
              </w:rPr>
              <w:t>1</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资金的拨付是否有完整的审批程序和手续（</w:t>
            </w:r>
            <w:r>
              <w:rPr>
                <w:rStyle w:val="font61"/>
                <w:rFonts w:eastAsia="仿宋"/>
                <w:lang w:bidi="ar"/>
              </w:rPr>
              <w:t>1</w:t>
            </w:r>
            <w:r>
              <w:rPr>
                <w:rStyle w:val="font71"/>
                <w:rFonts w:ascii="Times New Roman" w:hAnsi="Times New Roman" w:cs="Times New Roman" w:hint="default"/>
                <w:lang w:bidi="ar"/>
              </w:rPr>
              <w:t>分）；</w:t>
            </w:r>
            <w:r>
              <w:rPr>
                <w:rStyle w:val="font61"/>
                <w:rFonts w:eastAsia="仿宋"/>
                <w:lang w:bidi="ar"/>
              </w:rPr>
              <w:t xml:space="preserve"> </w:t>
            </w:r>
            <w:r>
              <w:rPr>
                <w:rStyle w:val="font71"/>
                <w:rFonts w:ascii="Times New Roman" w:hAnsi="Times New Roman" w:cs="Times New Roman" w:hint="default"/>
                <w:lang w:bidi="ar"/>
              </w:rPr>
              <w:t>③</w:t>
            </w:r>
            <w:r>
              <w:rPr>
                <w:rStyle w:val="font71"/>
                <w:rFonts w:ascii="Times New Roman" w:hAnsi="Times New Roman" w:cs="Times New Roman" w:hint="default"/>
                <w:lang w:bidi="ar"/>
              </w:rPr>
              <w:t>是否符合项目预算批复或合同规定的用途（</w:t>
            </w:r>
            <w:r>
              <w:rPr>
                <w:rStyle w:val="font61"/>
                <w:rFonts w:eastAsia="仿宋"/>
                <w:lang w:bidi="ar"/>
              </w:rPr>
              <w:t>1</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④</w:t>
            </w:r>
            <w:r>
              <w:rPr>
                <w:rStyle w:val="font71"/>
                <w:rFonts w:ascii="Times New Roman" w:hAnsi="Times New Roman" w:cs="Times New Roman" w:hint="default"/>
                <w:lang w:bidi="ar"/>
              </w:rPr>
              <w:t>是否存在截留、挤占、挪用、虚列支出等情况（</w:t>
            </w:r>
            <w:r>
              <w:rPr>
                <w:rStyle w:val="font61"/>
                <w:rFonts w:eastAsia="仿宋"/>
                <w:lang w:bidi="ar"/>
              </w:rPr>
              <w:t>1</w:t>
            </w:r>
            <w:r>
              <w:rPr>
                <w:rStyle w:val="font71"/>
                <w:rFonts w:ascii="Times New Roman" w:hAnsi="Times New Roman" w:cs="Times New Roman" w:hint="default"/>
                <w:lang w:bidi="ar"/>
              </w:rPr>
              <w:t>分）。</w:t>
            </w:r>
            <w:r>
              <w:rPr>
                <w:rStyle w:val="font61"/>
                <w:rFonts w:eastAsia="仿宋"/>
                <w:lang w:bidi="ar"/>
              </w:rPr>
              <w:br/>
            </w:r>
            <w:r>
              <w:rPr>
                <w:rStyle w:val="font71"/>
                <w:rFonts w:ascii="Times New Roman" w:hAnsi="Times New Roman" w:cs="Times New Roman" w:hint="default"/>
                <w:lang w:bidi="ar"/>
              </w:rPr>
              <w:t>以上四项符合得相应权重分，不相符则不得分。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4</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合规</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预算到位率</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100%</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实际到位资金与预算资金的比率，用以反映和考核资金落实情况对项目实施的总体保障程度。</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资金到位率</w:t>
            </w:r>
            <w:r>
              <w:rPr>
                <w:rStyle w:val="font61"/>
                <w:rFonts w:eastAsia="仿宋"/>
                <w:lang w:bidi="ar"/>
              </w:rPr>
              <w:t>=</w:t>
            </w:r>
            <w:r>
              <w:rPr>
                <w:rStyle w:val="font71"/>
                <w:rFonts w:ascii="Times New Roman" w:hAnsi="Times New Roman" w:cs="Times New Roman" w:hint="default"/>
                <w:lang w:bidi="ar"/>
              </w:rPr>
              <w:t>（实际到位资金</w:t>
            </w:r>
            <w:r>
              <w:rPr>
                <w:rStyle w:val="font61"/>
                <w:rFonts w:eastAsia="仿宋"/>
                <w:lang w:bidi="ar"/>
              </w:rPr>
              <w:t>/</w:t>
            </w:r>
            <w:r>
              <w:rPr>
                <w:rStyle w:val="font71"/>
                <w:rFonts w:ascii="Times New Roman" w:hAnsi="Times New Roman" w:cs="Times New Roman" w:hint="default"/>
                <w:lang w:bidi="ar"/>
              </w:rPr>
              <w:t>预算资金）</w:t>
            </w:r>
            <w:r>
              <w:rPr>
                <w:rStyle w:val="font61"/>
                <w:rFonts w:eastAsia="仿宋"/>
                <w:lang w:bidi="ar"/>
              </w:rPr>
              <w:t>×100%</w:t>
            </w:r>
            <w:r>
              <w:rPr>
                <w:rStyle w:val="font71"/>
                <w:rFonts w:ascii="Times New Roman" w:hAnsi="Times New Roman" w:cs="Times New Roman" w:hint="default"/>
                <w:lang w:bidi="ar"/>
              </w:rPr>
              <w:t>。</w:t>
            </w:r>
            <w:r>
              <w:rPr>
                <w:rStyle w:val="font61"/>
                <w:rFonts w:eastAsia="仿宋"/>
                <w:lang w:bidi="ar"/>
              </w:rPr>
              <w:br/>
            </w:r>
            <w:r>
              <w:rPr>
                <w:rStyle w:val="font71"/>
                <w:rFonts w:ascii="Times New Roman" w:hAnsi="Times New Roman" w:cs="Times New Roman" w:hint="default"/>
                <w:lang w:bidi="ar"/>
              </w:rPr>
              <w:t>实际到位资金：一定时期（本年度或项目期）内落实到具体项目的资金。</w:t>
            </w:r>
            <w:r>
              <w:rPr>
                <w:rStyle w:val="font61"/>
                <w:rFonts w:eastAsia="仿宋"/>
                <w:lang w:bidi="ar"/>
              </w:rPr>
              <w:br/>
            </w:r>
            <w:r>
              <w:rPr>
                <w:rStyle w:val="font71"/>
                <w:rFonts w:ascii="Times New Roman" w:hAnsi="Times New Roman" w:cs="Times New Roman" w:hint="default"/>
                <w:lang w:bidi="ar"/>
              </w:rPr>
              <w:t>预算资金：一定时期（本年度或项目期）内预算安排到具体项目的资金。</w:t>
            </w:r>
            <w:r>
              <w:rPr>
                <w:rStyle w:val="font61"/>
                <w:rFonts w:eastAsia="仿宋"/>
                <w:lang w:bidi="ar"/>
              </w:rPr>
              <w:br/>
            </w:r>
            <w:r>
              <w:rPr>
                <w:rStyle w:val="font71"/>
                <w:rFonts w:ascii="Times New Roman" w:hAnsi="Times New Roman" w:cs="Times New Roman" w:hint="default"/>
                <w:lang w:bidi="ar"/>
              </w:rPr>
              <w:t>评分规则：得分</w:t>
            </w:r>
            <w:r>
              <w:rPr>
                <w:rStyle w:val="font61"/>
                <w:rFonts w:eastAsia="仿宋"/>
                <w:lang w:bidi="ar"/>
              </w:rPr>
              <w:t>=</w:t>
            </w:r>
            <w:r>
              <w:rPr>
                <w:rStyle w:val="font71"/>
                <w:rFonts w:ascii="Times New Roman" w:hAnsi="Times New Roman" w:cs="Times New Roman" w:hint="default"/>
                <w:lang w:bidi="ar"/>
              </w:rPr>
              <w:t>资金到位率</w:t>
            </w:r>
            <w:r>
              <w:rPr>
                <w:rStyle w:val="font61"/>
                <w:rFonts w:eastAsia="仿宋"/>
                <w:lang w:bidi="ar"/>
              </w:rPr>
              <w:t>×</w:t>
            </w:r>
            <w:r>
              <w:rPr>
                <w:rStyle w:val="font71"/>
                <w:rFonts w:ascii="Times New Roman" w:hAnsi="Times New Roman" w:cs="Times New Roman" w:hint="default"/>
                <w:lang w:bidi="ar"/>
              </w:rPr>
              <w:t>分值。</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51"/>
                <w:rFonts w:eastAsia="等线"/>
                <w:lang w:bidi="ar"/>
              </w:rPr>
              <w:t>2025</w:t>
            </w:r>
            <w:r>
              <w:rPr>
                <w:rStyle w:val="font41"/>
                <w:rFonts w:ascii="Times New Roman" w:hAnsi="Times New Roman" w:cs="Times New Roman" w:hint="default"/>
                <w:lang w:bidi="ar"/>
              </w:rPr>
              <w:t>年市级现代蔬菜园艺高质量发展项目，计划安排</w:t>
            </w:r>
            <w:r>
              <w:rPr>
                <w:rStyle w:val="font51"/>
                <w:rFonts w:eastAsia="等线"/>
                <w:lang w:bidi="ar"/>
              </w:rPr>
              <w:t>4851.00</w:t>
            </w:r>
            <w:r>
              <w:rPr>
                <w:rStyle w:val="font41"/>
                <w:rFonts w:ascii="Times New Roman" w:hAnsi="Times New Roman" w:cs="Times New Roman" w:hint="default"/>
                <w:lang w:bidi="ar"/>
              </w:rPr>
              <w:t>万元，实际到位资金共计</w:t>
            </w:r>
            <w:r>
              <w:rPr>
                <w:rStyle w:val="font51"/>
                <w:rFonts w:eastAsia="等线"/>
                <w:lang w:bidi="ar"/>
              </w:rPr>
              <w:t>4851.00</w:t>
            </w:r>
            <w:r>
              <w:rPr>
                <w:rStyle w:val="font41"/>
                <w:rFonts w:ascii="Times New Roman" w:hAnsi="Times New Roman" w:cs="Times New Roman" w:hint="default"/>
                <w:lang w:bidi="ar"/>
              </w:rPr>
              <w:t>万元，预算到位率</w:t>
            </w:r>
            <w:r>
              <w:rPr>
                <w:rStyle w:val="font51"/>
                <w:rFonts w:eastAsia="等线"/>
                <w:lang w:bidi="ar"/>
              </w:rPr>
              <w:t>100%</w:t>
            </w:r>
            <w:r>
              <w:rPr>
                <w:rStyle w:val="font41"/>
                <w:rFonts w:ascii="Times New Roman" w:hAnsi="Times New Roman" w:cs="Times New Roman" w:hint="default"/>
                <w:lang w:bidi="ar"/>
              </w:rPr>
              <w:t>，得</w:t>
            </w:r>
            <w:r>
              <w:rPr>
                <w:rStyle w:val="font51"/>
                <w:rFonts w:eastAsia="等线"/>
                <w:lang w:bidi="ar"/>
              </w:rPr>
              <w:t>3</w:t>
            </w:r>
            <w:r>
              <w:rPr>
                <w:rStyle w:val="font41"/>
                <w:rFonts w:ascii="Times New Roman" w:hAnsi="Times New Roman" w:cs="Times New Roman" w:hint="default"/>
                <w:lang w:bidi="ar"/>
              </w:rPr>
              <w:t>分</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val="restart"/>
            <w:tcBorders>
              <w:top w:val="nil"/>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组织实施</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8</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制度执行有效性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有效</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6</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项目实施是否符合相关管理规定，用以反映和考核相关管理制度的有效执行情况。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项目是否制定合理的实施计划，实施过程中是否遵守相关法律法规和相关管理规定，并按照规定程序实施项目，进度是否符合计划（</w:t>
            </w:r>
            <w:r>
              <w:rPr>
                <w:rStyle w:val="font61"/>
                <w:rFonts w:eastAsia="仿宋"/>
                <w:lang w:bidi="ar"/>
              </w:rPr>
              <w:t>1.5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项目调整及支出调整手续是否完备，资产管理是否规范，是否开展监督检</w:t>
            </w:r>
            <w:r>
              <w:rPr>
                <w:rStyle w:val="font71"/>
                <w:rFonts w:ascii="Times New Roman" w:hAnsi="Times New Roman" w:cs="Times New Roman" w:hint="default"/>
                <w:lang w:bidi="ar"/>
              </w:rPr>
              <w:lastRenderedPageBreak/>
              <w:t>查、绩效监控和评价（</w:t>
            </w:r>
            <w:r>
              <w:rPr>
                <w:rStyle w:val="font61"/>
                <w:rFonts w:eastAsia="仿宋"/>
                <w:lang w:bidi="ar"/>
              </w:rPr>
              <w:t>1.5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③</w:t>
            </w:r>
            <w:r>
              <w:rPr>
                <w:rStyle w:val="font71"/>
                <w:rFonts w:ascii="Times New Roman" w:hAnsi="Times New Roman" w:cs="Times New Roman" w:hint="default"/>
                <w:lang w:bidi="ar"/>
              </w:rPr>
              <w:t>项目合同书、验收报告、技术鉴定、监督检查、绩效管理等资料是否齐全并及时归档（</w:t>
            </w:r>
            <w:r>
              <w:rPr>
                <w:rStyle w:val="font61"/>
                <w:rFonts w:eastAsia="仿宋"/>
                <w:lang w:bidi="ar"/>
              </w:rPr>
              <w:t>1.5</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④</w:t>
            </w:r>
            <w:r>
              <w:rPr>
                <w:rStyle w:val="font71"/>
                <w:rFonts w:ascii="Times New Roman" w:hAnsi="Times New Roman" w:cs="Times New Roman" w:hint="default"/>
                <w:lang w:bidi="ar"/>
              </w:rPr>
              <w:t>项目实施的组织机构、人员条件、场地设备、信息支撑等是否落实到位（</w:t>
            </w:r>
            <w:r>
              <w:rPr>
                <w:rStyle w:val="font61"/>
                <w:rFonts w:eastAsia="仿宋"/>
                <w:lang w:bidi="ar"/>
              </w:rPr>
              <w:t>1.5</w:t>
            </w:r>
            <w:r>
              <w:rPr>
                <w:rStyle w:val="font71"/>
                <w:rFonts w:ascii="Times New Roman" w:hAnsi="Times New Roman" w:cs="Times New Roman" w:hint="default"/>
                <w:lang w:bidi="ar"/>
              </w:rPr>
              <w:t>分）；</w:t>
            </w:r>
            <w:r>
              <w:rPr>
                <w:rStyle w:val="font61"/>
                <w:rFonts w:eastAsia="仿宋"/>
                <w:lang w:bidi="ar"/>
              </w:rPr>
              <w:br/>
            </w:r>
            <w:r>
              <w:rPr>
                <w:rStyle w:val="font71"/>
                <w:rFonts w:ascii="Times New Roman" w:hAnsi="Times New Roman" w:cs="Times New Roman" w:hint="default"/>
                <w:lang w:bidi="ar"/>
              </w:rPr>
              <w:t>以上四项符合得相应权重分，不相符则不得分。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lastRenderedPageBreak/>
              <w:t>4.5</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完成区级或市级验收项目</w:t>
            </w:r>
            <w:r>
              <w:rPr>
                <w:rStyle w:val="font51"/>
                <w:rFonts w:eastAsia="等线"/>
                <w:lang w:bidi="ar"/>
              </w:rPr>
              <w:t>19</w:t>
            </w:r>
            <w:r>
              <w:rPr>
                <w:rStyle w:val="font41"/>
                <w:rFonts w:ascii="Times New Roman" w:hAnsi="Times New Roman" w:cs="Times New Roman" w:hint="default"/>
                <w:lang w:bidi="ar"/>
              </w:rPr>
              <w:t>个，除市本级项目外，其</w:t>
            </w:r>
            <w:r>
              <w:rPr>
                <w:rStyle w:val="font41"/>
                <w:rFonts w:ascii="Times New Roman" w:hAnsi="Times New Roman" w:cs="Times New Roman" w:hint="default"/>
                <w:lang w:bidi="ar"/>
              </w:rPr>
              <w:lastRenderedPageBreak/>
              <w:t>他项目合同书、验收报告、技术鉴定、监督检查、绩效管理等资料暂未及时归档，扣</w:t>
            </w:r>
            <w:r>
              <w:rPr>
                <w:rStyle w:val="font51"/>
                <w:rFonts w:eastAsia="等线"/>
                <w:lang w:bidi="ar"/>
              </w:rPr>
              <w:t>1.5</w:t>
            </w:r>
            <w:r>
              <w:rPr>
                <w:rStyle w:val="font41"/>
                <w:rFonts w:ascii="Times New Roman" w:hAnsi="Times New Roman" w:cs="Times New Roman" w:hint="default"/>
                <w:lang w:bidi="ar"/>
              </w:rPr>
              <w:t>分，此项得</w:t>
            </w:r>
            <w:r>
              <w:rPr>
                <w:rStyle w:val="font51"/>
                <w:rFonts w:eastAsia="等线"/>
                <w:lang w:bidi="ar"/>
              </w:rPr>
              <w:t>4.5</w:t>
            </w:r>
            <w:r>
              <w:rPr>
                <w:rStyle w:val="font41"/>
                <w:rFonts w:ascii="Times New Roman" w:hAnsi="Times New Roman" w:cs="Times New Roman" w:hint="default"/>
                <w:lang w:bidi="ar"/>
              </w:rPr>
              <w:t>分</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nil"/>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管理制度健全性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健全</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项目实施单位的财务和业务管理制度是否健全，用以反映和考核财务和业务管理制度对项目顺利实施的保障情况。</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①</w:t>
            </w:r>
            <w:r>
              <w:rPr>
                <w:rStyle w:val="font71"/>
                <w:rFonts w:ascii="Times New Roman" w:hAnsi="Times New Roman" w:cs="Times New Roman" w:hint="default"/>
                <w:lang w:bidi="ar"/>
              </w:rPr>
              <w:t>是否已制定或具有相应的财务和业务管理等制度（</w:t>
            </w:r>
            <w:r>
              <w:rPr>
                <w:rStyle w:val="font61"/>
                <w:rFonts w:eastAsia="仿宋"/>
                <w:lang w:bidi="ar"/>
              </w:rPr>
              <w:t>1</w:t>
            </w:r>
            <w:r>
              <w:rPr>
                <w:rStyle w:val="font71"/>
                <w:rFonts w:ascii="Times New Roman" w:hAnsi="Times New Roman" w:cs="Times New Roman" w:hint="default"/>
                <w:lang w:bidi="ar"/>
              </w:rPr>
              <w:t>分）；</w:t>
            </w:r>
            <w:r>
              <w:rPr>
                <w:rStyle w:val="font71"/>
                <w:rFonts w:ascii="Times New Roman" w:hAnsi="Times New Roman" w:cs="Times New Roman" w:hint="default"/>
                <w:lang w:bidi="ar"/>
              </w:rPr>
              <w:t>②</w:t>
            </w:r>
            <w:r>
              <w:rPr>
                <w:rStyle w:val="font71"/>
                <w:rFonts w:ascii="Times New Roman" w:hAnsi="Times New Roman" w:cs="Times New Roman" w:hint="default"/>
                <w:lang w:bidi="ar"/>
              </w:rPr>
              <w:t>财务和业务管理等制度是否合法、合规、完整（</w:t>
            </w:r>
            <w:r>
              <w:rPr>
                <w:rStyle w:val="font61"/>
                <w:rFonts w:eastAsia="仿宋"/>
                <w:lang w:bidi="ar"/>
              </w:rPr>
              <w:t>1</w:t>
            </w:r>
            <w:r>
              <w:rPr>
                <w:rStyle w:val="font71"/>
                <w:rFonts w:ascii="Times New Roman" w:hAnsi="Times New Roman" w:cs="Times New Roman" w:hint="default"/>
                <w:lang w:bidi="ar"/>
              </w:rPr>
              <w:t>分）。</w:t>
            </w:r>
            <w:r>
              <w:rPr>
                <w:rStyle w:val="font61"/>
                <w:rFonts w:eastAsia="仿宋"/>
                <w:lang w:bidi="ar"/>
              </w:rPr>
              <w:br/>
            </w:r>
            <w:r>
              <w:rPr>
                <w:rStyle w:val="font71"/>
                <w:rFonts w:ascii="Times New Roman" w:hAnsi="Times New Roman" w:cs="Times New Roman" w:hint="default"/>
                <w:lang w:bidi="ar"/>
              </w:rPr>
              <w:t>以上两项符合得相应权重分，不相符则不得分。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健全</w:t>
            </w:r>
          </w:p>
        </w:tc>
      </w:tr>
      <w:tr w:rsidR="009766F6">
        <w:trPr>
          <w:jc w:val="center"/>
        </w:trPr>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产出</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36</w:t>
            </w:r>
            <w:r>
              <w:rPr>
                <w:rStyle w:val="font41"/>
                <w:rFonts w:ascii="Times New Roman" w:hAnsi="Times New Roman" w:cs="Times New Roman" w:hint="default"/>
                <w:lang w:bidi="ar"/>
              </w:rPr>
              <w:t>分）</w:t>
            </w:r>
          </w:p>
        </w:tc>
        <w:tc>
          <w:tcPr>
            <w:tcW w:w="625" w:type="dxa"/>
            <w:vMerge w:val="restart"/>
            <w:tcBorders>
              <w:top w:val="single" w:sz="4" w:space="0" w:color="000000"/>
              <w:left w:val="single" w:sz="4" w:space="0" w:color="000000"/>
              <w:bottom w:val="nil"/>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产出数量</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17</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新建标准化菜地个数</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6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新建标准化菜地</w:t>
            </w:r>
            <w:r>
              <w:rPr>
                <w:rStyle w:val="font51"/>
                <w:rFonts w:eastAsia="等线"/>
                <w:lang w:bidi="ar"/>
              </w:rPr>
              <w:t>2</w:t>
            </w:r>
            <w:r>
              <w:rPr>
                <w:rStyle w:val="font41"/>
                <w:rFonts w:ascii="Times New Roman" w:hAnsi="Times New Roman" w:cs="Times New Roman" w:hint="default"/>
                <w:lang w:bidi="ar"/>
              </w:rPr>
              <w:t>个</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61"/>
                <w:rFonts w:eastAsia="等线"/>
                <w:lang w:bidi="ar"/>
              </w:rPr>
              <w:t>≥2</w:t>
            </w:r>
            <w:r>
              <w:rPr>
                <w:rStyle w:val="font71"/>
                <w:rFonts w:ascii="Times New Roman" w:hAnsi="Times New Roman" w:cs="Times New Roman" w:hint="default"/>
                <w:lang w:bidi="ar"/>
              </w:rPr>
              <w:t>得</w:t>
            </w:r>
            <w:r>
              <w:rPr>
                <w:rStyle w:val="font61"/>
                <w:rFonts w:eastAsia="等线"/>
                <w:lang w:bidi="ar"/>
              </w:rPr>
              <w:t>2</w:t>
            </w:r>
            <w:r>
              <w:rPr>
                <w:rStyle w:val="font71"/>
                <w:rFonts w:ascii="Times New Roman" w:hAnsi="Times New Roman" w:cs="Times New Roman" w:hint="default"/>
                <w:lang w:bidi="ar"/>
              </w:rPr>
              <w:t>分，按完成比例得分。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江宁区</w:t>
            </w:r>
            <w:r>
              <w:rPr>
                <w:rStyle w:val="font51"/>
                <w:rFonts w:eastAsia="等线"/>
                <w:lang w:bidi="ar"/>
              </w:rPr>
              <w:t>1</w:t>
            </w:r>
            <w:r>
              <w:rPr>
                <w:rStyle w:val="font41"/>
                <w:rFonts w:ascii="Times New Roman" w:hAnsi="Times New Roman" w:cs="Times New Roman" w:hint="default"/>
                <w:lang w:bidi="ar"/>
              </w:rPr>
              <w:t>个、六合区</w:t>
            </w:r>
            <w:r>
              <w:rPr>
                <w:rStyle w:val="font51"/>
                <w:rFonts w:eastAsia="等线"/>
                <w:lang w:bidi="ar"/>
              </w:rPr>
              <w:t>1</w:t>
            </w:r>
            <w:r>
              <w:rPr>
                <w:rStyle w:val="font41"/>
                <w:rFonts w:ascii="Times New Roman" w:hAnsi="Times New Roman" w:cs="Times New Roman" w:hint="default"/>
                <w:lang w:bidi="ar"/>
              </w:rPr>
              <w:t>个</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新建设施蔬菜园艺项目个数</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≥63</w:t>
            </w:r>
          </w:p>
        </w:tc>
        <w:tc>
          <w:tcPr>
            <w:tcW w:w="6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新建设施蔬菜园艺项目</w:t>
            </w:r>
            <w:r>
              <w:rPr>
                <w:rStyle w:val="font51"/>
                <w:rFonts w:eastAsia="等线"/>
                <w:lang w:bidi="ar"/>
              </w:rPr>
              <w:t>63</w:t>
            </w:r>
            <w:r>
              <w:rPr>
                <w:rStyle w:val="font41"/>
                <w:rFonts w:ascii="Times New Roman" w:hAnsi="Times New Roman" w:cs="Times New Roman" w:hint="default"/>
                <w:lang w:bidi="ar"/>
              </w:rPr>
              <w:t>个</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61"/>
                <w:rFonts w:eastAsia="等线"/>
                <w:lang w:bidi="ar"/>
              </w:rPr>
              <w:t>≥63</w:t>
            </w:r>
            <w:r>
              <w:rPr>
                <w:rStyle w:val="font71"/>
                <w:rFonts w:ascii="Times New Roman" w:hAnsi="Times New Roman" w:cs="Times New Roman" w:hint="default"/>
                <w:lang w:bidi="ar"/>
              </w:rPr>
              <w:t>得</w:t>
            </w:r>
            <w:r>
              <w:rPr>
                <w:rStyle w:val="font61"/>
                <w:rFonts w:eastAsia="等线"/>
                <w:lang w:bidi="ar"/>
              </w:rPr>
              <w:t>3</w:t>
            </w:r>
            <w:r>
              <w:rPr>
                <w:rStyle w:val="font71"/>
                <w:rFonts w:ascii="Times New Roman" w:hAnsi="Times New Roman" w:cs="Times New Roman" w:hint="default"/>
                <w:lang w:bidi="ar"/>
              </w:rPr>
              <w:t>分，按完成比例得分。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新建设施蔬菜园艺项目</w:t>
            </w:r>
            <w:r>
              <w:rPr>
                <w:rStyle w:val="font51"/>
                <w:rFonts w:eastAsia="等线"/>
                <w:lang w:bidi="ar"/>
              </w:rPr>
              <w:t>65</w:t>
            </w:r>
            <w:r>
              <w:rPr>
                <w:rStyle w:val="font41"/>
                <w:rFonts w:ascii="Times New Roman" w:hAnsi="Times New Roman" w:cs="Times New Roman" w:hint="default"/>
                <w:lang w:bidi="ar"/>
              </w:rPr>
              <w:t>个</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绿色防控试验示范与推广项目个数</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≥13</w:t>
            </w:r>
          </w:p>
        </w:tc>
        <w:tc>
          <w:tcPr>
            <w:tcW w:w="6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绿色防控试验示范与推广项目</w:t>
            </w:r>
            <w:r>
              <w:rPr>
                <w:rStyle w:val="font51"/>
                <w:rFonts w:eastAsia="等线"/>
                <w:lang w:bidi="ar"/>
              </w:rPr>
              <w:t>13</w:t>
            </w:r>
            <w:r>
              <w:rPr>
                <w:rStyle w:val="font41"/>
                <w:rFonts w:ascii="Times New Roman" w:hAnsi="Times New Roman" w:cs="Times New Roman" w:hint="default"/>
                <w:lang w:bidi="ar"/>
              </w:rPr>
              <w:t>个</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61"/>
                <w:rFonts w:eastAsia="等线"/>
                <w:lang w:bidi="ar"/>
              </w:rPr>
              <w:t>≥13</w:t>
            </w:r>
            <w:r>
              <w:rPr>
                <w:rStyle w:val="font71"/>
                <w:rFonts w:ascii="Times New Roman" w:hAnsi="Times New Roman" w:cs="Times New Roman" w:hint="default"/>
                <w:lang w:bidi="ar"/>
              </w:rPr>
              <w:t>得</w:t>
            </w:r>
            <w:r>
              <w:rPr>
                <w:rStyle w:val="font61"/>
                <w:rFonts w:eastAsia="等线"/>
                <w:lang w:bidi="ar"/>
              </w:rPr>
              <w:t>3</w:t>
            </w:r>
            <w:r>
              <w:rPr>
                <w:rStyle w:val="font71"/>
                <w:rFonts w:ascii="Times New Roman" w:hAnsi="Times New Roman" w:cs="Times New Roman" w:hint="default"/>
                <w:lang w:bidi="ar"/>
              </w:rPr>
              <w:t>分，按完成比例得分。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新建绿色防控试验示范与推广项目</w:t>
            </w:r>
            <w:r>
              <w:rPr>
                <w:rStyle w:val="font51"/>
                <w:rFonts w:eastAsia="等线"/>
                <w:lang w:bidi="ar"/>
              </w:rPr>
              <w:t>19</w:t>
            </w:r>
            <w:r>
              <w:rPr>
                <w:rStyle w:val="font41"/>
                <w:rFonts w:ascii="Times New Roman" w:hAnsi="Times New Roman" w:cs="Times New Roman" w:hint="default"/>
                <w:lang w:bidi="ar"/>
              </w:rPr>
              <w:t>个</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绿色防控实施面积</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51"/>
                <w:rFonts w:eastAsia="等线"/>
                <w:lang w:bidi="ar"/>
              </w:rPr>
              <w:t>≥900</w:t>
            </w:r>
            <w:r>
              <w:rPr>
                <w:rStyle w:val="font41"/>
                <w:rFonts w:ascii="Times New Roman" w:hAnsi="Times New Roman" w:cs="Times New Roman" w:hint="default"/>
                <w:lang w:bidi="ar"/>
              </w:rPr>
              <w:t>亩</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4</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绿色防控实施面积</w:t>
            </w:r>
            <w:r>
              <w:rPr>
                <w:rStyle w:val="font51"/>
                <w:rFonts w:eastAsia="等线"/>
                <w:lang w:bidi="ar"/>
              </w:rPr>
              <w:t>≥900</w:t>
            </w:r>
            <w:r>
              <w:rPr>
                <w:rStyle w:val="font41"/>
                <w:rFonts w:ascii="Times New Roman" w:hAnsi="Times New Roman" w:cs="Times New Roman" w:hint="default"/>
                <w:lang w:bidi="ar"/>
              </w:rPr>
              <w:t>亩</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61"/>
                <w:rFonts w:eastAsia="等线"/>
                <w:lang w:bidi="ar"/>
              </w:rPr>
              <w:t>≥900</w:t>
            </w:r>
            <w:r>
              <w:rPr>
                <w:rStyle w:val="font71"/>
                <w:rFonts w:ascii="Times New Roman" w:hAnsi="Times New Roman" w:cs="Times New Roman" w:hint="default"/>
                <w:lang w:bidi="ar"/>
              </w:rPr>
              <w:t>亩得</w:t>
            </w:r>
            <w:r>
              <w:rPr>
                <w:rStyle w:val="font61"/>
                <w:rFonts w:eastAsia="等线"/>
                <w:lang w:bidi="ar"/>
              </w:rPr>
              <w:t>4</w:t>
            </w:r>
            <w:r>
              <w:rPr>
                <w:rStyle w:val="font71"/>
                <w:rFonts w:ascii="Times New Roman" w:hAnsi="Times New Roman" w:cs="Times New Roman" w:hint="default"/>
                <w:lang w:bidi="ar"/>
              </w:rPr>
              <w:t>分，按完成比例得分。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4</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绿色防控实施面积</w:t>
            </w:r>
            <w:r>
              <w:rPr>
                <w:rStyle w:val="font51"/>
                <w:rFonts w:eastAsia="等线"/>
                <w:lang w:bidi="ar"/>
              </w:rPr>
              <w:t>3857.16</w:t>
            </w:r>
            <w:r>
              <w:rPr>
                <w:rStyle w:val="font41"/>
                <w:rFonts w:ascii="Times New Roman" w:hAnsi="Times New Roman" w:cs="Times New Roman" w:hint="default"/>
                <w:lang w:bidi="ar"/>
              </w:rPr>
              <w:t>亩</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nil"/>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新增设施蔬菜园艺项目面积</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51"/>
                <w:rFonts w:eastAsia="等线"/>
                <w:lang w:bidi="ar"/>
              </w:rPr>
              <w:t>≥4000</w:t>
            </w:r>
            <w:r>
              <w:rPr>
                <w:rStyle w:val="font41"/>
                <w:rFonts w:ascii="Times New Roman" w:hAnsi="Times New Roman" w:cs="Times New Roman" w:hint="default"/>
                <w:lang w:bidi="ar"/>
              </w:rPr>
              <w:t>亩</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新建设施蔬菜园艺项目</w:t>
            </w:r>
            <w:r>
              <w:rPr>
                <w:rStyle w:val="font51"/>
                <w:rFonts w:eastAsia="等线"/>
                <w:lang w:bidi="ar"/>
              </w:rPr>
              <w:t>4000</w:t>
            </w:r>
            <w:r>
              <w:rPr>
                <w:rStyle w:val="font41"/>
                <w:rFonts w:ascii="Times New Roman" w:hAnsi="Times New Roman" w:cs="Times New Roman" w:hint="default"/>
                <w:lang w:bidi="ar"/>
              </w:rPr>
              <w:t>亩，</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61"/>
                <w:rFonts w:eastAsia="等线"/>
                <w:lang w:bidi="ar"/>
              </w:rPr>
              <w:t>≥4000</w:t>
            </w:r>
            <w:r>
              <w:rPr>
                <w:rStyle w:val="font71"/>
                <w:rFonts w:ascii="Times New Roman" w:hAnsi="Times New Roman" w:cs="Times New Roman" w:hint="default"/>
                <w:lang w:bidi="ar"/>
              </w:rPr>
              <w:t>亩得</w:t>
            </w:r>
            <w:r>
              <w:rPr>
                <w:rStyle w:val="font61"/>
                <w:rFonts w:eastAsia="等线"/>
                <w:lang w:bidi="ar"/>
              </w:rPr>
              <w:t>5</w:t>
            </w:r>
            <w:r>
              <w:rPr>
                <w:rStyle w:val="font71"/>
                <w:rFonts w:ascii="Times New Roman" w:hAnsi="Times New Roman" w:cs="Times New Roman" w:hint="default"/>
                <w:lang w:bidi="ar"/>
              </w:rPr>
              <w:t>分，按完成比例得分。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新建设施蔬菜园艺项目</w:t>
            </w:r>
            <w:r>
              <w:rPr>
                <w:rStyle w:val="font51"/>
                <w:rFonts w:eastAsia="等线"/>
                <w:lang w:bidi="ar"/>
              </w:rPr>
              <w:t>4335</w:t>
            </w:r>
            <w:r>
              <w:rPr>
                <w:rStyle w:val="font41"/>
                <w:rFonts w:ascii="Times New Roman" w:hAnsi="Times New Roman" w:cs="Times New Roman" w:hint="default"/>
                <w:lang w:bidi="ar"/>
              </w:rPr>
              <w:t>亩</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产出质量</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9</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主要病虫害绿色防控综合防治效果</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≥95%</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主要病虫害绿色防控综合防治效果率</w:t>
            </w:r>
            <w:r>
              <w:rPr>
                <w:rStyle w:val="font51"/>
                <w:rFonts w:eastAsia="等线"/>
                <w:lang w:bidi="ar"/>
              </w:rPr>
              <w:t>≥95%</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达目标值得</w:t>
            </w:r>
            <w:r>
              <w:rPr>
                <w:rStyle w:val="font61"/>
                <w:rFonts w:eastAsia="仿宋"/>
                <w:lang w:bidi="ar"/>
              </w:rPr>
              <w:t>3</w:t>
            </w:r>
            <w:r>
              <w:rPr>
                <w:rStyle w:val="font71"/>
                <w:rFonts w:ascii="Times New Roman" w:hAnsi="Times New Roman" w:cs="Times New Roman" w:hint="default"/>
                <w:lang w:bidi="ar"/>
              </w:rPr>
              <w:t>分，每低于</w:t>
            </w:r>
            <w:r>
              <w:rPr>
                <w:rStyle w:val="font61"/>
                <w:rFonts w:eastAsia="仿宋"/>
                <w:lang w:bidi="ar"/>
              </w:rPr>
              <w:t>1%</w:t>
            </w:r>
            <w:r>
              <w:rPr>
                <w:rStyle w:val="font71"/>
                <w:rFonts w:ascii="Times New Roman" w:hAnsi="Times New Roman" w:cs="Times New Roman" w:hint="default"/>
                <w:lang w:bidi="ar"/>
              </w:rPr>
              <w:t>，扣</w:t>
            </w:r>
            <w:r>
              <w:rPr>
                <w:rStyle w:val="font61"/>
                <w:rFonts w:eastAsia="仿宋"/>
                <w:lang w:bidi="ar"/>
              </w:rPr>
              <w:t>0.5</w:t>
            </w:r>
            <w:r>
              <w:rPr>
                <w:rStyle w:val="font71"/>
                <w:rFonts w:ascii="Times New Roman" w:hAnsi="Times New Roman" w:cs="Times New Roman" w:hint="default"/>
                <w:lang w:bidi="ar"/>
              </w:rPr>
              <w:t>分，扣完为止。</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病虫害绿色防控综合防治效果</w:t>
            </w:r>
            <w:r>
              <w:rPr>
                <w:rStyle w:val="font51"/>
                <w:rFonts w:eastAsia="等线"/>
                <w:lang w:bidi="ar"/>
              </w:rPr>
              <w:t>≥95%</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项目建成后尽快投产</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有生产主体</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有生产主体</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全部确定生产主体得</w:t>
            </w:r>
            <w:r>
              <w:rPr>
                <w:rStyle w:val="font61"/>
                <w:rFonts w:eastAsia="仿宋"/>
                <w:lang w:bidi="ar"/>
              </w:rPr>
              <w:t>3</w:t>
            </w:r>
            <w:r>
              <w:rPr>
                <w:rStyle w:val="font71"/>
                <w:rFonts w:ascii="Times New Roman" w:hAnsi="Times New Roman" w:cs="Times New Roman" w:hint="default"/>
                <w:lang w:bidi="ar"/>
              </w:rPr>
              <w:t>分，每少</w:t>
            </w:r>
            <w:r>
              <w:rPr>
                <w:rStyle w:val="font61"/>
                <w:rFonts w:eastAsia="仿宋"/>
                <w:lang w:bidi="ar"/>
              </w:rPr>
              <w:t>1</w:t>
            </w:r>
            <w:r>
              <w:rPr>
                <w:rStyle w:val="font71"/>
                <w:rFonts w:ascii="Times New Roman" w:hAnsi="Times New Roman" w:cs="Times New Roman" w:hint="default"/>
                <w:lang w:bidi="ar"/>
              </w:rPr>
              <w:t>个按完工蔬菜园艺项目占比扣分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项目建成后全部确认生产主体，结合收回的</w:t>
            </w:r>
            <w:r>
              <w:rPr>
                <w:rStyle w:val="font51"/>
                <w:rFonts w:eastAsia="等线"/>
                <w:lang w:bidi="ar"/>
              </w:rPr>
              <w:t>43</w:t>
            </w:r>
            <w:r>
              <w:rPr>
                <w:rStyle w:val="font41"/>
                <w:rFonts w:ascii="Times New Roman" w:hAnsi="Times New Roman" w:cs="Times New Roman" w:hint="default"/>
                <w:lang w:bidi="ar"/>
              </w:rPr>
              <w:t>份调查问卷全部具备长期运营能力</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新建标准化菜地生产条件改善情况</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改善</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新建标准化菜地生产条件大幅改善</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达目标值得</w:t>
            </w:r>
            <w:r>
              <w:rPr>
                <w:rStyle w:val="font61"/>
                <w:rFonts w:eastAsia="仿宋"/>
                <w:lang w:bidi="ar"/>
              </w:rPr>
              <w:t>3</w:t>
            </w:r>
            <w:r>
              <w:rPr>
                <w:rStyle w:val="font71"/>
                <w:rFonts w:ascii="Times New Roman" w:hAnsi="Times New Roman" w:cs="Times New Roman" w:hint="default"/>
                <w:lang w:bidi="ar"/>
              </w:rPr>
              <w:t>分，否则不得分。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3</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改善</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产出时效</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10</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项目按时完成率</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100%</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项目建成率</w:t>
            </w:r>
            <w:r>
              <w:rPr>
                <w:rStyle w:val="font51"/>
                <w:rFonts w:eastAsia="等线"/>
                <w:lang w:bidi="ar"/>
              </w:rPr>
              <w:t>≥100%</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完成及时率</w:t>
            </w:r>
            <w:r>
              <w:rPr>
                <w:rStyle w:val="font61"/>
                <w:rFonts w:eastAsia="仿宋"/>
                <w:lang w:bidi="ar"/>
              </w:rPr>
              <w:t>=</w:t>
            </w:r>
            <w:r>
              <w:rPr>
                <w:rStyle w:val="font71"/>
                <w:rFonts w:ascii="Times New Roman" w:hAnsi="Times New Roman" w:cs="Times New Roman" w:hint="default"/>
                <w:lang w:bidi="ar"/>
              </w:rPr>
              <w:t>（及时完成项目数量</w:t>
            </w:r>
            <w:r>
              <w:rPr>
                <w:rStyle w:val="font61"/>
                <w:rFonts w:eastAsia="仿宋"/>
                <w:lang w:bidi="ar"/>
              </w:rPr>
              <w:t>/</w:t>
            </w:r>
            <w:r>
              <w:rPr>
                <w:rStyle w:val="font71"/>
                <w:rFonts w:ascii="Times New Roman" w:hAnsi="Times New Roman" w:cs="Times New Roman" w:hint="default"/>
                <w:lang w:bidi="ar"/>
              </w:rPr>
              <w:t>实施项目数量）</w:t>
            </w:r>
            <w:r>
              <w:rPr>
                <w:rStyle w:val="font61"/>
                <w:rFonts w:eastAsia="仿宋"/>
                <w:lang w:bidi="ar"/>
              </w:rPr>
              <w:t>×100%</w:t>
            </w:r>
            <w:r>
              <w:rPr>
                <w:rStyle w:val="font71"/>
                <w:rFonts w:ascii="Times New Roman" w:hAnsi="Times New Roman" w:cs="Times New Roman" w:hint="default"/>
                <w:lang w:bidi="ar"/>
              </w:rPr>
              <w:t>。项目按时完成率达</w:t>
            </w:r>
            <w:r>
              <w:rPr>
                <w:rStyle w:val="font61"/>
                <w:rFonts w:eastAsia="仿宋"/>
                <w:lang w:bidi="ar"/>
              </w:rPr>
              <w:t>100%</w:t>
            </w:r>
            <w:r>
              <w:rPr>
                <w:rStyle w:val="font71"/>
                <w:rFonts w:ascii="Times New Roman" w:hAnsi="Times New Roman" w:cs="Times New Roman" w:hint="default"/>
                <w:lang w:bidi="ar"/>
              </w:rPr>
              <w:t>得满分；不足</w:t>
            </w:r>
            <w:r>
              <w:rPr>
                <w:rStyle w:val="font61"/>
                <w:rFonts w:eastAsia="仿宋"/>
                <w:lang w:bidi="ar"/>
              </w:rPr>
              <w:t>100%</w:t>
            </w:r>
            <w:r>
              <w:rPr>
                <w:rStyle w:val="font71"/>
                <w:rFonts w:ascii="Times New Roman" w:hAnsi="Times New Roman" w:cs="Times New Roman" w:hint="default"/>
                <w:lang w:bidi="ar"/>
              </w:rPr>
              <w:t>，按比例得分。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4.18</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实施项目数量</w:t>
            </w:r>
            <w:r>
              <w:rPr>
                <w:rStyle w:val="font51"/>
                <w:rFonts w:eastAsia="等线"/>
                <w:lang w:bidi="ar"/>
              </w:rPr>
              <w:t>98</w:t>
            </w:r>
            <w:r>
              <w:rPr>
                <w:rStyle w:val="font41"/>
                <w:rFonts w:ascii="Times New Roman" w:hAnsi="Times New Roman" w:cs="Times New Roman" w:hint="default"/>
                <w:lang w:bidi="ar"/>
              </w:rPr>
              <w:t>个，完成数量</w:t>
            </w:r>
            <w:r>
              <w:rPr>
                <w:rStyle w:val="font51"/>
                <w:rFonts w:eastAsia="等线"/>
                <w:lang w:bidi="ar"/>
              </w:rPr>
              <w:t>82</w:t>
            </w:r>
            <w:r>
              <w:rPr>
                <w:rStyle w:val="font41"/>
                <w:rFonts w:ascii="Times New Roman" w:hAnsi="Times New Roman" w:cs="Times New Roman" w:hint="default"/>
                <w:lang w:bidi="ar"/>
              </w:rPr>
              <w:t>个，完成及时率</w:t>
            </w:r>
            <w:r>
              <w:rPr>
                <w:rStyle w:val="font51"/>
                <w:rFonts w:eastAsia="等线"/>
                <w:lang w:bidi="ar"/>
              </w:rPr>
              <w:t>83.67%</w:t>
            </w:r>
            <w:r>
              <w:rPr>
                <w:rStyle w:val="font41"/>
                <w:rFonts w:ascii="Times New Roman" w:hAnsi="Times New Roman" w:cs="Times New Roman" w:hint="default"/>
                <w:lang w:bidi="ar"/>
              </w:rPr>
              <w:t>，得</w:t>
            </w:r>
            <w:r>
              <w:rPr>
                <w:rStyle w:val="font51"/>
                <w:rFonts w:eastAsia="等线"/>
                <w:lang w:bidi="ar"/>
              </w:rPr>
              <w:t>5×83.67%=4.18</w:t>
            </w:r>
            <w:r>
              <w:rPr>
                <w:rStyle w:val="font41"/>
                <w:rFonts w:ascii="Times New Roman" w:hAnsi="Times New Roman" w:cs="Times New Roman" w:hint="default"/>
                <w:lang w:bidi="ar"/>
              </w:rPr>
              <w:t>分</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验收及时率</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100%</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在规定期限内完成项目验收，用以反映和考核项目验收工作的准备及时程度。</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验收及时率</w:t>
            </w:r>
            <w:r>
              <w:rPr>
                <w:rStyle w:val="font61"/>
                <w:rFonts w:eastAsia="仿宋"/>
                <w:lang w:bidi="ar"/>
              </w:rPr>
              <w:t>=</w:t>
            </w:r>
            <w:r>
              <w:rPr>
                <w:rStyle w:val="font71"/>
                <w:rFonts w:ascii="Times New Roman" w:hAnsi="Times New Roman" w:cs="Times New Roman" w:hint="default"/>
                <w:lang w:bidi="ar"/>
              </w:rPr>
              <w:t>（及时完成区级或市级验收项目数量</w:t>
            </w:r>
            <w:r>
              <w:rPr>
                <w:rStyle w:val="font61"/>
                <w:rFonts w:eastAsia="仿宋"/>
                <w:lang w:bidi="ar"/>
              </w:rPr>
              <w:t>/</w:t>
            </w:r>
            <w:r>
              <w:rPr>
                <w:rStyle w:val="font101"/>
                <w:rFonts w:ascii="Times New Roman" w:hAnsi="Times New Roman" w:cs="Times New Roman" w:hint="default"/>
                <w:lang w:bidi="ar"/>
              </w:rPr>
              <w:t>已完成项目数量）</w:t>
            </w:r>
            <w:r>
              <w:rPr>
                <w:rStyle w:val="font61"/>
                <w:rFonts w:eastAsia="仿宋"/>
                <w:lang w:bidi="ar"/>
              </w:rPr>
              <w:t>×100%</w:t>
            </w:r>
            <w:r>
              <w:rPr>
                <w:rStyle w:val="font71"/>
                <w:rFonts w:ascii="Times New Roman" w:hAnsi="Times New Roman" w:cs="Times New Roman" w:hint="default"/>
                <w:lang w:bidi="ar"/>
              </w:rPr>
              <w:t>，完成</w:t>
            </w:r>
            <w:r>
              <w:rPr>
                <w:rStyle w:val="font61"/>
                <w:rFonts w:eastAsia="仿宋"/>
                <w:lang w:bidi="ar"/>
              </w:rPr>
              <w:t>30%&gt;A≥10%</w:t>
            </w:r>
            <w:r>
              <w:rPr>
                <w:rStyle w:val="font71"/>
                <w:rFonts w:ascii="Times New Roman" w:hAnsi="Times New Roman" w:cs="Times New Roman" w:hint="default"/>
                <w:lang w:bidi="ar"/>
              </w:rPr>
              <w:t>得</w:t>
            </w:r>
            <w:r>
              <w:rPr>
                <w:rStyle w:val="font61"/>
                <w:rFonts w:eastAsia="仿宋"/>
                <w:lang w:bidi="ar"/>
              </w:rPr>
              <w:t>2.5</w:t>
            </w:r>
            <w:r>
              <w:rPr>
                <w:rStyle w:val="font71"/>
                <w:rFonts w:ascii="Times New Roman" w:hAnsi="Times New Roman" w:cs="Times New Roman" w:hint="default"/>
                <w:lang w:bidi="ar"/>
              </w:rPr>
              <w:t>分，完成</w:t>
            </w:r>
            <w:r>
              <w:rPr>
                <w:rStyle w:val="font61"/>
                <w:rFonts w:eastAsia="仿宋"/>
                <w:lang w:bidi="ar"/>
              </w:rPr>
              <w:t>50%&gt;A≥30%</w:t>
            </w:r>
            <w:r>
              <w:rPr>
                <w:rStyle w:val="font71"/>
                <w:rFonts w:ascii="Times New Roman" w:hAnsi="Times New Roman" w:cs="Times New Roman" w:hint="default"/>
                <w:lang w:bidi="ar"/>
              </w:rPr>
              <w:t>得</w:t>
            </w:r>
            <w:r>
              <w:rPr>
                <w:rStyle w:val="font61"/>
                <w:rFonts w:eastAsia="仿宋"/>
                <w:lang w:bidi="ar"/>
              </w:rPr>
              <w:t>3.5</w:t>
            </w:r>
            <w:r>
              <w:rPr>
                <w:rStyle w:val="font71"/>
                <w:rFonts w:ascii="Times New Roman" w:hAnsi="Times New Roman" w:cs="Times New Roman" w:hint="default"/>
                <w:lang w:bidi="ar"/>
              </w:rPr>
              <w:t>分，完成</w:t>
            </w:r>
            <w:r>
              <w:rPr>
                <w:rStyle w:val="font61"/>
                <w:rFonts w:eastAsia="仿宋"/>
                <w:lang w:bidi="ar"/>
              </w:rPr>
              <w:t>70%&gt;A≥50%</w:t>
            </w:r>
            <w:r>
              <w:rPr>
                <w:rStyle w:val="font71"/>
                <w:rFonts w:ascii="Times New Roman" w:hAnsi="Times New Roman" w:cs="Times New Roman" w:hint="default"/>
                <w:lang w:bidi="ar"/>
              </w:rPr>
              <w:t>得</w:t>
            </w:r>
            <w:r>
              <w:rPr>
                <w:rStyle w:val="font61"/>
                <w:rFonts w:eastAsia="仿宋"/>
                <w:lang w:bidi="ar"/>
              </w:rPr>
              <w:t>4.5</w:t>
            </w:r>
            <w:r>
              <w:rPr>
                <w:rStyle w:val="font71"/>
                <w:rFonts w:ascii="Times New Roman" w:hAnsi="Times New Roman" w:cs="Times New Roman" w:hint="default"/>
                <w:lang w:bidi="ar"/>
              </w:rPr>
              <w:t>分，完成</w:t>
            </w:r>
            <w:r>
              <w:rPr>
                <w:rStyle w:val="font61"/>
                <w:rFonts w:eastAsia="仿宋"/>
                <w:lang w:bidi="ar"/>
              </w:rPr>
              <w:t>90%&gt;A≥70%</w:t>
            </w:r>
            <w:r>
              <w:rPr>
                <w:rStyle w:val="font71"/>
                <w:rFonts w:ascii="Times New Roman" w:hAnsi="Times New Roman" w:cs="Times New Roman" w:hint="default"/>
                <w:lang w:bidi="ar"/>
              </w:rPr>
              <w:t>得</w:t>
            </w:r>
            <w:r>
              <w:rPr>
                <w:rStyle w:val="font61"/>
                <w:rFonts w:eastAsia="仿宋"/>
                <w:lang w:bidi="ar"/>
              </w:rPr>
              <w:t>5</w:t>
            </w:r>
            <w:r>
              <w:rPr>
                <w:rStyle w:val="font71"/>
                <w:rFonts w:ascii="Times New Roman" w:hAnsi="Times New Roman" w:cs="Times New Roman" w:hint="default"/>
                <w:lang w:bidi="ar"/>
              </w:rPr>
              <w:t>分，完成</w:t>
            </w:r>
            <w:r>
              <w:rPr>
                <w:rStyle w:val="font61"/>
                <w:rFonts w:eastAsia="仿宋"/>
                <w:lang w:bidi="ar"/>
              </w:rPr>
              <w:t>A≥90%</w:t>
            </w:r>
            <w:r>
              <w:rPr>
                <w:rStyle w:val="font71"/>
                <w:rFonts w:ascii="Times New Roman" w:hAnsi="Times New Roman" w:cs="Times New Roman" w:hint="default"/>
                <w:lang w:bidi="ar"/>
              </w:rPr>
              <w:t>得</w:t>
            </w:r>
            <w:r>
              <w:rPr>
                <w:rStyle w:val="font61"/>
                <w:rFonts w:eastAsia="仿宋"/>
                <w:lang w:bidi="ar"/>
              </w:rPr>
              <w:t>5</w:t>
            </w:r>
            <w:r>
              <w:rPr>
                <w:rStyle w:val="font71"/>
                <w:rFonts w:ascii="Times New Roman" w:hAnsi="Times New Roman" w:cs="Times New Roman" w:hint="default"/>
                <w:lang w:bidi="ar"/>
              </w:rPr>
              <w:t>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2.5</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完成区级或市本级验收项目</w:t>
            </w:r>
            <w:r>
              <w:rPr>
                <w:rStyle w:val="font51"/>
                <w:rFonts w:eastAsia="等线"/>
                <w:lang w:bidi="ar"/>
              </w:rPr>
              <w:t>19</w:t>
            </w:r>
            <w:r>
              <w:rPr>
                <w:rStyle w:val="font41"/>
                <w:rFonts w:ascii="Times New Roman" w:hAnsi="Times New Roman" w:cs="Times New Roman" w:hint="default"/>
                <w:lang w:bidi="ar"/>
              </w:rPr>
              <w:t>个，完成项目数量</w:t>
            </w:r>
            <w:r>
              <w:rPr>
                <w:rStyle w:val="font51"/>
                <w:rFonts w:eastAsia="等线"/>
                <w:lang w:bidi="ar"/>
              </w:rPr>
              <w:t>82</w:t>
            </w:r>
            <w:r>
              <w:rPr>
                <w:rStyle w:val="font41"/>
                <w:rFonts w:ascii="Times New Roman" w:hAnsi="Times New Roman" w:cs="Times New Roman" w:hint="default"/>
                <w:lang w:bidi="ar"/>
              </w:rPr>
              <w:t>个，验收及时率</w:t>
            </w:r>
            <w:r>
              <w:rPr>
                <w:rStyle w:val="font51"/>
                <w:rFonts w:eastAsia="等线"/>
                <w:lang w:bidi="ar"/>
              </w:rPr>
              <w:t>23.17%</w:t>
            </w:r>
            <w:r>
              <w:rPr>
                <w:rStyle w:val="font41"/>
                <w:rFonts w:ascii="Times New Roman" w:hAnsi="Times New Roman" w:cs="Times New Roman" w:hint="default"/>
                <w:lang w:bidi="ar"/>
              </w:rPr>
              <w:t>，按评分标准得</w:t>
            </w:r>
            <w:r>
              <w:rPr>
                <w:rStyle w:val="font51"/>
                <w:rFonts w:eastAsia="等线"/>
                <w:lang w:bidi="ar"/>
              </w:rPr>
              <w:t>2.5</w:t>
            </w:r>
            <w:r>
              <w:rPr>
                <w:rStyle w:val="font41"/>
                <w:rFonts w:ascii="Times New Roman" w:hAnsi="Times New Roman" w:cs="Times New Roman" w:hint="default"/>
                <w:lang w:bidi="ar"/>
              </w:rPr>
              <w:t>分</w:t>
            </w:r>
          </w:p>
        </w:tc>
      </w:tr>
      <w:tr w:rsidR="009766F6">
        <w:trPr>
          <w:jc w:val="center"/>
        </w:trPr>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效益指标（</w:t>
            </w:r>
            <w:r>
              <w:rPr>
                <w:rStyle w:val="font51"/>
                <w:rFonts w:eastAsia="等线"/>
                <w:lang w:bidi="ar"/>
              </w:rPr>
              <w:t>30</w:t>
            </w:r>
            <w:r>
              <w:rPr>
                <w:rStyle w:val="font41"/>
                <w:rFonts w:ascii="Times New Roman" w:hAnsi="Times New Roman" w:cs="Times New Roman" w:hint="default"/>
                <w:lang w:bidi="ar"/>
              </w:rPr>
              <w:t>分）</w:t>
            </w:r>
          </w:p>
        </w:tc>
        <w:tc>
          <w:tcPr>
            <w:tcW w:w="625" w:type="dxa"/>
            <w:tcBorders>
              <w:top w:val="single" w:sz="4" w:space="0" w:color="000000"/>
              <w:left w:val="single" w:sz="4" w:space="0" w:color="000000"/>
              <w:bottom w:val="nil"/>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经济效益（</w:t>
            </w:r>
            <w:r>
              <w:rPr>
                <w:rStyle w:val="font51"/>
                <w:rFonts w:eastAsia="等线"/>
                <w:lang w:bidi="ar"/>
              </w:rPr>
              <w:t>10</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项目建成投产后亩效益提高率</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亩效益提高率</w:t>
            </w:r>
            <w:r>
              <w:rPr>
                <w:rStyle w:val="font51"/>
                <w:rFonts w:eastAsia="等线"/>
                <w:lang w:bidi="ar"/>
              </w:rPr>
              <w:t>5%</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蔬园项目建成投产后亩效益提高率</w:t>
            </w:r>
            <w:r>
              <w:rPr>
                <w:rStyle w:val="font51"/>
                <w:rFonts w:eastAsia="等线"/>
                <w:lang w:bidi="ar"/>
              </w:rPr>
              <w:t>5%</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Style w:val="font71"/>
                <w:rFonts w:ascii="Times New Roman" w:hAnsi="Times New Roman" w:cs="Times New Roman" w:hint="default"/>
                <w:lang w:bidi="ar"/>
              </w:rPr>
              <w:t>亩效益提高率</w:t>
            </w:r>
            <w:r>
              <w:rPr>
                <w:rStyle w:val="font61"/>
                <w:rFonts w:eastAsia="仿宋"/>
                <w:lang w:bidi="ar"/>
              </w:rPr>
              <w:t>5%</w:t>
            </w:r>
            <w:r>
              <w:rPr>
                <w:rStyle w:val="font71"/>
                <w:rFonts w:ascii="Times New Roman" w:hAnsi="Times New Roman" w:cs="Times New Roman" w:hint="default"/>
                <w:lang w:bidi="ar"/>
              </w:rPr>
              <w:t>得满分，否则不得分。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现场询问申报主体，项目建成后蔬菜，瓜果产量显著提升，水肥人工等生产成本明显降低，亩效益较之前相比提高</w:t>
            </w:r>
            <w:r>
              <w:rPr>
                <w:rStyle w:val="font51"/>
                <w:rFonts w:eastAsia="等线"/>
                <w:lang w:bidi="ar"/>
              </w:rPr>
              <w:t>5%</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社会效益</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5</w:t>
            </w:r>
            <w:r>
              <w:rPr>
                <w:rStyle w:val="font41"/>
                <w:rFonts w:ascii="Times New Roman" w:hAnsi="Times New Roman" w:cs="Times New Roman" w:hint="default"/>
                <w:lang w:bidi="ar"/>
              </w:rPr>
              <w:lastRenderedPageBreak/>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lastRenderedPageBreak/>
              <w:t>市场保供能力</w:t>
            </w:r>
            <w:r>
              <w:rPr>
                <w:rFonts w:ascii="Times New Roman" w:eastAsia="仿宋" w:hAnsi="Times New Roman"/>
                <w:color w:val="000000"/>
                <w:kern w:val="0"/>
                <w:sz w:val="18"/>
                <w:szCs w:val="18"/>
                <w:lang w:bidi="ar"/>
              </w:rPr>
              <w:lastRenderedPageBreak/>
              <w:t>得到提升</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lastRenderedPageBreak/>
              <w:t>提升</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蔬园项目市场保供能力得到提升</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达目标值得满分，否则不得分。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提升</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生态效益</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5</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生产基地的环境得到改善情况</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改善</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蔬园生产基地的环境得到改善</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达目标值得满分，否则不得分。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5</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改善</w:t>
            </w:r>
          </w:p>
        </w:tc>
      </w:tr>
      <w:tr w:rsidR="009766F6">
        <w:trPr>
          <w:jc w:val="center"/>
        </w:trPr>
        <w:tc>
          <w:tcPr>
            <w:tcW w:w="6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可持续</w:t>
            </w:r>
            <w:r>
              <w:rPr>
                <w:rStyle w:val="font51"/>
                <w:rFonts w:eastAsia="等线"/>
                <w:lang w:bidi="ar"/>
              </w:rPr>
              <w:t xml:space="preserve">    </w:t>
            </w:r>
            <w:r>
              <w:rPr>
                <w:rStyle w:val="font41"/>
                <w:rFonts w:ascii="Times New Roman" w:hAnsi="Times New Roman" w:cs="Times New Roman" w:hint="default"/>
                <w:lang w:bidi="ar"/>
              </w:rPr>
              <w:t>发展</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10</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项目建成后示范带动情况</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带动</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带动周边群众和合作社效果明显</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达目标值得满分，否则不得分。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10</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根据收回的</w:t>
            </w:r>
            <w:r>
              <w:rPr>
                <w:rStyle w:val="font51"/>
                <w:rFonts w:eastAsia="等线"/>
                <w:lang w:bidi="ar"/>
              </w:rPr>
              <w:t>43</w:t>
            </w:r>
            <w:r>
              <w:rPr>
                <w:rStyle w:val="font41"/>
                <w:rFonts w:ascii="Times New Roman" w:hAnsi="Times New Roman" w:cs="Times New Roman" w:hint="default"/>
                <w:lang w:bidi="ar"/>
              </w:rPr>
              <w:t>份调查问卷，项目建成后示范带动明显</w:t>
            </w:r>
          </w:p>
        </w:tc>
      </w:tr>
      <w:tr w:rsidR="009766F6">
        <w:trPr>
          <w:jc w:val="center"/>
        </w:trPr>
        <w:tc>
          <w:tcPr>
            <w:tcW w:w="6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满意度指标（</w:t>
            </w:r>
            <w:r>
              <w:rPr>
                <w:rStyle w:val="font51"/>
                <w:rFonts w:eastAsia="等线"/>
                <w:lang w:bidi="ar"/>
              </w:rPr>
              <w:t>4</w:t>
            </w:r>
            <w:r>
              <w:rPr>
                <w:rStyle w:val="font41"/>
                <w:rFonts w:ascii="Times New Roman" w:hAnsi="Times New Roman" w:cs="Times New Roman" w:hint="default"/>
                <w:lang w:bidi="ar"/>
              </w:rPr>
              <w:t>分）</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社会评价</w:t>
            </w:r>
            <w:r>
              <w:rPr>
                <w:rStyle w:val="font51"/>
                <w:rFonts w:eastAsia="等线"/>
                <w:lang w:bidi="ar"/>
              </w:rPr>
              <w:br/>
            </w:r>
            <w:r>
              <w:rPr>
                <w:rStyle w:val="font41"/>
                <w:rFonts w:ascii="Times New Roman" w:hAnsi="Times New Roman" w:cs="Times New Roman" w:hint="default"/>
                <w:lang w:bidi="ar"/>
              </w:rPr>
              <w:t>（</w:t>
            </w:r>
            <w:r>
              <w:rPr>
                <w:rStyle w:val="font51"/>
                <w:rFonts w:eastAsia="等线"/>
                <w:lang w:bidi="ar"/>
              </w:rPr>
              <w:t>4</w:t>
            </w:r>
            <w:r>
              <w:rPr>
                <w:rStyle w:val="font41"/>
                <w:rFonts w:ascii="Times New Roman" w:hAnsi="Times New Roman" w:cs="Times New Roman" w:hint="default"/>
                <w:lang w:bidi="ar"/>
              </w:rPr>
              <w:t>分）</w:t>
            </w:r>
          </w:p>
        </w:tc>
        <w:tc>
          <w:tcPr>
            <w:tcW w:w="6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社会公众或服务对象满意度</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≥90%</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4</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服务对象满意度</w:t>
            </w:r>
            <w:r>
              <w:rPr>
                <w:rStyle w:val="font51"/>
                <w:rFonts w:eastAsia="等线"/>
                <w:lang w:bidi="ar"/>
              </w:rPr>
              <w:t>≥90%</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left"/>
              <w:textAlignment w:val="center"/>
              <w:rPr>
                <w:rFonts w:ascii="Times New Roman" w:eastAsia="仿宋" w:hAnsi="Times New Roman"/>
                <w:color w:val="000000"/>
                <w:sz w:val="18"/>
                <w:szCs w:val="18"/>
              </w:rPr>
            </w:pPr>
            <w:r>
              <w:rPr>
                <w:rFonts w:ascii="Times New Roman" w:eastAsia="仿宋" w:hAnsi="Times New Roman"/>
                <w:color w:val="000000"/>
                <w:kern w:val="0"/>
                <w:sz w:val="18"/>
                <w:szCs w:val="18"/>
                <w:lang w:bidi="ar"/>
              </w:rPr>
              <w:t>达目标值得满分，否则不得分。</w:t>
            </w: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color w:val="000000"/>
                <w:sz w:val="18"/>
                <w:szCs w:val="18"/>
              </w:rPr>
            </w:pPr>
            <w:r>
              <w:rPr>
                <w:rFonts w:ascii="Times New Roman" w:eastAsia="等线" w:hAnsi="Times New Roman"/>
                <w:color w:val="000000"/>
                <w:kern w:val="0"/>
                <w:sz w:val="18"/>
                <w:szCs w:val="18"/>
                <w:lang w:bidi="ar"/>
              </w:rPr>
              <w:t>4</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F92F2F">
            <w:pPr>
              <w:widowControl/>
              <w:snapToGrid w:val="0"/>
              <w:jc w:val="center"/>
              <w:textAlignment w:val="center"/>
              <w:rPr>
                <w:rFonts w:ascii="Times New Roman" w:eastAsia="等线" w:hAnsi="Times New Roman"/>
                <w:color w:val="000000"/>
                <w:sz w:val="18"/>
                <w:szCs w:val="18"/>
              </w:rPr>
            </w:pPr>
            <w:r>
              <w:rPr>
                <w:rStyle w:val="font41"/>
                <w:rFonts w:ascii="Times New Roman" w:hAnsi="Times New Roman" w:cs="Times New Roman" w:hint="default"/>
                <w:lang w:bidi="ar"/>
              </w:rPr>
              <w:t>根据收回的</w:t>
            </w:r>
            <w:r>
              <w:rPr>
                <w:rStyle w:val="font51"/>
                <w:rFonts w:eastAsia="等线"/>
                <w:lang w:bidi="ar"/>
              </w:rPr>
              <w:t>43</w:t>
            </w:r>
            <w:r>
              <w:rPr>
                <w:rStyle w:val="font41"/>
                <w:rFonts w:ascii="Times New Roman" w:hAnsi="Times New Roman" w:cs="Times New Roman" w:hint="default"/>
                <w:lang w:bidi="ar"/>
              </w:rPr>
              <w:t>份调查问卷，满意度</w:t>
            </w:r>
            <w:r>
              <w:rPr>
                <w:rStyle w:val="font51"/>
                <w:rFonts w:eastAsia="等线"/>
                <w:lang w:bidi="ar"/>
              </w:rPr>
              <w:t>100%</w:t>
            </w:r>
          </w:p>
        </w:tc>
      </w:tr>
      <w:tr w:rsidR="009766F6">
        <w:trPr>
          <w:trHeight w:val="408"/>
          <w:jc w:val="center"/>
        </w:trPr>
        <w:tc>
          <w:tcPr>
            <w:tcW w:w="2487"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仿宋" w:hAnsi="Times New Roman"/>
                <w:b/>
                <w:bCs/>
                <w:color w:val="000000"/>
                <w:sz w:val="18"/>
                <w:szCs w:val="18"/>
              </w:rPr>
            </w:pPr>
            <w:r>
              <w:rPr>
                <w:rFonts w:ascii="Times New Roman" w:eastAsia="仿宋" w:hAnsi="Times New Roman"/>
                <w:b/>
                <w:bCs/>
                <w:color w:val="000000"/>
                <w:kern w:val="0"/>
                <w:sz w:val="18"/>
                <w:szCs w:val="18"/>
                <w:lang w:bidi="ar"/>
              </w:rPr>
              <w:t>总分</w:t>
            </w:r>
          </w:p>
        </w:tc>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b/>
                <w:bCs/>
                <w:color w:val="000000"/>
                <w:sz w:val="18"/>
                <w:szCs w:val="18"/>
              </w:rPr>
            </w:pPr>
            <w:r>
              <w:rPr>
                <w:rFonts w:ascii="Times New Roman" w:eastAsia="等线" w:hAnsi="Times New Roman"/>
                <w:b/>
                <w:bCs/>
                <w:color w:val="000000"/>
                <w:kern w:val="0"/>
                <w:sz w:val="18"/>
                <w:szCs w:val="18"/>
                <w:lang w:bidi="ar"/>
              </w:rPr>
              <w:t>100</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66F6" w:rsidRDefault="009766F6">
            <w:pPr>
              <w:snapToGrid w:val="0"/>
              <w:jc w:val="center"/>
              <w:rPr>
                <w:rFonts w:ascii="Times New Roman" w:eastAsia="等线" w:hAnsi="Times New Roman"/>
                <w:color w:val="000000"/>
                <w:sz w:val="18"/>
                <w:szCs w:val="18"/>
              </w:rPr>
            </w:pPr>
          </w:p>
        </w:tc>
        <w:tc>
          <w:tcPr>
            <w:tcW w:w="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F92F2F">
            <w:pPr>
              <w:widowControl/>
              <w:snapToGrid w:val="0"/>
              <w:jc w:val="center"/>
              <w:textAlignment w:val="center"/>
              <w:rPr>
                <w:rFonts w:ascii="Times New Roman" w:eastAsia="等线" w:hAnsi="Times New Roman"/>
                <w:b/>
                <w:bCs/>
                <w:color w:val="000000"/>
                <w:sz w:val="18"/>
                <w:szCs w:val="18"/>
              </w:rPr>
            </w:pPr>
            <w:r>
              <w:rPr>
                <w:rFonts w:ascii="Times New Roman" w:eastAsia="等线" w:hAnsi="Times New Roman"/>
                <w:b/>
                <w:bCs/>
                <w:color w:val="000000"/>
                <w:kern w:val="0"/>
                <w:sz w:val="18"/>
                <w:szCs w:val="18"/>
                <w:lang w:bidi="ar"/>
              </w:rPr>
              <w:t>93.23</w:t>
            </w:r>
          </w:p>
        </w:tc>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766F6" w:rsidRDefault="009766F6">
            <w:pPr>
              <w:snapToGrid w:val="0"/>
              <w:jc w:val="center"/>
              <w:rPr>
                <w:rFonts w:ascii="Times New Roman" w:eastAsia="等线" w:hAnsi="Times New Roman"/>
                <w:b/>
                <w:bCs/>
                <w:color w:val="000000"/>
                <w:sz w:val="18"/>
                <w:szCs w:val="18"/>
              </w:rPr>
            </w:pPr>
          </w:p>
        </w:tc>
      </w:tr>
    </w:tbl>
    <w:p w:rsidR="009766F6" w:rsidRDefault="009766F6">
      <w:pPr>
        <w:spacing w:line="560" w:lineRule="exact"/>
        <w:rPr>
          <w:rFonts w:ascii="Times New Roman" w:eastAsia="方正仿宋_GB2312" w:hAnsi="Times New Roman"/>
          <w:b/>
          <w:bCs/>
          <w:sz w:val="32"/>
          <w:szCs w:val="32"/>
        </w:rPr>
      </w:pPr>
    </w:p>
    <w:sectPr w:rsidR="009766F6">
      <w:footerReference w:type="default" r:id="rId12"/>
      <w:pgSz w:w="11906" w:h="16838"/>
      <w:pgMar w:top="1701" w:right="1474" w:bottom="1440" w:left="1474" w:header="851" w:footer="992" w:gutter="0"/>
      <w:pgNumType w:fmt="numberInDash"/>
      <w:cols w:space="0"/>
      <w:rtlGutter/>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F2F" w:rsidRDefault="00F92F2F">
      <w:r>
        <w:separator/>
      </w:r>
    </w:p>
  </w:endnote>
  <w:endnote w:type="continuationSeparator" w:id="0">
    <w:p w:rsidR="00F92F2F" w:rsidRDefault="00F92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楷体_GB2312">
    <w:altName w:val="楷体"/>
    <w:charset w:val="86"/>
    <w:family w:val="auto"/>
    <w:pitch w:val="default"/>
    <w:sig w:usb0="00000000" w:usb1="00000000" w:usb2="00000012" w:usb3="00000000" w:csb0="00040001" w:csb1="00000000"/>
  </w:font>
  <w:font w:name="方正仿宋_GB2312">
    <w:altName w:val="Arial Unicode MS"/>
    <w:charset w:val="86"/>
    <w:family w:val="auto"/>
    <w:pitch w:val="default"/>
    <w:sig w:usb0="00000000" w:usb1="184F6CFA" w:usb2="00000012" w:usb3="00000000" w:csb0="00040001" w:csb1="00000000"/>
  </w:font>
  <w:font w:name="方正黑体_GBK">
    <w:altName w:val="Arial Unicode MS"/>
    <w:panose1 w:val="03000509000000000000"/>
    <w:charset w:val="86"/>
    <w:family w:val="script"/>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6F6" w:rsidRDefault="00F92F2F">
    <w:pPr>
      <w:pStyle w:val="a5"/>
    </w:pPr>
    <w:r>
      <w:rPr>
        <w:noProof/>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79705" cy="139700"/>
              <wp:effectExtent l="0" t="0" r="0" b="0"/>
              <wp:wrapNone/>
              <wp:docPr id="1" name="文本框 1"/>
              <wp:cNvGraphicFramePr/>
              <a:graphic xmlns:a="http://schemas.openxmlformats.org/drawingml/2006/main">
                <a:graphicData uri="http://schemas.microsoft.com/office/word/2010/wordprocessingShape">
                  <wps:wsp>
                    <wps:cNvSpPr/>
                    <wps:spPr>
                      <a:xfrm>
                        <a:off x="0" y="0"/>
                        <a:ext cx="179598" cy="139526"/>
                      </a:xfrm>
                      <a:prstGeom prst="rect">
                        <a:avLst/>
                      </a:prstGeom>
                      <a:noFill/>
                      <a:ln w="6350" cap="flat" cmpd="sng">
                        <a:noFill/>
                        <a:prstDash val="solid"/>
                        <a:round/>
                      </a:ln>
                    </wps:spPr>
                    <wps:txbx>
                      <w:txbxContent>
                        <w:p w:rsidR="009766F6" w:rsidRDefault="00F92F2F">
                          <w:pPr>
                            <w:pStyle w:val="a5"/>
                          </w:pPr>
                          <w:r>
                            <w:fldChar w:fldCharType="begin"/>
                          </w:r>
                          <w:r>
                            <w:instrText xml:space="preserve"> PAGE  \* MERGEFORMAT </w:instrText>
                          </w:r>
                          <w:r>
                            <w:fldChar w:fldCharType="separate"/>
                          </w:r>
                          <w:r w:rsidR="005B11D5">
                            <w:rPr>
                              <w:noProof/>
                            </w:rPr>
                            <w:t>- 1 -</w:t>
                          </w:r>
                          <w:r>
                            <w:fldChar w:fldCharType="end"/>
                          </w:r>
                        </w:p>
                      </w:txbxContent>
                    </wps:txbx>
                    <wps:bodyPr vert="horz" wrap="none" lIns="0" tIns="0" rIns="0" bIns="0" anchor="t" anchorCtr="0">
                      <a:spAutoFit/>
                    </wps:bodyPr>
                  </wps:wsp>
                </a:graphicData>
              </a:graphic>
            </wp:anchor>
          </w:drawing>
        </mc:Choice>
        <mc:Fallback>
          <w:pict>
            <v:rect id="文本框 1" o:spid="_x0000_s1026" style="position:absolute;margin-left:0;margin-top:0;width:14.15pt;height:11pt;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" filled="f" stroked="f" strokeweight=".5pt">
              <v:stroke joinstyle="round"/>
              <v:textbox style="mso-fit-shape-to-text:t" inset="0,0,0,0">
                <w:txbxContent>
                  <w:p w:rsidR="009766F6" w:rsidRDefault="00F92F2F">
                    <w:pPr>
                      <w:pStyle w:val="a5"/>
                    </w:pPr>
                    <w:r>
                      <w:fldChar w:fldCharType="begin"/>
                    </w:r>
                    <w:r>
                      <w:instrText xml:space="preserve"> PAGE  \* MERGEFORMAT </w:instrText>
                    </w:r>
                    <w:r>
                      <w:fldChar w:fldCharType="separate"/>
                    </w:r>
                    <w:r w:rsidR="005B11D5">
                      <w:rPr>
                        <w:noProof/>
                      </w:rPr>
                      <w:t>- 1 -</w:t>
                    </w:r>
                    <w:r>
                      <w:fldChar w:fldCharType="end"/>
                    </w:r>
                  </w:p>
                </w:txbxContent>
              </v:textbox>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6F6" w:rsidRDefault="00F92F2F">
    <w:pPr>
      <w:pStyle w:val="a5"/>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79705" cy="139700"/>
              <wp:effectExtent l="0" t="0" r="0" b="0"/>
              <wp:wrapNone/>
              <wp:docPr id="2" name="文本框 2"/>
              <wp:cNvGraphicFramePr/>
              <a:graphic xmlns:a="http://schemas.openxmlformats.org/drawingml/2006/main">
                <a:graphicData uri="http://schemas.microsoft.com/office/word/2010/wordprocessingShape">
                  <wps:wsp>
                    <wps:cNvSpPr/>
                    <wps:spPr>
                      <a:xfrm>
                        <a:off x="0" y="0"/>
                        <a:ext cx="179598" cy="139526"/>
                      </a:xfrm>
                      <a:prstGeom prst="rect">
                        <a:avLst/>
                      </a:prstGeom>
                      <a:noFill/>
                      <a:ln w="6350" cap="flat" cmpd="sng">
                        <a:noFill/>
                        <a:prstDash val="solid"/>
                        <a:round/>
                      </a:ln>
                    </wps:spPr>
                    <wps:txbx>
                      <w:txbxContent>
                        <w:p w:rsidR="009766F6" w:rsidRDefault="00F92F2F">
                          <w:pPr>
                            <w:pStyle w:val="a5"/>
                          </w:pPr>
                          <w:r>
                            <w:fldChar w:fldCharType="begin"/>
                          </w:r>
                          <w:r>
                            <w:instrText xml:space="preserve"> PAGE  \* MERGEFORMAT </w:instrText>
                          </w:r>
                          <w:r>
                            <w:fldChar w:fldCharType="separate"/>
                          </w:r>
                          <w:r w:rsidR="005B11D5">
                            <w:rPr>
                              <w:noProof/>
                            </w:rPr>
                            <w:t>- 2 -</w:t>
                          </w:r>
                          <w:r>
                            <w:fldChar w:fldCharType="end"/>
                          </w:r>
                        </w:p>
                      </w:txbxContent>
                    </wps:txbx>
                    <wps:bodyPr vert="horz" wrap="none" lIns="0" tIns="0" rIns="0" bIns="0" anchor="t" anchorCtr="0">
                      <a:spAutoFit/>
                    </wps:bodyPr>
                  </wps:wsp>
                </a:graphicData>
              </a:graphic>
            </wp:anchor>
          </w:drawing>
        </mc:Choice>
        <mc:Fallback>
          <w:pict>
            <v:rect id="文本框 2" o:spid="_x0000_s1027" style="position:absolute;margin-left:0;margin-top:0;width:14.15pt;height:11pt;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" filled="f" stroked="f" strokeweight=".5pt">
              <v:stroke joinstyle="round"/>
              <v:textbox style="mso-fit-shape-to-text:t" inset="0,0,0,0">
                <w:txbxContent>
                  <w:p w:rsidR="009766F6" w:rsidRDefault="00F92F2F">
                    <w:pPr>
                      <w:pStyle w:val="a5"/>
                    </w:pPr>
                    <w:r>
                      <w:fldChar w:fldCharType="begin"/>
                    </w:r>
                    <w:r>
                      <w:instrText xml:space="preserve"> PAGE  \* MERGEFORMAT </w:instrText>
                    </w:r>
                    <w:r>
                      <w:fldChar w:fldCharType="separate"/>
                    </w:r>
                    <w:r w:rsidR="005B11D5">
                      <w:rPr>
                        <w:noProof/>
                      </w:rPr>
                      <w:t>- 2 -</w:t>
                    </w:r>
                    <w:r>
                      <w:fldChar w:fldCharType="end"/>
                    </w:r>
                  </w:p>
                </w:txbxContent>
              </v:textbox>
              <w10:wrap anchorx="margin"/>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6F6" w:rsidRDefault="00F92F2F">
    <w:pPr>
      <w:pStyle w:val="a5"/>
    </w:pPr>
    <w:r>
      <w:rPr>
        <w:noProof/>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316865" cy="186055"/>
              <wp:effectExtent l="0" t="0" r="0" b="0"/>
              <wp:wrapNone/>
              <wp:docPr id="6" name="文本框 6"/>
              <wp:cNvGraphicFramePr/>
              <a:graphic xmlns:a="http://schemas.openxmlformats.org/drawingml/2006/main">
                <a:graphicData uri="http://schemas.microsoft.com/office/word/2010/wordprocessingShape">
                  <wps:wsp>
                    <wps:cNvSpPr/>
                    <wps:spPr>
                      <a:xfrm>
                        <a:off x="0" y="0"/>
                        <a:ext cx="316706" cy="186035"/>
                      </a:xfrm>
                      <a:prstGeom prst="rect">
                        <a:avLst/>
                      </a:prstGeom>
                      <a:noFill/>
                      <a:ln w="6350" cap="flat" cmpd="sng">
                        <a:noFill/>
                        <a:prstDash val="solid"/>
                        <a:round/>
                      </a:ln>
                    </wps:spPr>
                    <wps:txbx>
                      <w:txbxContent>
                        <w:p w:rsidR="009766F6" w:rsidRDefault="00F92F2F">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5B11D5">
                            <w:rPr>
                              <w:noProof/>
                              <w:sz w:val="24"/>
                              <w:szCs w:val="24"/>
                            </w:rPr>
                            <w:t>- 7 -</w:t>
                          </w:r>
                          <w:r>
                            <w:rPr>
                              <w:sz w:val="24"/>
                              <w:szCs w:val="24"/>
                            </w:rPr>
                            <w:fldChar w:fldCharType="end"/>
                          </w:r>
                        </w:p>
                      </w:txbxContent>
                    </wps:txbx>
                    <wps:bodyPr vert="horz" wrap="none" lIns="0" tIns="0" rIns="0" bIns="0" anchor="t" anchorCtr="0">
                      <a:spAutoFit/>
                    </wps:bodyPr>
                  </wps:wsp>
                </a:graphicData>
              </a:graphic>
            </wp:anchor>
          </w:drawing>
        </mc:Choice>
        <mc:Fallback>
          <w:pict>
            <v:rect id="文本框 6" o:spid="_x0000_s1028" style="position:absolute;margin-left:0;margin-top:0;width:24.95pt;height:14.65pt;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" filled="f" stroked="f" strokeweight=".5pt">
              <v:stroke joinstyle="round"/>
              <v:textbox style="mso-fit-shape-to-text:t" inset="0,0,0,0">
                <w:txbxContent>
                  <w:p w:rsidR="009766F6" w:rsidRDefault="00F92F2F">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5B11D5">
                      <w:rPr>
                        <w:noProof/>
                        <w:sz w:val="24"/>
                        <w:szCs w:val="24"/>
                      </w:rPr>
                      <w:t>- 7 -</w:t>
                    </w:r>
                    <w:r>
                      <w:rPr>
                        <w:sz w:val="24"/>
                        <w:szCs w:val="24"/>
                      </w:rPr>
                      <w:fldChar w:fldCharType="end"/>
                    </w: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F2F" w:rsidRDefault="00F92F2F">
      <w:r>
        <w:separator/>
      </w:r>
    </w:p>
  </w:footnote>
  <w:footnote w:type="continuationSeparator" w:id="0">
    <w:p w:rsidR="00F92F2F" w:rsidRDefault="00F92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15EFF9"/>
    <w:multiLevelType w:val="singleLevel"/>
    <w:tmpl w:val="9315EFF9"/>
    <w:lvl w:ilvl="0">
      <w:start w:val="6"/>
      <w:numFmt w:val="chineseCounting"/>
      <w:suff w:val="nothing"/>
      <w:lvlText w:val="（%1）"/>
      <w:lvlJc w:val="left"/>
      <w:rPr>
        <w:rFonts w:hint="eastAsia"/>
      </w:rPr>
    </w:lvl>
  </w:abstractNum>
  <w:abstractNum w:abstractNumId="1">
    <w:nsid w:val="9A477151"/>
    <w:multiLevelType w:val="singleLevel"/>
    <w:tmpl w:val="9A477151"/>
    <w:lvl w:ilvl="0">
      <w:start w:val="4"/>
      <w:numFmt w:val="chineseCounting"/>
      <w:suff w:val="nothing"/>
      <w:lvlText w:val="（%1）"/>
      <w:lvlJc w:val="left"/>
      <w:rPr>
        <w:rFonts w:hint="eastAsia"/>
      </w:rPr>
    </w:lvl>
  </w:abstractNum>
  <w:abstractNum w:abstractNumId="2">
    <w:nsid w:val="F5417AD4"/>
    <w:multiLevelType w:val="singleLevel"/>
    <w:tmpl w:val="F5417AD4"/>
    <w:lvl w:ilvl="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9766F6"/>
    <w:rsid w:val="005B11D5"/>
    <w:rsid w:val="009766F6"/>
    <w:rsid w:val="00F92F2F"/>
    <w:rsid w:val="1CBD6BDD"/>
    <w:rsid w:val="225C5BB7"/>
    <w:rsid w:val="2ADD0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annotation text" w:qFormat="1"/>
    <w:lsdException w:name="header" w:qFormat="1"/>
    <w:lsdException w:name="footer"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30">
    <w:name w:val="toc 3"/>
    <w:basedOn w:val="a"/>
    <w:next w:val="a"/>
    <w:qFormat/>
    <w:pPr>
      <w:ind w:leftChars="400" w:left="400"/>
    </w:pPr>
  </w:style>
  <w:style w:type="paragraph" w:styleId="a4">
    <w:name w:val="Balloon Text"/>
    <w:basedOn w:val="a"/>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tabs>
        <w:tab w:val="center" w:pos="4153"/>
        <w:tab w:val="right" w:pos="8306"/>
      </w:tabs>
      <w:snapToGrid w:val="0"/>
    </w:pPr>
    <w:rPr>
      <w:sz w:val="18"/>
    </w:rPr>
  </w:style>
  <w:style w:type="paragraph" w:styleId="10">
    <w:name w:val="toc 1"/>
    <w:basedOn w:val="a"/>
    <w:next w:val="a"/>
    <w:qFormat/>
  </w:style>
  <w:style w:type="paragraph" w:styleId="20">
    <w:name w:val="toc 2"/>
    <w:basedOn w:val="a"/>
    <w:next w:val="a"/>
    <w:qFormat/>
    <w:pPr>
      <w:ind w:leftChars="200" w:left="200"/>
    </w:pPr>
  </w:style>
  <w:style w:type="character" w:styleId="a7">
    <w:name w:val="Hyperlink"/>
    <w:basedOn w:val="a0"/>
    <w:qFormat/>
    <w:rPr>
      <w:color w:val="0026E5"/>
      <w:u w:val="single"/>
    </w:rPr>
  </w:style>
  <w:style w:type="character" w:customStyle="1" w:styleId="1Char">
    <w:name w:val="标题 1 Char"/>
    <w:basedOn w:val="a0"/>
    <w:link w:val="1"/>
    <w:qFormat/>
    <w:rPr>
      <w:rFonts w:ascii="Calibri" w:eastAsia="宋体" w:hAnsi="Calibri" w:cs="Times New Roman"/>
      <w:b/>
      <w:bCs/>
      <w:kern w:val="44"/>
      <w:sz w:val="44"/>
      <w:szCs w:val="44"/>
      <w:lang w:val="en-US" w:eastAsia="zh-CN" w:bidi="ar-SA"/>
    </w:rPr>
  </w:style>
  <w:style w:type="character" w:customStyle="1" w:styleId="2Char">
    <w:name w:val="标题 2 Char"/>
    <w:basedOn w:val="a0"/>
    <w:link w:val="2"/>
    <w:qFormat/>
    <w:rPr>
      <w:rFonts w:ascii="Arial" w:eastAsia="黑体" w:hAnsi="Arial" w:cs="Times New Roman"/>
      <w:b/>
      <w:kern w:val="2"/>
      <w:sz w:val="32"/>
      <w:szCs w:val="22"/>
      <w:lang w:val="en-US" w:eastAsia="zh-CN" w:bidi="ar-SA"/>
    </w:rPr>
  </w:style>
  <w:style w:type="character" w:customStyle="1" w:styleId="3Char">
    <w:name w:val="标题 3 Char"/>
    <w:basedOn w:val="a0"/>
    <w:link w:val="3"/>
    <w:qFormat/>
    <w:rPr>
      <w:rFonts w:ascii="Calibri" w:eastAsia="宋体" w:hAnsi="Calibri" w:cs="Times New Roman"/>
      <w:b/>
      <w:kern w:val="2"/>
      <w:sz w:val="32"/>
      <w:szCs w:val="22"/>
      <w:lang w:val="en-US" w:eastAsia="zh-CN" w:bidi="ar-SA"/>
    </w:rPr>
  </w:style>
  <w:style w:type="paragraph" w:styleId="a8">
    <w:name w:val="List Paragraph"/>
    <w:basedOn w:val="a"/>
    <w:qFormat/>
    <w:pPr>
      <w:ind w:firstLineChars="200" w:firstLine="200"/>
    </w:pPr>
  </w:style>
  <w:style w:type="character" w:customStyle="1" w:styleId="font31">
    <w:name w:val="font31"/>
    <w:basedOn w:val="a0"/>
    <w:qFormat/>
    <w:rPr>
      <w:rFonts w:ascii="Times New Roman" w:hAnsi="Times New Roman" w:cs="Times New Roman" w:hint="default"/>
      <w:color w:val="000000"/>
      <w:sz w:val="32"/>
      <w:szCs w:val="32"/>
      <w:u w:val="none"/>
    </w:rPr>
  </w:style>
  <w:style w:type="character" w:customStyle="1" w:styleId="font41">
    <w:name w:val="font41"/>
    <w:basedOn w:val="a0"/>
    <w:qFormat/>
    <w:rPr>
      <w:rFonts w:ascii="仿宋" w:eastAsia="仿宋" w:hAnsi="仿宋" w:cs="仿宋" w:hint="eastAsia"/>
      <w:color w:val="000000"/>
      <w:sz w:val="18"/>
      <w:szCs w:val="18"/>
      <w:u w:val="none"/>
    </w:rPr>
  </w:style>
  <w:style w:type="character" w:customStyle="1" w:styleId="font51">
    <w:name w:val="font51"/>
    <w:basedOn w:val="a0"/>
    <w:qFormat/>
    <w:rPr>
      <w:rFonts w:ascii="Times New Roman" w:hAnsi="Times New Roman" w:cs="Times New Roman" w:hint="default"/>
      <w:color w:val="000000"/>
      <w:sz w:val="18"/>
      <w:szCs w:val="18"/>
      <w:u w:val="none"/>
    </w:rPr>
  </w:style>
  <w:style w:type="character" w:customStyle="1" w:styleId="font71">
    <w:name w:val="font71"/>
    <w:basedOn w:val="a0"/>
    <w:qFormat/>
    <w:rPr>
      <w:rFonts w:ascii="仿宋" w:eastAsia="仿宋" w:hAnsi="仿宋" w:cs="仿宋" w:hint="eastAsia"/>
      <w:color w:val="000000"/>
      <w:sz w:val="18"/>
      <w:szCs w:val="18"/>
      <w:u w:val="none"/>
    </w:rPr>
  </w:style>
  <w:style w:type="character" w:customStyle="1" w:styleId="font61">
    <w:name w:val="font61"/>
    <w:basedOn w:val="a0"/>
    <w:qFormat/>
    <w:rPr>
      <w:rFonts w:ascii="Times New Roman" w:hAnsi="Times New Roman" w:cs="Times New Roman" w:hint="default"/>
      <w:color w:val="000000"/>
      <w:sz w:val="18"/>
      <w:szCs w:val="18"/>
      <w:u w:val="none"/>
    </w:rPr>
  </w:style>
  <w:style w:type="character" w:customStyle="1" w:styleId="font101">
    <w:name w:val="font101"/>
    <w:basedOn w:val="a0"/>
    <w:qFormat/>
    <w:rPr>
      <w:rFonts w:ascii="宋体" w:eastAsia="宋体" w:hAnsi="宋体" w:cs="宋体" w:hint="eastAsia"/>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annotation text" w:qFormat="1"/>
    <w:lsdException w:name="header" w:qFormat="1"/>
    <w:lsdException w:name="footer"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30">
    <w:name w:val="toc 3"/>
    <w:basedOn w:val="a"/>
    <w:next w:val="a"/>
    <w:qFormat/>
    <w:pPr>
      <w:ind w:leftChars="400" w:left="400"/>
    </w:pPr>
  </w:style>
  <w:style w:type="paragraph" w:styleId="a4">
    <w:name w:val="Balloon Text"/>
    <w:basedOn w:val="a"/>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tabs>
        <w:tab w:val="center" w:pos="4153"/>
        <w:tab w:val="right" w:pos="8306"/>
      </w:tabs>
      <w:snapToGrid w:val="0"/>
    </w:pPr>
    <w:rPr>
      <w:sz w:val="18"/>
    </w:rPr>
  </w:style>
  <w:style w:type="paragraph" w:styleId="10">
    <w:name w:val="toc 1"/>
    <w:basedOn w:val="a"/>
    <w:next w:val="a"/>
    <w:qFormat/>
  </w:style>
  <w:style w:type="paragraph" w:styleId="20">
    <w:name w:val="toc 2"/>
    <w:basedOn w:val="a"/>
    <w:next w:val="a"/>
    <w:qFormat/>
    <w:pPr>
      <w:ind w:leftChars="200" w:left="200"/>
    </w:pPr>
  </w:style>
  <w:style w:type="character" w:styleId="a7">
    <w:name w:val="Hyperlink"/>
    <w:basedOn w:val="a0"/>
    <w:qFormat/>
    <w:rPr>
      <w:color w:val="0026E5"/>
      <w:u w:val="single"/>
    </w:rPr>
  </w:style>
  <w:style w:type="character" w:customStyle="1" w:styleId="1Char">
    <w:name w:val="标题 1 Char"/>
    <w:basedOn w:val="a0"/>
    <w:link w:val="1"/>
    <w:qFormat/>
    <w:rPr>
      <w:rFonts w:ascii="Calibri" w:eastAsia="宋体" w:hAnsi="Calibri" w:cs="Times New Roman"/>
      <w:b/>
      <w:bCs/>
      <w:kern w:val="44"/>
      <w:sz w:val="44"/>
      <w:szCs w:val="44"/>
      <w:lang w:val="en-US" w:eastAsia="zh-CN" w:bidi="ar-SA"/>
    </w:rPr>
  </w:style>
  <w:style w:type="character" w:customStyle="1" w:styleId="2Char">
    <w:name w:val="标题 2 Char"/>
    <w:basedOn w:val="a0"/>
    <w:link w:val="2"/>
    <w:qFormat/>
    <w:rPr>
      <w:rFonts w:ascii="Arial" w:eastAsia="黑体" w:hAnsi="Arial" w:cs="Times New Roman"/>
      <w:b/>
      <w:kern w:val="2"/>
      <w:sz w:val="32"/>
      <w:szCs w:val="22"/>
      <w:lang w:val="en-US" w:eastAsia="zh-CN" w:bidi="ar-SA"/>
    </w:rPr>
  </w:style>
  <w:style w:type="character" w:customStyle="1" w:styleId="3Char">
    <w:name w:val="标题 3 Char"/>
    <w:basedOn w:val="a0"/>
    <w:link w:val="3"/>
    <w:qFormat/>
    <w:rPr>
      <w:rFonts w:ascii="Calibri" w:eastAsia="宋体" w:hAnsi="Calibri" w:cs="Times New Roman"/>
      <w:b/>
      <w:kern w:val="2"/>
      <w:sz w:val="32"/>
      <w:szCs w:val="22"/>
      <w:lang w:val="en-US" w:eastAsia="zh-CN" w:bidi="ar-SA"/>
    </w:rPr>
  </w:style>
  <w:style w:type="paragraph" w:styleId="a8">
    <w:name w:val="List Paragraph"/>
    <w:basedOn w:val="a"/>
    <w:qFormat/>
    <w:pPr>
      <w:ind w:firstLineChars="200" w:firstLine="200"/>
    </w:pPr>
  </w:style>
  <w:style w:type="character" w:customStyle="1" w:styleId="font31">
    <w:name w:val="font31"/>
    <w:basedOn w:val="a0"/>
    <w:qFormat/>
    <w:rPr>
      <w:rFonts w:ascii="Times New Roman" w:hAnsi="Times New Roman" w:cs="Times New Roman" w:hint="default"/>
      <w:color w:val="000000"/>
      <w:sz w:val="32"/>
      <w:szCs w:val="32"/>
      <w:u w:val="none"/>
    </w:rPr>
  </w:style>
  <w:style w:type="character" w:customStyle="1" w:styleId="font41">
    <w:name w:val="font41"/>
    <w:basedOn w:val="a0"/>
    <w:qFormat/>
    <w:rPr>
      <w:rFonts w:ascii="仿宋" w:eastAsia="仿宋" w:hAnsi="仿宋" w:cs="仿宋" w:hint="eastAsia"/>
      <w:color w:val="000000"/>
      <w:sz w:val="18"/>
      <w:szCs w:val="18"/>
      <w:u w:val="none"/>
    </w:rPr>
  </w:style>
  <w:style w:type="character" w:customStyle="1" w:styleId="font51">
    <w:name w:val="font51"/>
    <w:basedOn w:val="a0"/>
    <w:qFormat/>
    <w:rPr>
      <w:rFonts w:ascii="Times New Roman" w:hAnsi="Times New Roman" w:cs="Times New Roman" w:hint="default"/>
      <w:color w:val="000000"/>
      <w:sz w:val="18"/>
      <w:szCs w:val="18"/>
      <w:u w:val="none"/>
    </w:rPr>
  </w:style>
  <w:style w:type="character" w:customStyle="1" w:styleId="font71">
    <w:name w:val="font71"/>
    <w:basedOn w:val="a0"/>
    <w:qFormat/>
    <w:rPr>
      <w:rFonts w:ascii="仿宋" w:eastAsia="仿宋" w:hAnsi="仿宋" w:cs="仿宋" w:hint="eastAsia"/>
      <w:color w:val="000000"/>
      <w:sz w:val="18"/>
      <w:szCs w:val="18"/>
      <w:u w:val="none"/>
    </w:rPr>
  </w:style>
  <w:style w:type="character" w:customStyle="1" w:styleId="font61">
    <w:name w:val="font61"/>
    <w:basedOn w:val="a0"/>
    <w:qFormat/>
    <w:rPr>
      <w:rFonts w:ascii="Times New Roman" w:hAnsi="Times New Roman" w:cs="Times New Roman" w:hint="default"/>
      <w:color w:val="000000"/>
      <w:sz w:val="18"/>
      <w:szCs w:val="18"/>
      <w:u w:val="none"/>
    </w:rPr>
  </w:style>
  <w:style w:type="character" w:customStyle="1" w:styleId="font101">
    <w:name w:val="font101"/>
    <w:basedOn w:val="a0"/>
    <w:qFormat/>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1B03FC-163E-4DCE-B6B9-CAFBC25458B1}">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24</Pages>
  <Words>7628</Words>
  <Characters>9003</Characters>
  <Application>Microsoft Office Word</Application>
  <DocSecurity>0</DocSecurity>
  <Lines>1000</Lines>
  <Paragraphs>978</Paragraphs>
  <ScaleCrop>false</ScaleCrop>
  <Company>LG</Company>
  <LinksUpToDate>false</LinksUpToDate>
  <CharactersWithSpaces>15653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Esteller燕</dc:creator>
  <cp:lastModifiedBy>lenovo1</cp:lastModifiedBy>
  <cp:revision>17</cp:revision>
  <cp:lastPrinted>2026-06-26T07:25:00Z</cp:lastPrinted>
  <dcterms:created xsi:type="dcterms:W3CDTF">2025-06-05T03:01:00Z</dcterms:created>
  <dcterms:modified xsi:type="dcterms:W3CDTF">2026-06-30T04:36:00Z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973272BBFCD746FCB7708B7FCA2F0EE7_13</vt:lpwstr>
  </property>
  <property fmtid="{D5CDD505-2E9C-101B-9397-08002B2CF9AE}" pid="4" name="KSOTemplateDocerSaveRecord">
    <vt:lpwstr>eyJoZGlkIjoiMzZkMGFmODY0MDdhMDQ2MmU4YmRhNDcwNjI0ZWFhN2YiLCJ1c2VySWQiOiI3MDQ0NDM4NzkifQ==</vt:lpwstr>
  </property>
</Properties>
</file>