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ADB8D">
      <w:pPr>
        <w:widowControl/>
        <w:spacing w:line="56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202</w:t>
      </w:r>
      <w:r>
        <w:rPr>
          <w:rFonts w:hint="eastAsia" w:eastAsia="方正小标宋简体"/>
          <w:sz w:val="36"/>
          <w:szCs w:val="36"/>
          <w:lang w:val="en-US" w:eastAsia="zh-CN"/>
        </w:rPr>
        <w:t>5</w:t>
      </w:r>
      <w:r>
        <w:rPr>
          <w:rFonts w:eastAsia="方正小标宋简体"/>
          <w:sz w:val="36"/>
          <w:szCs w:val="36"/>
        </w:rPr>
        <w:t>年度</w:t>
      </w:r>
      <w:r>
        <w:rPr>
          <w:rFonts w:hint="eastAsia" w:eastAsia="方正小标宋简体"/>
          <w:sz w:val="36"/>
          <w:szCs w:val="36"/>
        </w:rPr>
        <w:t>南京市农业农村局</w:t>
      </w:r>
      <w:r>
        <w:rPr>
          <w:rFonts w:hint="eastAsia" w:ascii="仿宋_GB2312" w:eastAsia="仿宋_GB2312"/>
          <w:sz w:val="32"/>
          <w:szCs w:val="32"/>
        </w:rPr>
        <w:t>——</w:t>
      </w:r>
      <w:r>
        <w:rPr>
          <w:rFonts w:hint="eastAsia" w:eastAsia="方正小标宋简体"/>
          <w:sz w:val="36"/>
          <w:szCs w:val="36"/>
        </w:rPr>
        <w:t>南京市畜牧兽医站</w:t>
      </w:r>
    </w:p>
    <w:p w14:paraId="798EE724">
      <w:pPr>
        <w:widowControl/>
        <w:spacing w:line="560" w:lineRule="exact"/>
        <w:jc w:val="center"/>
        <w:rPr>
          <w:rFonts w:eastAsia="方正小标宋简体"/>
          <w:color w:val="000000"/>
          <w:kern w:val="0"/>
          <w:sz w:val="36"/>
          <w:szCs w:val="36"/>
        </w:rPr>
      </w:pPr>
      <w:r>
        <w:rPr>
          <w:rFonts w:eastAsia="方正小标宋简体"/>
          <w:sz w:val="36"/>
          <w:szCs w:val="36"/>
        </w:rPr>
        <w:t>部门整体绩效自评价报告</w:t>
      </w:r>
    </w:p>
    <w:p w14:paraId="7445BDCF">
      <w:pPr>
        <w:widowControl/>
        <w:spacing w:line="520" w:lineRule="exact"/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</w:p>
    <w:p w14:paraId="37ADA24F">
      <w:pPr>
        <w:widowControl/>
        <w:spacing w:line="560" w:lineRule="exact"/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一、部门（单位）概况</w:t>
      </w:r>
    </w:p>
    <w:p w14:paraId="10F5555F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color w:val="000000"/>
          <w:kern w:val="0"/>
          <w:sz w:val="32"/>
          <w:szCs w:val="32"/>
        </w:rPr>
        <w:t>（一）部门（单位）</w:t>
      </w:r>
      <w:r>
        <w:rPr>
          <w:rFonts w:eastAsia="仿宋"/>
          <w:sz w:val="32"/>
          <w:szCs w:val="32"/>
        </w:rPr>
        <w:t>基本情况</w:t>
      </w:r>
    </w:p>
    <w:p w14:paraId="35205DDF">
      <w:p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1.单位职能</w:t>
      </w:r>
    </w:p>
    <w:p w14:paraId="639F8604">
      <w:pPr>
        <w:spacing w:line="560" w:lineRule="exact"/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南京市畜牧兽医站是全额拨款事业单位，主管部门为南京市农业农村局。</w:t>
      </w:r>
    </w:p>
    <w:p w14:paraId="068EC5DF">
      <w:pPr>
        <w:spacing w:line="560" w:lineRule="exact"/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主要职责为：</w:t>
      </w:r>
      <w:r>
        <w:rPr>
          <w:rFonts w:hint="eastAsia" w:ascii="仿宋" w:hAnsi="仿宋" w:eastAsia="仿宋" w:cs="仿宋"/>
          <w:sz w:val="30"/>
          <w:szCs w:val="30"/>
        </w:rPr>
        <w:t>承担动物重大疫病防控技术的研究推广和防控技术方案的制定工作；承担动物防疫、检疫及疫病的监测、流行病学调査、疫情报告、预警、预报工作；承担动物疫病防控的技术指导、技术培训、科普宣传等工作。</w:t>
      </w:r>
    </w:p>
    <w:p w14:paraId="1F63D18B"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机构设置</w:t>
      </w:r>
    </w:p>
    <w:p w14:paraId="4CD70D12">
      <w:pPr>
        <w:numPr>
          <w:ilvl w:val="0"/>
          <w:numId w:val="0"/>
        </w:num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sz w:val="30"/>
          <w:szCs w:val="30"/>
        </w:rPr>
        <w:t>内设办公室、财务科、防疫科、监测科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ascii="仿宋" w:hAnsi="仿宋" w:eastAsia="仿宋" w:cs="仿宋"/>
          <w:sz w:val="30"/>
          <w:szCs w:val="30"/>
        </w:rPr>
        <w:t>评估室</w:t>
      </w:r>
      <w:r>
        <w:rPr>
          <w:rFonts w:hint="eastAsia" w:ascii="仿宋" w:hAnsi="仿宋" w:eastAsia="仿宋" w:cs="仿宋"/>
          <w:sz w:val="30"/>
          <w:szCs w:val="30"/>
        </w:rPr>
        <w:t>和检疫科</w:t>
      </w:r>
      <w:r>
        <w:rPr>
          <w:rFonts w:ascii="仿宋" w:hAnsi="仿宋" w:eastAsia="仿宋" w:cs="仿宋"/>
          <w:sz w:val="30"/>
          <w:szCs w:val="30"/>
        </w:rPr>
        <w:t>等</w:t>
      </w:r>
      <w:r>
        <w:rPr>
          <w:rFonts w:hint="eastAsia" w:ascii="仿宋" w:hAnsi="仿宋" w:eastAsia="仿宋" w:cs="仿宋"/>
          <w:sz w:val="30"/>
          <w:szCs w:val="30"/>
        </w:rPr>
        <w:t>6</w:t>
      </w:r>
      <w:r>
        <w:rPr>
          <w:rFonts w:ascii="仿宋" w:hAnsi="仿宋" w:eastAsia="仿宋" w:cs="仿宋"/>
          <w:sz w:val="30"/>
          <w:szCs w:val="30"/>
        </w:rPr>
        <w:t>个内设机构。</w:t>
      </w:r>
    </w:p>
    <w:p w14:paraId="5C671F70"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hint="default" w:ascii="仿宋" w:hAnsi="仿宋" w:eastAsia="仿宋" w:cs="仿宋"/>
          <w:sz w:val="30"/>
          <w:szCs w:val="30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人员配置</w:t>
      </w:r>
    </w:p>
    <w:p w14:paraId="7720C107">
      <w:pPr>
        <w:numPr>
          <w:ilvl w:val="0"/>
          <w:numId w:val="0"/>
        </w:num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截止202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年底，我站核定编制数38人，实有在编人数3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 w:cs="仿宋"/>
          <w:sz w:val="30"/>
          <w:szCs w:val="30"/>
        </w:rPr>
        <w:t>人，聘用人员11人，退休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人员</w:t>
      </w:r>
      <w:r>
        <w:rPr>
          <w:rFonts w:hint="eastAsia" w:ascii="仿宋" w:hAnsi="仿宋" w:eastAsia="仿宋" w:cs="仿宋"/>
          <w:sz w:val="30"/>
          <w:szCs w:val="30"/>
        </w:rPr>
        <w:t>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人。</w:t>
      </w:r>
    </w:p>
    <w:p w14:paraId="2B42CC10">
      <w:pPr>
        <w:numPr>
          <w:ilvl w:val="0"/>
          <w:numId w:val="0"/>
        </w:numPr>
        <w:spacing w:line="560" w:lineRule="exact"/>
        <w:ind w:leftChars="200" w:firstLine="300" w:firstLineChars="100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4.部门资产</w:t>
      </w:r>
    </w:p>
    <w:p w14:paraId="61697510">
      <w:pPr>
        <w:numPr>
          <w:ilvl w:val="0"/>
          <w:numId w:val="0"/>
        </w:numPr>
        <w:spacing w:line="560" w:lineRule="exact"/>
        <w:ind w:firstLine="600" w:firstLineChars="200"/>
        <w:jc w:val="left"/>
        <w:rPr>
          <w:rFonts w:hint="default" w:ascii="仿宋" w:hAnsi="仿宋" w:eastAsia="仿宋" w:cs="仿宋"/>
          <w:sz w:val="30"/>
          <w:szCs w:val="30"/>
          <w:lang w:val="en-US"/>
        </w:rPr>
      </w:pPr>
      <w:r>
        <w:rPr>
          <w:rFonts w:hint="eastAsia" w:ascii="仿宋" w:hAnsi="仿宋" w:eastAsia="仿宋" w:cs="仿宋"/>
          <w:sz w:val="30"/>
          <w:szCs w:val="30"/>
        </w:rPr>
        <w:t>我站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资产总额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480.72万元，其中</w:t>
      </w:r>
      <w:r>
        <w:rPr>
          <w:rFonts w:hint="eastAsia" w:ascii="仿宋" w:hAnsi="仿宋" w:eastAsia="仿宋" w:cs="仿宋"/>
          <w:sz w:val="30"/>
          <w:szCs w:val="30"/>
        </w:rPr>
        <w:t>固定资产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净</w:t>
      </w:r>
      <w:r>
        <w:rPr>
          <w:rFonts w:hint="eastAsia" w:ascii="仿宋" w:hAnsi="仿宋" w:eastAsia="仿宋" w:cs="仿宋"/>
          <w:sz w:val="30"/>
          <w:szCs w:val="30"/>
        </w:rPr>
        <w:t>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414.06万元，无形资产净额6.12万元；负债36.97万元,净资产443.75万元。</w:t>
      </w:r>
    </w:p>
    <w:p w14:paraId="25561234">
      <w:pPr>
        <w:widowControl/>
        <w:spacing w:line="560" w:lineRule="exact"/>
        <w:ind w:firstLine="640" w:firstLineChars="200"/>
        <w:jc w:val="left"/>
        <w:rPr>
          <w:rFonts w:eastAsia="仿宋"/>
          <w:kern w:val="0"/>
          <w:sz w:val="24"/>
        </w:rPr>
      </w:pPr>
      <w:r>
        <w:rPr>
          <w:rFonts w:eastAsia="仿宋"/>
          <w:color w:val="000000"/>
          <w:kern w:val="0"/>
          <w:sz w:val="32"/>
          <w:szCs w:val="32"/>
        </w:rPr>
        <w:t>（二）部门（单位）收支情况</w:t>
      </w:r>
    </w:p>
    <w:p w14:paraId="31C496AA">
      <w:pPr>
        <w:spacing w:line="520" w:lineRule="exact"/>
        <w:ind w:firstLine="600" w:firstLineChars="200"/>
        <w:rPr>
          <w:rFonts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1.部门收支情况</w:t>
      </w:r>
    </w:p>
    <w:p w14:paraId="4FB04821">
      <w:pPr>
        <w:spacing w:line="520" w:lineRule="exact"/>
        <w:ind w:firstLine="600" w:firstLineChars="200"/>
        <w:jc w:val="both"/>
        <w:rPr>
          <w:rFonts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2025年预算安排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1428.23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万元，其中：基本支出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1185.88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万元，项目支出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242.35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万元。调整后预算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1495.34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万元，其中：基本支出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1252.99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 xml:space="preserve">万元，主要原因是追加人员经费；项目支出 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242.35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万元。</w:t>
      </w:r>
    </w:p>
    <w:p w14:paraId="396912EC">
      <w:p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实际</w:t>
      </w:r>
      <w:r>
        <w:rPr>
          <w:rFonts w:hint="eastAsia" w:ascii="仿宋" w:hAnsi="仿宋" w:eastAsia="仿宋" w:cs="仿宋"/>
          <w:sz w:val="30"/>
          <w:szCs w:val="30"/>
        </w:rPr>
        <w:t>一般预算拨款收入为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1416.78万</w:t>
      </w:r>
      <w:r>
        <w:rPr>
          <w:rFonts w:hint="eastAsia" w:ascii="仿宋" w:hAnsi="仿宋" w:eastAsia="仿宋" w:cs="仿宋"/>
          <w:sz w:val="30"/>
          <w:szCs w:val="30"/>
        </w:rPr>
        <w:t>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，其中</w:t>
      </w:r>
      <w:r>
        <w:rPr>
          <w:rFonts w:hint="eastAsia" w:ascii="仿宋" w:hAnsi="仿宋" w:eastAsia="仿宋" w:cs="仿宋"/>
          <w:sz w:val="30"/>
          <w:szCs w:val="30"/>
        </w:rPr>
        <w:t>基本支出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1174.44万</w:t>
      </w:r>
      <w:r>
        <w:rPr>
          <w:rFonts w:hint="eastAsia" w:ascii="仿宋" w:hAnsi="仿宋" w:eastAsia="仿宋" w:cs="仿宋"/>
          <w:sz w:val="30"/>
          <w:szCs w:val="30"/>
        </w:rPr>
        <w:t>元，项目支出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242.34万</w:t>
      </w:r>
      <w:r>
        <w:rPr>
          <w:rFonts w:hint="eastAsia" w:ascii="仿宋" w:hAnsi="仿宋" w:eastAsia="仿宋" w:cs="仿宋"/>
          <w:sz w:val="30"/>
          <w:szCs w:val="30"/>
        </w:rPr>
        <w:t>元。</w:t>
      </w:r>
    </w:p>
    <w:p w14:paraId="18718DA3">
      <w:pPr>
        <w:spacing w:before="206" w:line="223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2.三公经费情况</w:t>
      </w:r>
    </w:p>
    <w:p w14:paraId="3D6E09AF">
      <w:pPr>
        <w:spacing w:line="520" w:lineRule="exact"/>
        <w:ind w:firstLine="600" w:firstLineChars="200"/>
        <w:jc w:val="both"/>
        <w:rPr>
          <w:rFonts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三公经费中，因公出国（境）费用年初预算数为0万元，调整后预算数0万元，决算支出数0万元；公务用车购置及运行维护费用年初预算数4.48万元，调整后预算数4.48万元，决算支出数4.48万元；公务接待费年初预算数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0.5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万元，调整后预算数0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.5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万元，决算支出数0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.5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万元。</w:t>
      </w:r>
    </w:p>
    <w:p w14:paraId="5C7E39DD">
      <w:pPr>
        <w:spacing w:before="2" w:line="222" w:lineRule="auto"/>
        <w:ind w:firstLine="632" w:firstLineChars="200"/>
        <w:rPr>
          <w:rFonts w:ascii="仿宋" w:hAnsi="仿宋" w:eastAsia="仿宋" w:cs="仿宋"/>
          <w:spacing w:val="3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3"/>
          <w:sz w:val="31"/>
          <w:szCs w:val="31"/>
          <w:lang w:eastAsia="zh-CN"/>
        </w:rPr>
        <w:t>3.专项资金情况</w:t>
      </w:r>
    </w:p>
    <w:p w14:paraId="61FCCB76">
      <w:pPr>
        <w:spacing w:before="2" w:line="222" w:lineRule="auto"/>
        <w:ind w:firstLine="600" w:firstLineChars="200"/>
      </w:pP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2025年，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我站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共涉及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4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个专项资金项目，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其中市级项目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2个，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预算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120万元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，实际支出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119.99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万元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；省级项目两个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预算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20.8万元，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实际支出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16.14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万元</w:t>
      </w:r>
      <w:r>
        <w:rPr>
          <w:rFonts w:ascii="仿宋" w:hAnsi="仿宋" w:eastAsia="仿宋" w:cs="仿宋"/>
          <w:spacing w:val="4"/>
          <w:sz w:val="31"/>
          <w:szCs w:val="31"/>
          <w:lang w:eastAsia="zh-CN"/>
        </w:rPr>
        <w:t>。</w:t>
      </w:r>
    </w:p>
    <w:p w14:paraId="1B632FEF">
      <w:pPr>
        <w:spacing w:line="560" w:lineRule="exact"/>
        <w:ind w:firstLine="640" w:firstLineChars="200"/>
        <w:rPr>
          <w:rFonts w:eastAsia="仿宋"/>
          <w:color w:val="000000"/>
          <w:kern w:val="0"/>
          <w:sz w:val="32"/>
          <w:szCs w:val="32"/>
        </w:rPr>
      </w:pPr>
      <w:r>
        <w:rPr>
          <w:rFonts w:eastAsia="仿宋"/>
          <w:color w:val="000000"/>
          <w:kern w:val="0"/>
          <w:sz w:val="32"/>
          <w:szCs w:val="32"/>
        </w:rPr>
        <w:t>（三）部门（单位）绩效目标</w:t>
      </w:r>
    </w:p>
    <w:p w14:paraId="65E5EEDF">
      <w:pPr>
        <w:spacing w:line="560" w:lineRule="exact"/>
        <w:ind w:firstLine="640" w:firstLineChars="200"/>
        <w:rPr>
          <w:rFonts w:eastAsia="仿宋"/>
          <w:color w:val="000000"/>
          <w:kern w:val="0"/>
          <w:sz w:val="32"/>
          <w:szCs w:val="32"/>
        </w:rPr>
      </w:pPr>
      <w:r>
        <w:rPr>
          <w:rFonts w:hint="eastAsia" w:eastAsia="仿宋"/>
          <w:color w:val="000000"/>
          <w:kern w:val="0"/>
          <w:sz w:val="32"/>
          <w:szCs w:val="32"/>
        </w:rPr>
        <w:t>单位中长期规划：切实推进各项防控措施的贯彻落实，完成各项既定任务，保障人畜生命健康安全。</w:t>
      </w:r>
    </w:p>
    <w:p w14:paraId="1B643AC0">
      <w:pPr>
        <w:spacing w:line="560" w:lineRule="exact"/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单位年度目标：有效开展重大动物疫病免疫效果监测工作；有效开展重大动物疫病强制免疫和血吸虫病查治工作</w:t>
      </w:r>
      <w:r>
        <w:rPr>
          <w:rFonts w:ascii="仿宋" w:hAnsi="仿宋" w:eastAsia="仿宋" w:cs="仿宋"/>
          <w:sz w:val="30"/>
          <w:szCs w:val="30"/>
        </w:rPr>
        <w:t>。</w:t>
      </w:r>
    </w:p>
    <w:p w14:paraId="124A4F31">
      <w:pPr>
        <w:widowControl/>
        <w:spacing w:line="560" w:lineRule="exact"/>
        <w:ind w:firstLine="640" w:firstLineChars="200"/>
        <w:jc w:val="left"/>
        <w:rPr>
          <w:rFonts w:eastAsia="黑体"/>
          <w:kern w:val="0"/>
          <w:sz w:val="24"/>
        </w:rPr>
      </w:pPr>
      <w:r>
        <w:rPr>
          <w:rFonts w:eastAsia="黑体"/>
          <w:color w:val="000000"/>
          <w:kern w:val="0"/>
          <w:sz w:val="32"/>
          <w:szCs w:val="32"/>
        </w:rPr>
        <w:t>二、评价结论</w:t>
      </w:r>
    </w:p>
    <w:p w14:paraId="60574DE4">
      <w:pPr>
        <w:pStyle w:val="4"/>
        <w:spacing w:line="343" w:lineRule="auto"/>
        <w:ind w:firstLine="600" w:firstLineChars="200"/>
        <w:jc w:val="both"/>
        <w:rPr>
          <w:rFonts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本次评价对象为南京市畜牧兽医站部门整体资金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1416.78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万元。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包括基本支出和项目支出，重点关注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省、市级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专项支出。评价时段为2025年1月1日至12月31日。</w:t>
      </w:r>
    </w:p>
    <w:p w14:paraId="283549BE">
      <w:pPr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从整体情况来看，我单位重视财政资金的支出绩效，在预算、执行、验收、资金支付等流程层层把关，严格按照部门预算进行部门整体支出，涉及</w:t>
      </w:r>
      <w:r>
        <w:rPr>
          <w:rFonts w:ascii="仿宋" w:hAnsi="仿宋" w:eastAsia="仿宋" w:cs="仿宋"/>
          <w:sz w:val="30"/>
          <w:szCs w:val="30"/>
        </w:rPr>
        <w:t>“</w:t>
      </w:r>
      <w:r>
        <w:rPr>
          <w:rFonts w:hint="eastAsia" w:ascii="仿宋" w:hAnsi="仿宋" w:eastAsia="仿宋" w:cs="仿宋"/>
          <w:sz w:val="30"/>
          <w:szCs w:val="30"/>
        </w:rPr>
        <w:t>三重一大</w:t>
      </w:r>
      <w:r>
        <w:rPr>
          <w:rFonts w:ascii="仿宋" w:hAnsi="仿宋" w:eastAsia="仿宋" w:cs="仿宋"/>
          <w:sz w:val="30"/>
          <w:szCs w:val="30"/>
        </w:rPr>
        <w:t>”</w:t>
      </w:r>
      <w:r>
        <w:rPr>
          <w:rFonts w:hint="eastAsia" w:ascii="仿宋" w:hAnsi="仿宋" w:eastAsia="仿宋" w:cs="仿宋"/>
          <w:sz w:val="30"/>
          <w:szCs w:val="30"/>
        </w:rPr>
        <w:t>事项必须经过办公会集体讨论决策。所有项目资金严格按照项目申报的实施方案组织实施，项目实施科室能够加强日常监督。所有专项资金单独核算，按照项目实施方案的要求，如实反映承担的项目收支情况，项目实施期限完成后请第三方进行财务审计。单位依据相应的资金管理办法切实做到了项目资金专款专用，未出现截留或挪用等现象。</w:t>
      </w:r>
    </w:p>
    <w:p w14:paraId="07BE803A">
      <w:pPr>
        <w:spacing w:line="520" w:lineRule="exact"/>
        <w:ind w:firstLine="600" w:firstLineChars="200"/>
      </w:pP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经综合评价，2025年度整体绩效评价得分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为97分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，等级为</w:t>
      </w:r>
      <w:r>
        <w:rPr>
          <w:rFonts w:hint="eastAsia" w:ascii="仿宋" w:hAnsi="仿宋" w:eastAsia="仿宋" w:cs="仿宋"/>
          <w:kern w:val="2"/>
          <w:sz w:val="30"/>
          <w:szCs w:val="30"/>
          <w:lang w:eastAsia="zh-CN"/>
        </w:rPr>
        <w:t>优</w:t>
      </w:r>
      <w:r>
        <w:rPr>
          <w:rFonts w:ascii="仿宋" w:hAnsi="仿宋" w:eastAsia="仿宋" w:cs="仿宋"/>
          <w:kern w:val="2"/>
          <w:sz w:val="30"/>
          <w:szCs w:val="30"/>
          <w:lang w:eastAsia="zh-CN"/>
        </w:rPr>
        <w:t>。</w:t>
      </w:r>
    </w:p>
    <w:p w14:paraId="2AD12C82">
      <w:pPr>
        <w:widowControl/>
        <w:spacing w:line="560" w:lineRule="exact"/>
        <w:ind w:firstLine="640" w:firstLineChars="200"/>
        <w:jc w:val="left"/>
        <w:rPr>
          <w:rFonts w:eastAsia="黑体"/>
          <w:kern w:val="0"/>
          <w:sz w:val="24"/>
        </w:rPr>
      </w:pPr>
      <w:r>
        <w:rPr>
          <w:rFonts w:eastAsia="黑体"/>
          <w:color w:val="000000"/>
          <w:kern w:val="0"/>
          <w:sz w:val="32"/>
          <w:szCs w:val="32"/>
        </w:rPr>
        <w:t>三、部门履职成效</w:t>
      </w:r>
    </w:p>
    <w:p w14:paraId="3DA33B38">
      <w:pPr>
        <w:spacing w:line="560" w:lineRule="exact"/>
        <w:ind w:firstLine="602" w:firstLineChars="200"/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</w:rPr>
        <w:t>常抓不懈，筑牢重大动物疫病防控屏障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一是夯实强制免疫。印发《关于做好2025年全市重大动物疫病防控工作的通知》，高效开展春秋季畜禽集中防疫、夏季集中补免和日常重大动物疫病强制免疫工作，畜禽强制免疫疫病应免率达100%。二是织密监测网络。科学制定监测方案，坚持常规监测和专项监测、主动监测和被动监测、抗体检测和病原检测相结合，充分发挥检测工作的“雷达”和“前哨”作用。全市共监测禽流感、口蹄疫、布病、结合等重大动物疫病布病，实现了风险隐患早期发现、快速感知。三是持续推进“先打后补”。全市符合条件的畜禽规模养殖场（户）共计75家，已全部纳入实施范围。四是组织实施“三灭四消”行动。全年开展四轮灭蚊灭蝇灭鼠和清洗消毒专项行动，有效阻断病原病菌传播路径。五是开展重点规模场疫病风险预警。走访规模养殖场，发放疫病风险预警提醒，督促并指导场负责人落实整改措施，降低疫病风险隐患。</w:t>
      </w:r>
    </w:p>
    <w:p w14:paraId="5CD7B17C">
      <w:pPr>
        <w:spacing w:line="560" w:lineRule="exact"/>
        <w:ind w:firstLine="602" w:firstLineChars="200"/>
        <w:jc w:val="left"/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2、</w:t>
      </w:r>
      <w:r>
        <w:rPr>
          <w:rFonts w:hint="default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系统施策，织密人畜共患病防控网络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一是强化宣传。印发《人兽共患病防控科普手册》份，拍摄《牛羊布病防控知多少》《家畜血吸虫病防控之密码》等视频，广泛宣传，将“政府主导”逐步拓展为“社会共担”。二是推进狂犬疫苗免疫。设立犬类免疫点，实现涉农街镇全覆盖。三是开展重点监测。开展狂犬病、牛羊布病、结核病、家畜血吸虫等监测；完成国家公祭日信鸽和候鸟迁徙区域环境样品禽流感病原监测。四是完成血防验收工作。8月，六合区家畜血吸虫病消除工作通过省级评估，至此，我市11个区实现全域达标。</w:t>
      </w:r>
    </w:p>
    <w:p w14:paraId="2303BED6">
      <w:pPr>
        <w:spacing w:line="560" w:lineRule="exact"/>
        <w:ind w:firstLine="602" w:firstLineChars="200"/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3、</w:t>
      </w:r>
      <w:r>
        <w:rPr>
          <w:rFonts w:hint="default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综合发力，持续提升无疫净化水平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一是开展底数摸排，强化宣传动员，积极引导具备条件的规模场参与净化申报。二是实施精准指导，集中技术力量开展“一场一策”技术指导。团队深入基层五十余次，协助推动企业硬件设施提升和生物安全管理措施的落实。2025年，南京优然牧业通过省级“两病”净化场验收，南京红松生态农业有限公司通过国家级现场评估，成为全市首家无非洲猪瘟小区。</w:t>
      </w:r>
    </w:p>
    <w:p w14:paraId="77B2D4EE">
      <w:pPr>
        <w:spacing w:line="560" w:lineRule="exact"/>
        <w:ind w:firstLine="602" w:firstLineChars="200"/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4、</w:t>
      </w:r>
      <w:r>
        <w:rPr>
          <w:rFonts w:hint="default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全程严管，守牢动物检疫安全底线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一是严格犬猫检疫操作。印发《告知书》，明确检疫受理要求，严格按照检疫规程实施现场查验，优化工作流程，提高工作效率。二是强化检疫核查。核查产地检疫、屠宰检疫出证，整改查处不规范现象。三是高效处置各类工单。接收咨询电话、处理“12345”工单，第一时间进行分析研判，按期办结。2025年获群众感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谢信1封。四是建强官方兽医队伍。全市新增官方兽医8人，解除任命7人，组织举办全市官方兽医骨干培训及动物检疫技能竞赛集训，斩获省级个人二、三等奖各1项及团体三等奖。</w:t>
      </w:r>
    </w:p>
    <w:p w14:paraId="7538D1CF">
      <w:pPr>
        <w:spacing w:line="560" w:lineRule="exact"/>
        <w:ind w:firstLine="602" w:firstLineChars="200"/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5、</w:t>
      </w:r>
      <w:r>
        <w:rPr>
          <w:rFonts w:hint="default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强基固本，增强实验室支撑与生物安全保障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一是检测能力实现新拓展。积极拓展检测项目覆盖面，在全省范围内率先开展布病病原学检测。严格参加省级能力验证比对实验，结果符合率保持100%</w:t>
      </w:r>
      <w:r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二是实验室备案管理规范推进。完成11家兽医实验室备案材料审核上报，组织全市实验室生物安全专题培训及现场观摩；对3个区兽医实验室开展现场指导，协助省级检查组完成5家实验室生物安全检查，督促问题整改闭环并提交材料，压实生物安全责任。三是国家疫情测报站工作稳步开展。年度高质量完成猪、禽、牛、羊4类动物9种疫病监测；同步做好本市4家监测站（点）的任务提示与业务指导。</w:t>
      </w:r>
    </w:p>
    <w:p w14:paraId="2FFC8C79">
      <w:pPr>
        <w:spacing w:line="560" w:lineRule="exact"/>
        <w:ind w:firstLine="602" w:firstLineChars="200"/>
        <w:jc w:val="left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6、</w:t>
      </w:r>
      <w:r>
        <w:rPr>
          <w:rFonts w:hint="default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提质增效，深化技术培训与宣传服务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一是淬炼专业队伍强本领。举办春、秋季动物疫病暨人畜共患病防控技术培训会，覆盖全市11区及涉农街道负责人200余人次；围绕猪、羊采样、实验室生物安全等核心内容，采取“理论+实操+示范”模式培训100余人次。二是推动技术落地促转型。围绕“蛋鸡养殖减抗关键技术集成与示范”项目，组织培训养殖及基层技术人员215人次。三是锤炼应急尖兵提质效。协助市局在浦口区举办江苏省暨南京市突发重大动物疫情应急演练。四是下沉技术服务解难题。赴中山陵音乐台、红山森林动物园、六合区等多个区域开展常态化防疫指导，深入养殖场开展技术服务；市区两级快速反应、科学应对处置应急事件，成功避免事态扩散蔓延。五是创新宣传引导扩影响。围绕动物疫病防控等重点工作，在南京新风、省广电交通广播等强化宣传；与红山森林动物园开展“同一个健康”共建活动。</w:t>
      </w:r>
    </w:p>
    <w:p w14:paraId="2494683E">
      <w:pPr>
        <w:widowControl/>
        <w:spacing w:line="560" w:lineRule="exact"/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四、存在问题及原因分析</w:t>
      </w:r>
    </w:p>
    <w:p w14:paraId="0ABB9267">
      <w:pPr>
        <w:pStyle w:val="11"/>
        <w:spacing w:line="560" w:lineRule="exact"/>
        <w:ind w:left="0" w:leftChars="0" w:firstLine="6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为适应新形势、新要求，工作体系和人员素质有待进一步提升，技术模式和设施装备有待进一步加强完善。</w:t>
      </w:r>
    </w:p>
    <w:p w14:paraId="56210661">
      <w:pPr>
        <w:numPr>
          <w:ilvl w:val="0"/>
          <w:numId w:val="2"/>
        </w:numPr>
        <w:spacing w:line="560" w:lineRule="exact"/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有关建议</w:t>
      </w:r>
    </w:p>
    <w:p w14:paraId="3524D808">
      <w:pPr>
        <w:pStyle w:val="11"/>
        <w:spacing w:line="560" w:lineRule="exact"/>
        <w:ind w:left="0" w:leftChars="0" w:firstLine="6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加强动物疫病防控体系建设，改善动物防疫工作条件。</w:t>
      </w:r>
    </w:p>
    <w:p w14:paraId="686A7066">
      <w:pPr>
        <w:spacing w:line="560" w:lineRule="exact"/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六、评价工作开展情况及其他需说明的情况</w:t>
      </w:r>
    </w:p>
    <w:p w14:paraId="06522841">
      <w:pPr>
        <w:spacing w:line="560" w:lineRule="exact"/>
        <w:ind w:firstLine="960" w:firstLineChars="300"/>
        <w:jc w:val="left"/>
        <w:rPr>
          <w:rFonts w:eastAsia="仿宋"/>
          <w:sz w:val="32"/>
          <w:szCs w:val="32"/>
        </w:rPr>
      </w:pPr>
      <w:r>
        <w:rPr>
          <w:rFonts w:hint="eastAsia" w:eastAsia="仿宋"/>
          <w:sz w:val="32"/>
          <w:szCs w:val="32"/>
        </w:rPr>
        <w:t>无。</w:t>
      </w:r>
    </w:p>
    <w:p w14:paraId="1F100887">
      <w:pPr>
        <w:pStyle w:val="3"/>
        <w:spacing w:line="560" w:lineRule="exact"/>
        <w:jc w:val="left"/>
      </w:pPr>
    </w:p>
    <w:p w14:paraId="7D3FFC0C"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FB0A6EF">
      <w:pPr>
        <w:rPr>
          <w:rFonts w:eastAsia="仿宋"/>
          <w:sz w:val="28"/>
        </w:rPr>
      </w:pPr>
      <w:r>
        <w:rPr>
          <w:rFonts w:hint="eastAsia" w:eastAsia="仿宋"/>
          <w:sz w:val="28"/>
        </w:rPr>
        <w:t>附件：部门整体绩效评价自评表</w:t>
      </w:r>
    </w:p>
    <w:tbl>
      <w:tblPr>
        <w:tblStyle w:val="8"/>
        <w:tblW w:w="166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66"/>
        <w:gridCol w:w="794"/>
        <w:gridCol w:w="4110"/>
        <w:gridCol w:w="2977"/>
        <w:gridCol w:w="2008"/>
        <w:gridCol w:w="2008"/>
        <w:gridCol w:w="1379"/>
        <w:gridCol w:w="1379"/>
      </w:tblGrid>
      <w:tr w14:paraId="4F3DC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tblHeader/>
          <w:jc w:val="center"/>
        </w:trPr>
        <w:tc>
          <w:tcPr>
            <w:tcW w:w="1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7FB50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4A5F1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4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A33CC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29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48B0C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指标说明</w:t>
            </w:r>
          </w:p>
        </w:tc>
        <w:tc>
          <w:tcPr>
            <w:tcW w:w="2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</w:tcPr>
          <w:p w14:paraId="2BE9160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eastAsia="zh-CN"/>
              </w:rPr>
              <w:t>权重</w:t>
            </w:r>
          </w:p>
        </w:tc>
        <w:tc>
          <w:tcPr>
            <w:tcW w:w="2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</w:tcPr>
          <w:p w14:paraId="7F5D022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评价要点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eastAsia="zh-CN"/>
              </w:rPr>
              <w:t>及评分规则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30792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扣分原因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B5509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  <w:t>自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评得分</w:t>
            </w:r>
          </w:p>
        </w:tc>
      </w:tr>
      <w:tr w14:paraId="36080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505E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A单位决策（15分）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2C3B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A1决策机制（5分）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CB86A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A11决策制度的规范性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0B2C47"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“规范”衡量流程执行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066FED3"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9E9A616">
            <w:pPr>
              <w:widowControl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</w:rPr>
              <w:t>评价要点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</w:rPr>
              <w:t>决策制度有相关的流程图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；评分规则：规范即得分，否则不得分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5170BC"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4B0B73">
            <w:pPr>
              <w:widowControl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</w:rPr>
              <w:t>2</w:t>
            </w:r>
          </w:p>
        </w:tc>
      </w:tr>
      <w:tr w14:paraId="5174D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FCCE44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62E13D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7E1D1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A12决策流程的科学性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A031F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“科学”衡量流程的设计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EE7CC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2D221A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流程设计科学合理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科学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079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AA5C6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66A51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71C6F7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F693B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326B6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A13决策执行监督制衡机制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E7F77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监督制衡机制的设置与运行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649A7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0821FA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监督制衡机制设置有效且正常运行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；评分规则：存在制衡机制即得分，否则不得分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530E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502B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</w:tr>
      <w:tr w14:paraId="73510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522521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9112C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A2中长期规划（3分）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868FF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A21中长期规划明确性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615E6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符合国家法律法规、国民经济和社会发展规划要求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93A727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343E41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具体明确可执行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；评分规则：可行即得分，否则不得分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144C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9341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2CF38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8F90E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8BFA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EBA86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A22中长期规划与部门职能的匹配性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4ECE6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与单位职能、发展规划和工作计划密切相关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286C7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9057B9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部门职能相匹配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；评分规则：匹配即得分，否则不得分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6EB58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1A37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1A80E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F9CAC0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19FD2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A3年度工作计划（3分）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C2E8B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A31年度工作计划明确性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DB7AA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年度工作计划明确可行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551A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CB9760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评价年度工作计划是否明确可执行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评分规则：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明确可行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3502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D94E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2BCD3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C097C4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2800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C7746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A32年度工作计划与部门职能的匹配性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EC61D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与部门职能密切相关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9EF9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D7AB95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评价其与部门职能相匹配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；评分规则：匹配即得分，否则不得分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78548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6C2BE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3CDE4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EA38B5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FDEB5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A4部门预算编制（4分）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04243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A41预算编制科学规范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A7637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预算编制指“内部预算编制”，“科学”衡量制度设计，“规范”衡量流程执行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A2315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866244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检查相关的预算制度文件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；评分规则：科学规范即得分，否则不得分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1262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8375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5E2C4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0B843A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7993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5A81B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A42预算编制与重点工作任务的匹配性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D7912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预算编制指“内部预算编制”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B46BD8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2350FF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工作任务分解表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；评分规则：匹配即得分，否则不得分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D8E8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5F52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69BC2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CFC3E9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B单位管理（20分）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DE5F8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B1预算执行（4分）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36963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B11部门预算执行率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82EED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与市财政局预算处考核口径一致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FFA9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DCAFA1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与市财政局预算处考核口径一致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；评分规则：一致即得分，否则不得分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F6EE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0FB5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</w:tr>
      <w:tr w14:paraId="1E5B9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BBC8D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8340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666BF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B12专项资金执行率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19EF7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与市财政局预算处考核口径一致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C701B9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882C23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与市财政局预算处考核口径一致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；评分规则：一致即得分，否则不得分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24F1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C6F8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</w:tr>
      <w:tr w14:paraId="46970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565E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78FD7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82B4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B13“三公”经费控制率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8CB3E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“三公”经费使用超支扣分，若不超支则不扣分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A2346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2B3049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三公经费使用情况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；评分规则：不超支即得分，否则不得分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F64F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8EBC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</w:tr>
      <w:tr w14:paraId="4A7EC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1E28D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9A2A1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C2A18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B14预决算信息公开情况 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5FABB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预决算是否在“双平台”进行公开，内容和时限是否符合要求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BDA66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B74688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积极配合主管部门完成预决算信息公开工作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；评分规则：符合要求即得分，否则不得分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E3E4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A5180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</w:tr>
      <w:tr w14:paraId="00CB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27C75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EFE3E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B2收支管理（2分）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65D5E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B21收支管理制度健全性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658C1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制度建立健全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3365D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D453A8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制度建立健全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；评分规则：健全即得分，否则不得分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DBA6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8747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772BF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3CC5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45A843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1FFEE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B22收支管理是否按制度执行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4F8B1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制度执行并运行有效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1D4AA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C89E73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制度执行并运行有效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；评分规则：有效即得分，否则不得分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F274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9C3B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7B3A6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EDA11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37F9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B3资产管理（2分）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2BCB7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B31资产管理制度健全性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FCEAD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制度建立健全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3CF135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F123B4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制度是否建立健全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；评分规则：健全即得分，否则不得分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B212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1E293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4E7DE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7640A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5B823F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21BDC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B32资产管理是否按制度执行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D36F81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制度执行并运行有效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56AC8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BA16C9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制度是否执行并运行有效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；评分规则：有效即得分，否则不得分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8B496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C5E5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1A893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CE456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3410F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B4政府采购管理（2分）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852DC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B41政府采购管理制度健全性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FFB13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制度建立健全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5CC7E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076E63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制度是否建立健全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；评分规则：健全即得分，否则不得分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B6570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920C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45356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391BE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F3BCD2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43D50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B42政府采购管理是否按制度执行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866BA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制度执行并运行有效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1A4E3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32E075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制度是否执行并运行有效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；评分规则：有效即得分，否则不得分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50DF3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1BD9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11B76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ADC32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9C738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B5建设项目管理（适用）（2分）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CA39D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B51建设项目管理制度健全性</w:t>
            </w:r>
          </w:p>
        </w:tc>
        <w:tc>
          <w:tcPr>
            <w:tcW w:w="297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F6948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此项指标根据各个单位具体职能选择是否适用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7D2AB8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90BB5F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如不适用得满分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102A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E18E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3EF9C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6B703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8C881A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FF569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B52建设项目管理是否按制度执行</w:t>
            </w:r>
          </w:p>
        </w:tc>
        <w:tc>
          <w:tcPr>
            <w:tcW w:w="297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95334B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6B21A9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0CCBCB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如不适用得满分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2BD3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2D2D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30E28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26FED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00C402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B6内部控制管理（4分）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DD4872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B61内部控制建设情况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496B00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内部控制领导小组、工作小组的成立、内控制度设计、手册编制等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98677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C5CE362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是否成立内控领导小组、工作小组，是否有内部控制制度落实在手册等文本上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653B3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5A77F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</w:tr>
      <w:tr w14:paraId="49D7B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A9B69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5672F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2D707F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B62内部控制执行情况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4174A7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内部控制执行并一贯执行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3C58C8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02BA76F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通过重新执行程序评价内控是否有效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886A5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3E27F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</w:t>
            </w:r>
          </w:p>
        </w:tc>
      </w:tr>
      <w:tr w14:paraId="2D656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FB79E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43A22A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7EA23E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B63内部控制监督评价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11B8F1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内部控制监督设计评价和运行评价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440C58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19A6BC8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是否有单位内部内控评价报告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B6ABC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056F6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</w:tr>
      <w:tr w14:paraId="3F5D8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A11F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D16AF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B7预算绩效管理（4分）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60446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B71组织管理情况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210D3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主要包含制度建设、职能配置、分行业的指标体系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F6A76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C28A85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是否有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制度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建设，与职能配置情况，指标体系构成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FEE6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DA37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</w:tr>
      <w:tr w14:paraId="7E349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EC229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1CF46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07574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B72工作开展情况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21BAB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包含事前评估、目标管理、跟踪评价、自评价和整改落实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DC934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7D62B4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考察政策（项目）是否有5个报告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2489C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EBFB3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054E7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A9B5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1704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9A6BC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B73绩效信息公开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0C6D1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绩效信息是否按照规定的内容和时限在“双平台”进行公开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051641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7B5D54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积极配合主管部门完成相关数据的提供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A2ED1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CD36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</w:tr>
      <w:tr w14:paraId="76891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C4942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C单位履职(可选方式1：重点工作完成情况)（30分）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86687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C1重点工作数量完成率（1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59DA04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64C07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与年初计划相比较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FB8D7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5FDFD3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检查数量完成情况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45D3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0351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</w:tr>
      <w:tr w14:paraId="3B899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4E6B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10BB0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C2重点工作质量达标率（1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D7256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C6EE3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与年初自定的绩效目标相比较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5CF6B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CF720C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检查质量完成情况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504C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0F50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</w:tr>
      <w:tr w14:paraId="48688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7E2F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51D93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C3重点工作完成及时率（1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BA693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86083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参照财政部门及主管部门规定的要求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5B0DCE9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E78D0D0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检查比如资金的使用，审计报告、验收报告等完成情况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；评分规则：达到要求即得满分，晚出具扣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分，未出具扣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2分。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2C62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少数项目验收报告出具稍晚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F193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9</w:t>
            </w:r>
          </w:p>
        </w:tc>
      </w:tr>
      <w:tr w14:paraId="45D48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8AA11C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D履职绩效（30分）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0635FD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D1经济效益（</w:t>
            </w:r>
            <w:r>
              <w:rPr>
                <w:rFonts w:ascii="仿宋" w:hAnsi="仿宋" w:eastAsia="仿宋" w:cs="宋体"/>
                <w:kern w:val="0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C512BF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A93AB8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经济活动中取得的收益性成果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29B55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EF9F032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计算经济性成果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；评分规则：达到要求即得满分，未考虑经济效益扣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分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。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31825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公益性单位不涉及经济收益，故未充分考虑经济效益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D53A3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</w:tr>
      <w:tr w14:paraId="6090D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EB392A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09C78E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D2社会效益（</w:t>
            </w:r>
            <w:r>
              <w:rPr>
                <w:rFonts w:ascii="仿宋" w:hAnsi="仿宋" w:eastAsia="仿宋" w:cs="宋体"/>
                <w:kern w:val="0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D51BA0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7CB1EA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　经济效益之外的对社会有益的效果 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B6D36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25FAA8F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评价社会性有益效果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468AC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9A7AC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</w:tr>
      <w:tr w14:paraId="0831C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280B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A096E0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D3生态效益（</w:t>
            </w:r>
            <w:r>
              <w:rPr>
                <w:rFonts w:ascii="仿宋" w:hAnsi="仿宋" w:eastAsia="仿宋" w:cs="宋体"/>
                <w:kern w:val="0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18A7FE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7C87A2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生态平衡和生态系统的良性高效循环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ADE4A3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7FE74C7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评价生态平衡及系统循环情况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53690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92277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</w:tr>
      <w:tr w14:paraId="053A1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242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3F3781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8B65E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D4满意度（6分）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6BD4B7A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DF5591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包含服务对象（可选）、管理对象（可选）、间接受益对象（可选）等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2CC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749D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涉及检查服务对象、管理对象、间接受益对象评价表；未涉及可得满分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；评分规则：达到要求即得分，否则不得分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9CB88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85EED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</w:tr>
      <w:tr w14:paraId="04D9E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E89467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E可持续发展能力（5分）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B92CD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E1信息化建设情况（5分）</w:t>
            </w:r>
          </w:p>
        </w:tc>
        <w:tc>
          <w:tcPr>
            <w:tcW w:w="4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4FD4B8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不设三级指标</w:t>
            </w:r>
          </w:p>
        </w:tc>
        <w:tc>
          <w:tcPr>
            <w:tcW w:w="29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B8362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办公流程、业务开展是否能通过单位的信息系统实现</w:t>
            </w:r>
          </w:p>
        </w:tc>
        <w:tc>
          <w:tcPr>
            <w:tcW w:w="2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95A5F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0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FB7E21C">
            <w:pPr>
              <w:widowControl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检查或进行穿行测试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；评分规则：达到要求即得满分，否则扣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eastAsia="zh-CN"/>
              </w:rPr>
              <w:t>分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lang w:val="en-US" w:eastAsia="zh-CN"/>
              </w:rPr>
              <w:t>.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059189">
            <w:pPr>
              <w:widowControl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信息化仅在部分业务活动中使用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C851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4</w:t>
            </w:r>
          </w:p>
        </w:tc>
      </w:tr>
      <w:tr w14:paraId="5504D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03263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84E58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E2人力资源建设情况（可选）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351688B">
            <w:pPr>
              <w:widowControl/>
              <w:rPr>
                <w:rFonts w:hAnsi="等线" w:cs="宋体"/>
                <w:color w:val="000000"/>
                <w:kern w:val="0"/>
                <w:sz w:val="22"/>
              </w:rPr>
            </w:pPr>
            <w:r>
              <w:rPr>
                <w:rFonts w:hint="eastAsia" w:hAnsi="等线" w:cs="宋体"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E9A68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包含人才培养计划、人才选拔运用、激励措施等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D482ED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9B658F6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适用检查是否有人才培养计划、人才选拔运用及激励措施方面形成的文件；不适用可得满分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32F41B0">
            <w:pPr>
              <w:widowControl/>
              <w:rPr>
                <w:rFonts w:hint="eastAsia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E1A3A42">
            <w:pPr>
              <w:widowControl/>
              <w:rPr>
                <w:rFonts w:hint="eastAsia" w:hAnsi="等线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hAnsi="等线" w:cs="宋体"/>
                <w:color w:val="000000"/>
                <w:kern w:val="0"/>
                <w:sz w:val="22"/>
              </w:rPr>
              <w:t>　</w:t>
            </w:r>
            <w:r>
              <w:rPr>
                <w:rFonts w:hint="eastAsia" w:hAnsi="等线" w:cs="宋体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</w:tr>
      <w:tr w14:paraId="1FB0C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C0CD5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2E4D6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E3部门创新情况（可选）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CDA0B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F99A40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包含制度创新、方法创新等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2F00B48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5311132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部门（单位）需提供创新案例被官方媒体报道的佐证材料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1057D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57EC5D7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</w:tr>
      <w:tr w14:paraId="23578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2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B0628A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F加减分项（≤5分）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873E1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F1加分项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F46E17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　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69BFFA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部门（单位）受到国务院、省级、市级嘉奖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D0B53E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F469C7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受到国务院嘉奖加3分，受到省级嘉奖加2分，得到市级考核一等奖加1分，得到市级考核二等奖加0.5分；同一项工作不累计加分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E5F5E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ED491F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0</w:t>
            </w:r>
          </w:p>
        </w:tc>
      </w:tr>
      <w:tr w14:paraId="3D079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A8A3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4B4C0C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F2减分项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6743452">
            <w:pPr>
              <w:widowControl/>
              <w:rPr>
                <w:rFonts w:hAnsi="等线" w:cs="宋体"/>
                <w:color w:val="000000"/>
                <w:kern w:val="0"/>
                <w:sz w:val="22"/>
              </w:rPr>
            </w:pPr>
            <w:r>
              <w:rPr>
                <w:rFonts w:hint="eastAsia" w:hAnsi="等线" w:cs="宋体"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不设三级指标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9C7C53B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部门（单位）或工作人员违法违纪</w:t>
            </w: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B6AD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9629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酌情扣分</w:t>
            </w: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54CC54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3B26797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0</w:t>
            </w:r>
          </w:p>
        </w:tc>
      </w:tr>
      <w:tr w14:paraId="5F38C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0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9FA32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1897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BCA7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合计得分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DB4D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B080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97</w:t>
            </w:r>
          </w:p>
        </w:tc>
      </w:tr>
    </w:tbl>
    <w:p w14:paraId="1AE2EB9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BB8881-D2EE-422B-86C9-84F2DE07CBC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86AED2F5-1280-4B3B-867F-2EE0EFEF26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2FCFC5-3575-4ADC-96FE-BF5EA07700C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7ADBEB6-B60D-4702-B1A3-7EB2786E169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ABEEFAB5-F4D8-4C87-8ABD-A496FE28B59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FC071883-393A-4205-AD08-005D8947EDDE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0EB10">
    <w:pPr>
      <w:pStyle w:val="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377DF6F"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24C37"/>
    <w:multiLevelType w:val="singleLevel"/>
    <w:tmpl w:val="86624C3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08FFF4"/>
    <w:multiLevelType w:val="singleLevel"/>
    <w:tmpl w:val="1A08FFF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7600636"/>
    <w:rsid w:val="00795697"/>
    <w:rsid w:val="0089265F"/>
    <w:rsid w:val="00917D1D"/>
    <w:rsid w:val="00A03002"/>
    <w:rsid w:val="034040D9"/>
    <w:rsid w:val="048E7480"/>
    <w:rsid w:val="05CE10BC"/>
    <w:rsid w:val="07600636"/>
    <w:rsid w:val="0AA642C9"/>
    <w:rsid w:val="0BE4744A"/>
    <w:rsid w:val="10B244F7"/>
    <w:rsid w:val="138E4DA7"/>
    <w:rsid w:val="14714741"/>
    <w:rsid w:val="16260CA4"/>
    <w:rsid w:val="1E5D0198"/>
    <w:rsid w:val="1F6B0692"/>
    <w:rsid w:val="22032E04"/>
    <w:rsid w:val="27BB051C"/>
    <w:rsid w:val="28801FE8"/>
    <w:rsid w:val="2B7803BF"/>
    <w:rsid w:val="2C5F332D"/>
    <w:rsid w:val="2DE8378F"/>
    <w:rsid w:val="395802BC"/>
    <w:rsid w:val="3CE97DFF"/>
    <w:rsid w:val="40994C08"/>
    <w:rsid w:val="409D02A7"/>
    <w:rsid w:val="411029F0"/>
    <w:rsid w:val="42FC147E"/>
    <w:rsid w:val="45A2269A"/>
    <w:rsid w:val="4A513E5D"/>
    <w:rsid w:val="4AC57C4E"/>
    <w:rsid w:val="506F7733"/>
    <w:rsid w:val="56C27BD8"/>
    <w:rsid w:val="57CF6D09"/>
    <w:rsid w:val="5CEC5C67"/>
    <w:rsid w:val="5E604706"/>
    <w:rsid w:val="5F4E2C09"/>
    <w:rsid w:val="626D1D8F"/>
    <w:rsid w:val="6C3A69EF"/>
    <w:rsid w:val="6DA3699D"/>
    <w:rsid w:val="6DD26CD0"/>
    <w:rsid w:val="743E4BA3"/>
    <w:rsid w:val="76C23869"/>
    <w:rsid w:val="77974BD3"/>
    <w:rsid w:val="7A010B4C"/>
    <w:rsid w:val="7A9C6AE0"/>
    <w:rsid w:val="7B047C5F"/>
    <w:rsid w:val="7C9E26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0"/>
    <w:pPr>
      <w:spacing w:line="500" w:lineRule="exact"/>
    </w:pPr>
    <w:rPr>
      <w:rFonts w:ascii="仿宋_GB2312" w:hAnsi="仿宋_GB2312"/>
      <w:sz w:val="28"/>
    </w:rPr>
  </w:style>
  <w:style w:type="paragraph" w:styleId="3">
    <w:name w:val="index 1"/>
    <w:basedOn w:val="1"/>
    <w:next w:val="1"/>
    <w:qFormat/>
    <w:uiPriority w:val="0"/>
  </w:style>
  <w:style w:type="paragraph" w:styleId="4">
    <w:name w:val="Body Text"/>
    <w:basedOn w:val="1"/>
    <w:next w:val="5"/>
    <w:qFormat/>
    <w:uiPriority w:val="99"/>
    <w:pPr>
      <w:spacing w:after="120"/>
    </w:p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/>
    </w:rPr>
  </w:style>
  <w:style w:type="paragraph" w:customStyle="1" w:styleId="11">
    <w:name w:val="BodyText1I2"/>
    <w:basedOn w:val="12"/>
    <w:qFormat/>
    <w:uiPriority w:val="0"/>
    <w:pPr>
      <w:ind w:firstLine="420"/>
    </w:pPr>
  </w:style>
  <w:style w:type="paragraph" w:customStyle="1" w:styleId="12">
    <w:name w:val="BodyTextIndent"/>
    <w:basedOn w:val="1"/>
    <w:qFormat/>
    <w:uiPriority w:val="0"/>
    <w:pPr>
      <w:snapToGrid w:val="0"/>
      <w:spacing w:after="120" w:line="590" w:lineRule="atLeast"/>
      <w:ind w:left="420" w:leftChars="200" w:firstLine="200" w:firstLineChars="200"/>
      <w:textAlignment w:val="baseline"/>
    </w:pPr>
    <w:rPr>
      <w:rFonts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4820</Words>
  <Characters>5082</Characters>
  <Lines>16</Lines>
  <Paragraphs>4</Paragraphs>
  <TotalTime>21</TotalTime>
  <ScaleCrop>false</ScaleCrop>
  <LinksUpToDate>false</LinksUpToDate>
  <CharactersWithSpaces>5111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2025-06-12T06:11:00Z</dcterms:created>
  <dc:creator>金维佳</dc:creator>
  <cp:lastModifiedBy>杨心辰</cp:lastModifiedBy>
  <dcterms:modified xsi:type="dcterms:W3CDTF">2026-06-29T07:55:03Z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C70F5237FB624FA5B5F73A2F954E58DE_11</vt:lpwstr>
  </property>
  <property fmtid="{D5CDD505-2E9C-101B-9397-08002B2CF9AE}" pid="4" name="KSOTemplateDocerSaveRecord">
    <vt:lpwstr>eyJoZGlkIjoiYmZlYjc2NjE5ZmYzYWRlYjRlMzY0OTAxODhjN2MxZDIiLCJ1c2VySWQiOiI0MTQwMzA2MTQifQ==</vt:lpwstr>
  </property>
</Properties>
</file>