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rPr>
          <w:rFonts w:ascii="方正小标宋简体" w:eastAsia="方正小标宋简体" w:cs="宋体"/>
          <w:color w:val="000000"/>
          <w:kern w:val="0"/>
          <w:sz w:val="40"/>
          <w:szCs w:val="36"/>
        </w:rPr>
      </w:pPr>
      <w:r>
        <w:rPr>
          <w:rFonts w:ascii="方正小标宋简体" w:eastAsia="方正小标宋简体" w:cs="宋体"/>
          <w:color w:val="000000"/>
          <w:kern w:val="0"/>
          <w:sz w:val="40"/>
          <w:szCs w:val="36"/>
        </w:rPr>
        <w:t>202</w:t>
      </w:r>
      <w:r>
        <w:rPr>
          <w:rFonts w:hint="eastAsia" w:ascii="方正小标宋简体" w:eastAsia="方正小标宋简体" w:cs="宋体"/>
          <w:color w:val="000000"/>
          <w:kern w:val="0"/>
          <w:sz w:val="40"/>
          <w:szCs w:val="36"/>
          <w:lang w:val="en-US" w:eastAsia="zh-CN"/>
        </w:rPr>
        <w:t>5</w:t>
      </w:r>
      <w:r>
        <w:rPr>
          <w:rFonts w:ascii="方正小标宋简体" w:eastAsia="方正小标宋简体" w:cs="宋体"/>
          <w:color w:val="000000"/>
          <w:kern w:val="0"/>
          <w:sz w:val="40"/>
          <w:szCs w:val="36"/>
        </w:rPr>
        <w:t>年度</w:t>
      </w:r>
      <w:r>
        <w:rPr>
          <w:rFonts w:hint="eastAsia" w:ascii="方正小标宋简体" w:eastAsia="方正小标宋简体" w:cs="宋体"/>
          <w:color w:val="000000"/>
          <w:kern w:val="0"/>
          <w:sz w:val="40"/>
          <w:szCs w:val="36"/>
        </w:rPr>
        <w:t>南京市耕地质量保护站</w:t>
      </w:r>
    </w:p>
    <w:p>
      <w:pPr>
        <w:widowControl/>
        <w:spacing w:after="156" w:afterLines="50" w:line="560" w:lineRule="exact"/>
        <w:jc w:val="center"/>
        <w:rPr>
          <w:rFonts w:ascii="方正小标宋简体" w:eastAsia="方正小标宋简体" w:cs="宋体"/>
          <w:color w:val="000000"/>
          <w:kern w:val="0"/>
          <w:sz w:val="40"/>
          <w:szCs w:val="36"/>
        </w:rPr>
      </w:pPr>
      <w:r>
        <w:rPr>
          <w:rFonts w:hint="eastAsia" w:ascii="方正小标宋简体" w:eastAsia="方正小标宋简体" w:cs="宋体"/>
          <w:color w:val="000000"/>
          <w:kern w:val="0"/>
          <w:sz w:val="40"/>
          <w:szCs w:val="36"/>
        </w:rPr>
        <w:t>部门整体绩效评价报告</w:t>
      </w:r>
    </w:p>
    <w:p>
      <w:pPr>
        <w:widowControl/>
        <w:spacing w:line="560" w:lineRule="exact"/>
        <w:ind w:firstLine="560" w:firstLineChars="200"/>
        <w:jc w:val="left"/>
        <w:rPr>
          <w:rFonts w:ascii="黑体" w:hAnsi="黑体" w:eastAsia="黑体" w:cs="宋体"/>
          <w:color w:val="000000"/>
          <w:kern w:val="0"/>
          <w:sz w:val="28"/>
          <w:szCs w:val="28"/>
        </w:rPr>
      </w:pPr>
      <w:r>
        <w:rPr>
          <w:rFonts w:hint="eastAsia" w:ascii="黑体" w:hAnsi="黑体" w:eastAsia="黑体" w:cs="宋体"/>
          <w:color w:val="000000"/>
          <w:kern w:val="0"/>
          <w:sz w:val="28"/>
          <w:szCs w:val="28"/>
        </w:rPr>
        <w:t>一、单位概况</w:t>
      </w:r>
    </w:p>
    <w:p>
      <w:pPr>
        <w:widowControl/>
        <w:spacing w:line="560" w:lineRule="exact"/>
        <w:ind w:firstLine="560" w:firstLineChars="200"/>
        <w:jc w:val="left"/>
        <w:rPr>
          <w:rFonts w:ascii="黑体" w:hAnsi="黑体" w:eastAsia="黑体" w:cs="宋体"/>
          <w:color w:val="000000"/>
          <w:kern w:val="0"/>
          <w:sz w:val="28"/>
          <w:szCs w:val="28"/>
        </w:rPr>
      </w:pPr>
      <w:r>
        <w:rPr>
          <w:rFonts w:hint="eastAsia" w:ascii="楷体" w:eastAsia="楷体" w:cs="宋体"/>
          <w:color w:val="000000"/>
          <w:kern w:val="0"/>
          <w:sz w:val="28"/>
          <w:szCs w:val="28"/>
        </w:rPr>
        <w:t>(一)单位基本情况</w:t>
      </w:r>
    </w:p>
    <w:p>
      <w:pPr>
        <w:spacing w:line="560" w:lineRule="exact"/>
        <w:ind w:firstLine="560" w:firstLineChars="200"/>
        <w:rPr>
          <w:rFonts w:ascii="Times New Roman" w:eastAsia="仿宋"/>
          <w:sz w:val="28"/>
          <w:szCs w:val="28"/>
        </w:rPr>
      </w:pPr>
      <w:r>
        <w:rPr>
          <w:rFonts w:hint="eastAsia" w:ascii="Times New Roman" w:eastAsia="仿宋"/>
          <w:sz w:val="28"/>
          <w:szCs w:val="28"/>
        </w:rPr>
        <w:t>我单位是南京市农业农村局直属事业单位</w:t>
      </w:r>
      <w:r>
        <w:rPr>
          <w:rFonts w:hint="eastAsia" w:ascii="Times New Roman" w:eastAsia="仿宋"/>
          <w:sz w:val="28"/>
          <w:szCs w:val="28"/>
          <w:lang w:eastAsia="zh-CN"/>
        </w:rPr>
        <w:t>，</w:t>
      </w:r>
      <w:r>
        <w:rPr>
          <w:rFonts w:ascii="Times New Roman" w:eastAsia="仿宋"/>
          <w:sz w:val="28"/>
          <w:szCs w:val="28"/>
        </w:rPr>
        <w:t>实行全额预算管理， 执行《政府会计制度》并独立核算，单位人员编制1</w:t>
      </w:r>
      <w:r>
        <w:rPr>
          <w:rFonts w:hint="eastAsia" w:ascii="Times New Roman" w:eastAsia="仿宋"/>
          <w:sz w:val="28"/>
          <w:szCs w:val="28"/>
        </w:rPr>
        <w:t>8</w:t>
      </w:r>
      <w:r>
        <w:rPr>
          <w:rFonts w:ascii="Times New Roman" w:eastAsia="仿宋"/>
          <w:sz w:val="28"/>
          <w:szCs w:val="28"/>
        </w:rPr>
        <w:t>人，20</w:t>
      </w:r>
      <w:r>
        <w:rPr>
          <w:rFonts w:hint="eastAsia" w:ascii="Times New Roman" w:eastAsia="仿宋"/>
          <w:sz w:val="28"/>
          <w:szCs w:val="28"/>
        </w:rPr>
        <w:t>2</w:t>
      </w:r>
      <w:r>
        <w:rPr>
          <w:rFonts w:hint="eastAsia" w:ascii="Times New Roman" w:eastAsia="仿宋"/>
          <w:sz w:val="28"/>
          <w:szCs w:val="28"/>
          <w:lang w:val="en-US" w:eastAsia="zh-CN"/>
        </w:rPr>
        <w:t>5</w:t>
      </w:r>
      <w:r>
        <w:rPr>
          <w:rFonts w:ascii="Times New Roman" w:eastAsia="仿宋"/>
          <w:sz w:val="28"/>
          <w:szCs w:val="28"/>
        </w:rPr>
        <w:t>年末实际在职人数1</w:t>
      </w:r>
      <w:r>
        <w:rPr>
          <w:rFonts w:hint="eastAsia" w:ascii="Times New Roman" w:eastAsia="仿宋"/>
          <w:sz w:val="28"/>
          <w:szCs w:val="28"/>
          <w:lang w:val="en-US" w:eastAsia="zh-CN"/>
        </w:rPr>
        <w:t>5</w:t>
      </w:r>
      <w:r>
        <w:rPr>
          <w:rFonts w:ascii="Times New Roman" w:eastAsia="仿宋"/>
          <w:sz w:val="28"/>
          <w:szCs w:val="28"/>
        </w:rPr>
        <w:t>人，离退休人员</w:t>
      </w:r>
      <w:r>
        <w:rPr>
          <w:rFonts w:hint="eastAsia" w:ascii="Times New Roman" w:eastAsia="仿宋"/>
          <w:sz w:val="28"/>
          <w:szCs w:val="28"/>
        </w:rPr>
        <w:t>3</w:t>
      </w:r>
      <w:r>
        <w:rPr>
          <w:rFonts w:ascii="Times New Roman" w:eastAsia="仿宋"/>
          <w:sz w:val="28"/>
          <w:szCs w:val="28"/>
        </w:rPr>
        <w:t>人，聘用人员1人。</w:t>
      </w:r>
    </w:p>
    <w:p>
      <w:pPr>
        <w:spacing w:line="560" w:lineRule="exact"/>
        <w:ind w:firstLine="560" w:firstLineChars="200"/>
        <w:rPr>
          <w:rFonts w:hint="default" w:ascii="Times New Roman" w:eastAsia="仿宋"/>
          <w:sz w:val="28"/>
          <w:szCs w:val="28"/>
        </w:rPr>
      </w:pPr>
      <w:r>
        <w:rPr>
          <w:rFonts w:hint="eastAsia" w:ascii="Times New Roman" w:eastAsia="仿宋"/>
          <w:sz w:val="28"/>
          <w:szCs w:val="28"/>
        </w:rPr>
        <w:t>主要工作职能为：承担全市耕地质量</w:t>
      </w:r>
      <w:r>
        <w:rPr>
          <w:rFonts w:hint="eastAsia" w:ascii="Times New Roman" w:eastAsia="仿宋"/>
          <w:sz w:val="28"/>
          <w:szCs w:val="28"/>
          <w:lang w:val="en-US" w:eastAsia="zh-CN"/>
        </w:rPr>
        <w:t>管理</w:t>
      </w:r>
      <w:r>
        <w:rPr>
          <w:rFonts w:hint="eastAsia" w:ascii="Times New Roman" w:eastAsia="仿宋"/>
          <w:sz w:val="28"/>
          <w:szCs w:val="28"/>
        </w:rPr>
        <w:t>；开展土肥水技术推广与服务、土肥水资源监测与管理、土肥水技术培训与开发服务工作；承担基本农田地力建设技术指导与分等级工作；农田水利建设项目管理事务性工作、农田整治项目管理事务性工作和市局交办的其他工作。</w:t>
      </w:r>
    </w:p>
    <w:p>
      <w:pPr>
        <w:spacing w:line="560" w:lineRule="exact"/>
        <w:ind w:firstLine="560" w:firstLineChars="200"/>
        <w:rPr>
          <w:rFonts w:ascii="Times New Roman" w:eastAsia="仿宋"/>
          <w:sz w:val="28"/>
          <w:szCs w:val="28"/>
        </w:rPr>
      </w:pPr>
      <w:r>
        <w:rPr>
          <w:rFonts w:ascii="Times New Roman" w:eastAsia="仿宋"/>
          <w:sz w:val="28"/>
          <w:szCs w:val="28"/>
        </w:rPr>
        <w:t>我单位主要资产的配置分类为流动资产和固定资产，202</w:t>
      </w:r>
      <w:r>
        <w:rPr>
          <w:rFonts w:hint="eastAsia" w:ascii="Times New Roman" w:eastAsia="仿宋"/>
          <w:sz w:val="28"/>
          <w:szCs w:val="28"/>
          <w:lang w:val="en-US" w:eastAsia="zh-CN"/>
        </w:rPr>
        <w:t>5</w:t>
      </w:r>
      <w:r>
        <w:rPr>
          <w:rFonts w:ascii="Times New Roman" w:eastAsia="仿宋"/>
          <w:sz w:val="28"/>
          <w:szCs w:val="28"/>
        </w:rPr>
        <w:t>年资 产总量年初数为</w:t>
      </w:r>
      <w:r>
        <w:rPr>
          <w:rFonts w:hint="eastAsia" w:ascii="Times New Roman" w:eastAsia="仿宋"/>
          <w:sz w:val="28"/>
          <w:szCs w:val="28"/>
          <w:lang w:val="en-US" w:eastAsia="zh-CN"/>
        </w:rPr>
        <w:t>56.21</w:t>
      </w:r>
      <w:r>
        <w:rPr>
          <w:rFonts w:ascii="Times New Roman" w:eastAsia="仿宋"/>
          <w:sz w:val="28"/>
          <w:szCs w:val="28"/>
        </w:rPr>
        <w:t>万元，年末数</w:t>
      </w:r>
      <w:r>
        <w:rPr>
          <w:rFonts w:hint="eastAsia" w:ascii="Times New Roman" w:eastAsia="仿宋"/>
          <w:sz w:val="28"/>
          <w:szCs w:val="28"/>
        </w:rPr>
        <w:t>5</w:t>
      </w:r>
      <w:r>
        <w:rPr>
          <w:rFonts w:hint="eastAsia" w:ascii="Times New Roman" w:eastAsia="仿宋"/>
          <w:sz w:val="28"/>
          <w:szCs w:val="28"/>
          <w:lang w:val="en-US" w:eastAsia="zh-CN"/>
        </w:rPr>
        <w:t>3.32</w:t>
      </w:r>
      <w:r>
        <w:rPr>
          <w:rFonts w:ascii="Times New Roman" w:eastAsia="仿宋"/>
          <w:sz w:val="28"/>
          <w:szCs w:val="28"/>
        </w:rPr>
        <w:t>万元。年末数中包括流动资产</w:t>
      </w:r>
      <w:r>
        <w:rPr>
          <w:rFonts w:hint="eastAsia" w:ascii="Times New Roman" w:eastAsia="仿宋"/>
          <w:sz w:val="28"/>
          <w:szCs w:val="28"/>
        </w:rPr>
        <w:t>44.</w:t>
      </w:r>
      <w:r>
        <w:rPr>
          <w:rFonts w:hint="eastAsia" w:ascii="Times New Roman" w:eastAsia="仿宋"/>
          <w:sz w:val="28"/>
          <w:szCs w:val="28"/>
          <w:lang w:val="en-US" w:eastAsia="zh-CN"/>
        </w:rPr>
        <w:t>67</w:t>
      </w:r>
      <w:r>
        <w:rPr>
          <w:rFonts w:ascii="Times New Roman" w:eastAsia="仿宋"/>
          <w:sz w:val="28"/>
          <w:szCs w:val="28"/>
        </w:rPr>
        <w:t>万元，固定资产净值</w:t>
      </w:r>
      <w:r>
        <w:rPr>
          <w:rFonts w:hint="eastAsia" w:ascii="Times New Roman" w:eastAsia="仿宋"/>
          <w:sz w:val="28"/>
          <w:szCs w:val="28"/>
          <w:lang w:val="en-US" w:eastAsia="zh-CN"/>
        </w:rPr>
        <w:t>8.6</w:t>
      </w:r>
      <w:r>
        <w:rPr>
          <w:rFonts w:hint="eastAsia" w:ascii="Times New Roman" w:eastAsia="仿宋"/>
          <w:sz w:val="28"/>
          <w:szCs w:val="28"/>
        </w:rPr>
        <w:t>5</w:t>
      </w:r>
      <w:r>
        <w:rPr>
          <w:rFonts w:ascii="Times New Roman" w:eastAsia="仿宋"/>
          <w:sz w:val="28"/>
          <w:szCs w:val="28"/>
        </w:rPr>
        <w:t>万元。拥有荣威e950新能源汽车一辆，原值17.99万元，车辆权属一致。占用南京农业科技大厦办公用房面积140.92平方米，产权单位为南京市水产科学研究所, 无房屋建筑物、土地等资产。</w:t>
      </w:r>
    </w:p>
    <w:p>
      <w:pPr>
        <w:widowControl/>
        <w:spacing w:line="560" w:lineRule="exact"/>
        <w:ind w:firstLine="560" w:firstLineChars="200"/>
        <w:jc w:val="left"/>
        <w:rPr>
          <w:rFonts w:ascii="楷体" w:eastAsia="楷体" w:cs="宋体"/>
          <w:color w:val="000000"/>
          <w:kern w:val="0"/>
          <w:sz w:val="28"/>
          <w:szCs w:val="28"/>
        </w:rPr>
      </w:pPr>
      <w:r>
        <w:rPr>
          <w:rFonts w:hint="eastAsia" w:ascii="楷体" w:eastAsia="楷体" w:cs="宋体"/>
          <w:color w:val="000000"/>
          <w:kern w:val="0"/>
          <w:sz w:val="28"/>
          <w:szCs w:val="28"/>
        </w:rPr>
        <w:t>（二）单位</w:t>
      </w:r>
      <w:r>
        <w:rPr>
          <w:rFonts w:hint="eastAsia" w:ascii="楷体" w:eastAsia="楷体" w:cs="宋体"/>
          <w:color w:val="000000"/>
          <w:kern w:val="0"/>
          <w:sz w:val="28"/>
          <w:szCs w:val="28"/>
          <w:lang w:val="en-US" w:eastAsia="zh-CN"/>
        </w:rPr>
        <w:t>收支</w:t>
      </w:r>
      <w:r>
        <w:rPr>
          <w:rFonts w:hint="eastAsia" w:ascii="楷体" w:eastAsia="楷体" w:cs="宋体"/>
          <w:color w:val="000000"/>
          <w:kern w:val="0"/>
          <w:sz w:val="28"/>
          <w:szCs w:val="28"/>
        </w:rPr>
        <w:t>情况</w:t>
      </w:r>
    </w:p>
    <w:p>
      <w:pPr>
        <w:widowControl/>
        <w:snapToGrid w:val="0"/>
        <w:spacing w:line="560" w:lineRule="exact"/>
        <w:ind w:firstLine="643"/>
        <w:jc w:val="left"/>
        <w:rPr>
          <w:rFonts w:ascii="楷体" w:eastAsia="楷体" w:cs="宋体"/>
          <w:color w:val="000000"/>
          <w:kern w:val="0"/>
          <w:sz w:val="28"/>
          <w:szCs w:val="28"/>
        </w:rPr>
      </w:pPr>
      <w:r>
        <w:rPr>
          <w:rFonts w:hint="eastAsia" w:ascii="楷体" w:eastAsia="楷体" w:cs="宋体"/>
          <w:color w:val="000000"/>
          <w:kern w:val="0"/>
          <w:sz w:val="28"/>
          <w:szCs w:val="28"/>
        </w:rPr>
        <w:t>1.收入支出预算安排情况</w:t>
      </w:r>
      <w:r>
        <w:rPr>
          <w:rFonts w:ascii="仿宋" w:eastAsia="仿宋"/>
          <w:sz w:val="28"/>
          <w:szCs w:val="28"/>
        </w:rPr>
        <w:t xml:space="preserve"> </w:t>
      </w:r>
    </w:p>
    <w:p>
      <w:pPr>
        <w:spacing w:line="560" w:lineRule="exact"/>
        <w:ind w:firstLine="560" w:firstLineChars="200"/>
        <w:rPr>
          <w:rFonts w:ascii="Times New Roman" w:eastAsia="仿宋"/>
          <w:sz w:val="28"/>
          <w:szCs w:val="28"/>
        </w:rPr>
      </w:pPr>
      <w:r>
        <w:rPr>
          <w:rFonts w:ascii="Times New Roman" w:eastAsia="仿宋"/>
          <w:sz w:val="28"/>
          <w:szCs w:val="28"/>
        </w:rPr>
        <w:t>202</w:t>
      </w:r>
      <w:r>
        <w:rPr>
          <w:rFonts w:hint="eastAsia" w:ascii="Times New Roman" w:eastAsia="仿宋"/>
          <w:sz w:val="28"/>
          <w:szCs w:val="28"/>
          <w:lang w:val="en-US" w:eastAsia="zh-CN"/>
        </w:rPr>
        <w:t>5</w:t>
      </w:r>
      <w:r>
        <w:rPr>
          <w:rFonts w:ascii="Times New Roman" w:eastAsia="仿宋"/>
          <w:sz w:val="28"/>
          <w:szCs w:val="28"/>
        </w:rPr>
        <w:t>年年初预算收入</w:t>
      </w:r>
      <w:r>
        <w:rPr>
          <w:rFonts w:hint="eastAsia" w:ascii="Times New Roman" w:eastAsia="仿宋"/>
          <w:sz w:val="28"/>
          <w:szCs w:val="28"/>
        </w:rPr>
        <w:t>502.35</w:t>
      </w:r>
      <w:r>
        <w:rPr>
          <w:rFonts w:ascii="Times New Roman" w:eastAsia="仿宋"/>
          <w:sz w:val="28"/>
          <w:szCs w:val="28"/>
        </w:rPr>
        <w:t>万元， 年度执行中包括</w:t>
      </w:r>
      <w:r>
        <w:rPr>
          <w:rFonts w:hint="eastAsia" w:ascii="Times New Roman" w:eastAsia="仿宋"/>
          <w:sz w:val="28"/>
          <w:szCs w:val="28"/>
        </w:rPr>
        <w:t>增人增资及</w:t>
      </w:r>
      <w:r>
        <w:rPr>
          <w:rFonts w:ascii="Times New Roman" w:eastAsia="仿宋"/>
          <w:sz w:val="28"/>
          <w:szCs w:val="28"/>
        </w:rPr>
        <w:t>市级专项的增加，所以预算调整为</w:t>
      </w:r>
      <w:r>
        <w:rPr>
          <w:rFonts w:hint="eastAsia" w:ascii="Times New Roman" w:eastAsia="仿宋"/>
          <w:sz w:val="28"/>
          <w:szCs w:val="28"/>
          <w:lang w:val="en-US" w:eastAsia="zh-CN"/>
        </w:rPr>
        <w:t>937.58</w:t>
      </w:r>
      <w:r>
        <w:rPr>
          <w:rFonts w:ascii="Times New Roman" w:eastAsia="仿宋"/>
          <w:sz w:val="28"/>
          <w:szCs w:val="28"/>
        </w:rPr>
        <w:t>万元。</w:t>
      </w:r>
    </w:p>
    <w:p>
      <w:pPr>
        <w:spacing w:line="560" w:lineRule="exact"/>
        <w:ind w:firstLine="560" w:firstLineChars="200"/>
        <w:rPr>
          <w:rFonts w:ascii="Times New Roman" w:eastAsia="仿宋"/>
          <w:sz w:val="28"/>
          <w:szCs w:val="28"/>
        </w:rPr>
      </w:pPr>
      <w:r>
        <w:rPr>
          <w:rFonts w:ascii="Times New Roman" w:eastAsia="仿宋"/>
          <w:sz w:val="28"/>
          <w:szCs w:val="28"/>
        </w:rPr>
        <w:t>202</w:t>
      </w:r>
      <w:r>
        <w:rPr>
          <w:rFonts w:hint="eastAsia" w:ascii="Times New Roman" w:eastAsia="仿宋"/>
          <w:sz w:val="28"/>
          <w:szCs w:val="28"/>
          <w:lang w:val="en-US" w:eastAsia="zh-CN"/>
        </w:rPr>
        <w:t>5</w:t>
      </w:r>
      <w:r>
        <w:rPr>
          <w:rFonts w:ascii="Times New Roman" w:eastAsia="仿宋"/>
          <w:sz w:val="28"/>
          <w:szCs w:val="28"/>
        </w:rPr>
        <w:t>年年初预算支出</w:t>
      </w:r>
      <w:r>
        <w:rPr>
          <w:rFonts w:hint="eastAsia" w:ascii="Times New Roman" w:eastAsia="仿宋"/>
          <w:sz w:val="28"/>
          <w:szCs w:val="28"/>
        </w:rPr>
        <w:t>502.35</w:t>
      </w:r>
      <w:r>
        <w:rPr>
          <w:rFonts w:ascii="Times New Roman" w:eastAsia="仿宋"/>
          <w:sz w:val="28"/>
          <w:szCs w:val="28"/>
        </w:rPr>
        <w:t>万元，包括基本支出</w:t>
      </w:r>
      <w:r>
        <w:rPr>
          <w:rFonts w:hint="eastAsia" w:ascii="Times New Roman" w:eastAsia="仿宋"/>
          <w:sz w:val="28"/>
          <w:szCs w:val="28"/>
        </w:rPr>
        <w:t>445.77万元和项目支出56.58万元，年度执行中包括增人增资及市级专项</w:t>
      </w:r>
      <w:r>
        <w:rPr>
          <w:rFonts w:ascii="Times New Roman" w:eastAsia="仿宋"/>
          <w:sz w:val="28"/>
          <w:szCs w:val="28"/>
        </w:rPr>
        <w:t>的增加，所以预算调整为</w:t>
      </w:r>
      <w:r>
        <w:rPr>
          <w:rFonts w:hint="eastAsia" w:ascii="Times New Roman" w:eastAsia="仿宋"/>
          <w:sz w:val="28"/>
          <w:szCs w:val="28"/>
          <w:lang w:val="en-US" w:eastAsia="zh-CN"/>
        </w:rPr>
        <w:t>937.57</w:t>
      </w:r>
      <w:r>
        <w:rPr>
          <w:rFonts w:ascii="Times New Roman" w:eastAsia="仿宋"/>
          <w:sz w:val="28"/>
          <w:szCs w:val="28"/>
        </w:rPr>
        <w:t>万元。</w:t>
      </w:r>
    </w:p>
    <w:p>
      <w:pPr>
        <w:widowControl/>
        <w:snapToGrid w:val="0"/>
        <w:spacing w:line="560" w:lineRule="exact"/>
        <w:ind w:firstLine="643"/>
        <w:jc w:val="left"/>
        <w:rPr>
          <w:rFonts w:ascii="楷体" w:eastAsia="楷体" w:cs="宋体"/>
          <w:color w:val="000000"/>
          <w:kern w:val="0"/>
          <w:sz w:val="28"/>
          <w:szCs w:val="28"/>
        </w:rPr>
      </w:pPr>
      <w:r>
        <w:rPr>
          <w:rFonts w:hint="eastAsia" w:ascii="楷体" w:eastAsia="楷体" w:cs="宋体"/>
          <w:color w:val="000000"/>
          <w:kern w:val="0"/>
          <w:sz w:val="28"/>
          <w:szCs w:val="28"/>
        </w:rPr>
        <w:t>2</w:t>
      </w:r>
      <w:r>
        <w:rPr>
          <w:rFonts w:ascii="楷体" w:eastAsia="楷体" w:cs="宋体"/>
          <w:color w:val="000000"/>
          <w:kern w:val="0"/>
          <w:sz w:val="28"/>
          <w:szCs w:val="28"/>
        </w:rPr>
        <w:t>.收入支出预算执行情况</w:t>
      </w:r>
    </w:p>
    <w:p>
      <w:pPr>
        <w:spacing w:line="560" w:lineRule="exact"/>
        <w:ind w:firstLine="560" w:firstLineChars="200"/>
        <w:rPr>
          <w:rFonts w:ascii="Times New Roman" w:eastAsia="仿宋"/>
          <w:sz w:val="28"/>
          <w:szCs w:val="28"/>
        </w:rPr>
      </w:pPr>
      <w:r>
        <w:rPr>
          <w:rFonts w:ascii="Times New Roman" w:eastAsia="仿宋"/>
          <w:sz w:val="28"/>
          <w:szCs w:val="28"/>
        </w:rPr>
        <w:t>202</w:t>
      </w:r>
      <w:r>
        <w:rPr>
          <w:rFonts w:hint="eastAsia" w:ascii="Times New Roman" w:eastAsia="仿宋"/>
          <w:sz w:val="28"/>
          <w:szCs w:val="28"/>
          <w:lang w:val="en-US" w:eastAsia="zh-CN"/>
        </w:rPr>
        <w:t>5</w:t>
      </w:r>
      <w:r>
        <w:rPr>
          <w:rFonts w:ascii="Times New Roman" w:eastAsia="仿宋"/>
          <w:sz w:val="28"/>
          <w:szCs w:val="28"/>
        </w:rPr>
        <w:t>年收入决算数</w:t>
      </w:r>
      <w:r>
        <w:rPr>
          <w:rFonts w:hint="eastAsia" w:ascii="Times New Roman" w:eastAsia="仿宋"/>
          <w:sz w:val="28"/>
          <w:szCs w:val="28"/>
          <w:lang w:val="en-US" w:eastAsia="zh-CN"/>
        </w:rPr>
        <w:t>937.62</w:t>
      </w:r>
      <w:r>
        <w:rPr>
          <w:rFonts w:ascii="Times New Roman" w:eastAsia="仿宋"/>
          <w:sz w:val="28"/>
          <w:szCs w:val="28"/>
        </w:rPr>
        <w:t>万元，分别是财政补助收入</w:t>
      </w:r>
      <w:r>
        <w:rPr>
          <w:rFonts w:hint="eastAsia" w:ascii="Times New Roman" w:eastAsia="仿宋"/>
          <w:sz w:val="28"/>
          <w:szCs w:val="28"/>
          <w:lang w:val="en-US" w:eastAsia="zh-CN"/>
        </w:rPr>
        <w:t>937.58</w:t>
      </w:r>
      <w:r>
        <w:rPr>
          <w:rFonts w:ascii="Times New Roman" w:eastAsia="仿宋"/>
          <w:sz w:val="28"/>
          <w:szCs w:val="28"/>
        </w:rPr>
        <w:t>万元和其他收入0.</w:t>
      </w:r>
      <w:r>
        <w:rPr>
          <w:rFonts w:hint="eastAsia" w:ascii="Times New Roman" w:eastAsia="仿宋"/>
          <w:sz w:val="28"/>
          <w:szCs w:val="28"/>
          <w:lang w:val="en-US" w:eastAsia="zh-CN"/>
        </w:rPr>
        <w:t>04</w:t>
      </w:r>
      <w:r>
        <w:rPr>
          <w:rFonts w:ascii="Times New Roman" w:eastAsia="仿宋"/>
          <w:sz w:val="28"/>
          <w:szCs w:val="28"/>
        </w:rPr>
        <w:t>万元；支出决算数</w:t>
      </w:r>
      <w:r>
        <w:rPr>
          <w:rFonts w:hint="eastAsia" w:ascii="Times New Roman" w:eastAsia="仿宋"/>
          <w:sz w:val="28"/>
          <w:szCs w:val="28"/>
          <w:lang w:val="en-US" w:eastAsia="zh-CN"/>
        </w:rPr>
        <w:t>938.30</w:t>
      </w:r>
      <w:r>
        <w:rPr>
          <w:rFonts w:ascii="Times New Roman" w:eastAsia="仿宋"/>
          <w:sz w:val="28"/>
          <w:szCs w:val="28"/>
        </w:rPr>
        <w:t>万元，包括基本支出</w:t>
      </w:r>
      <w:r>
        <w:rPr>
          <w:rFonts w:hint="eastAsia" w:ascii="Times New Roman" w:eastAsia="仿宋"/>
          <w:sz w:val="28"/>
          <w:szCs w:val="28"/>
          <w:lang w:val="en-US" w:eastAsia="zh-CN"/>
        </w:rPr>
        <w:t>503.32</w:t>
      </w:r>
      <w:r>
        <w:rPr>
          <w:rFonts w:ascii="Times New Roman" w:eastAsia="仿宋"/>
          <w:sz w:val="28"/>
          <w:szCs w:val="28"/>
        </w:rPr>
        <w:t>万元，项目支出</w:t>
      </w:r>
      <w:r>
        <w:rPr>
          <w:rFonts w:hint="eastAsia" w:ascii="Times New Roman" w:eastAsia="仿宋"/>
          <w:sz w:val="28"/>
          <w:szCs w:val="28"/>
          <w:lang w:val="en-US" w:eastAsia="zh-CN"/>
        </w:rPr>
        <w:t>434.98</w:t>
      </w:r>
      <w:r>
        <w:rPr>
          <w:rFonts w:ascii="Times New Roman" w:eastAsia="仿宋"/>
          <w:sz w:val="28"/>
          <w:szCs w:val="28"/>
        </w:rPr>
        <w:t>万元。</w:t>
      </w:r>
    </w:p>
    <w:p>
      <w:pPr>
        <w:spacing w:line="560" w:lineRule="exact"/>
        <w:ind w:firstLine="560" w:firstLineChars="200"/>
        <w:rPr>
          <w:rFonts w:ascii="楷体" w:eastAsia="楷体" w:cs="宋体"/>
          <w:color w:val="000000"/>
          <w:kern w:val="0"/>
          <w:sz w:val="28"/>
          <w:szCs w:val="28"/>
        </w:rPr>
      </w:pPr>
      <w:r>
        <w:rPr>
          <w:rFonts w:hint="eastAsia" w:ascii="楷体" w:eastAsia="楷体" w:cs="宋体"/>
          <w:color w:val="000000"/>
          <w:kern w:val="0"/>
          <w:sz w:val="28"/>
          <w:szCs w:val="28"/>
        </w:rPr>
        <w:t>（三）单位绩效目标</w:t>
      </w:r>
    </w:p>
    <w:p>
      <w:pPr>
        <w:spacing w:line="560" w:lineRule="exact"/>
        <w:ind w:firstLine="560" w:firstLineChars="200"/>
        <w:rPr>
          <w:rFonts w:ascii="Times New Roman" w:eastAsia="仿宋"/>
          <w:sz w:val="28"/>
          <w:szCs w:val="28"/>
        </w:rPr>
      </w:pPr>
      <w:r>
        <w:rPr>
          <w:rFonts w:hint="eastAsia" w:ascii="Times New Roman" w:eastAsia="仿宋"/>
          <w:sz w:val="28"/>
          <w:szCs w:val="28"/>
        </w:rPr>
        <w:t>2020-2025年耕地质量管理逐步开展信息化建设，基本农田地力建设技术指导与分等级的信息搜集作为单位中长期战略目标。</w:t>
      </w:r>
    </w:p>
    <w:p>
      <w:pPr>
        <w:spacing w:line="560" w:lineRule="exact"/>
        <w:ind w:firstLine="560" w:firstLineChars="200"/>
        <w:rPr>
          <w:rFonts w:ascii="Times New Roman" w:eastAsia="仿宋"/>
          <w:sz w:val="28"/>
          <w:szCs w:val="28"/>
        </w:rPr>
      </w:pPr>
      <w:r>
        <w:rPr>
          <w:rFonts w:hint="eastAsia" w:ascii="Times New Roman" w:eastAsia="仿宋"/>
          <w:sz w:val="28"/>
          <w:szCs w:val="28"/>
        </w:rPr>
        <w:t>我单位</w:t>
      </w:r>
      <w:r>
        <w:rPr>
          <w:rFonts w:ascii="Times New Roman" w:eastAsia="仿宋"/>
          <w:sz w:val="28"/>
          <w:szCs w:val="28"/>
        </w:rPr>
        <w:t>202</w:t>
      </w:r>
      <w:r>
        <w:rPr>
          <w:rFonts w:hint="eastAsia" w:ascii="Times New Roman" w:eastAsia="仿宋"/>
          <w:sz w:val="28"/>
          <w:szCs w:val="28"/>
          <w:lang w:val="en-US" w:eastAsia="zh-CN"/>
        </w:rPr>
        <w:t>5</w:t>
      </w:r>
      <w:r>
        <w:rPr>
          <w:rFonts w:hint="eastAsia" w:ascii="Times New Roman" w:eastAsia="仿宋"/>
          <w:sz w:val="28"/>
          <w:szCs w:val="28"/>
        </w:rPr>
        <w:t>年度目标为：1.高质量做好化肥减量增效工作；2.持续做好耕地质量监测工作；3.做好耕地质量提升技术指导工作。</w:t>
      </w:r>
    </w:p>
    <w:p>
      <w:pPr>
        <w:widowControl/>
        <w:spacing w:line="560" w:lineRule="exact"/>
        <w:ind w:firstLine="560" w:firstLineChars="200"/>
        <w:jc w:val="left"/>
        <w:rPr>
          <w:rFonts w:ascii="黑体" w:hAnsi="黑体" w:eastAsia="黑体" w:cs="宋体"/>
          <w:color w:val="000000"/>
          <w:kern w:val="0"/>
          <w:sz w:val="28"/>
          <w:szCs w:val="28"/>
        </w:rPr>
      </w:pPr>
      <w:r>
        <w:rPr>
          <w:rFonts w:hint="eastAsia" w:ascii="黑体" w:hAnsi="黑体" w:eastAsia="黑体" w:cs="宋体"/>
          <w:color w:val="000000"/>
          <w:kern w:val="0"/>
          <w:sz w:val="28"/>
          <w:szCs w:val="28"/>
        </w:rPr>
        <w:t>二 、评价结论</w:t>
      </w:r>
    </w:p>
    <w:p>
      <w:pPr>
        <w:widowControl/>
        <w:spacing w:line="560" w:lineRule="exact"/>
        <w:ind w:firstLine="560" w:firstLineChars="200"/>
        <w:jc w:val="left"/>
        <w:rPr>
          <w:rFonts w:ascii="楷体" w:eastAsia="楷体" w:cs="宋体"/>
          <w:kern w:val="0"/>
          <w:sz w:val="28"/>
          <w:szCs w:val="28"/>
        </w:rPr>
      </w:pPr>
      <w:r>
        <w:rPr>
          <w:rFonts w:hint="eastAsia" w:ascii="楷体" w:eastAsia="楷体" w:cs="宋体"/>
          <w:color w:val="000000"/>
          <w:kern w:val="0"/>
          <w:sz w:val="28"/>
          <w:szCs w:val="28"/>
        </w:rPr>
        <w:t>（一）基本情况</w:t>
      </w:r>
    </w:p>
    <w:p>
      <w:pPr>
        <w:spacing w:line="560" w:lineRule="exact"/>
        <w:ind w:firstLine="560" w:firstLineChars="200"/>
        <w:rPr>
          <w:rFonts w:ascii="Times New Roman" w:eastAsia="仿宋"/>
          <w:sz w:val="28"/>
          <w:szCs w:val="28"/>
        </w:rPr>
      </w:pPr>
      <w:r>
        <w:rPr>
          <w:rFonts w:hint="eastAsia" w:ascii="Times New Roman" w:eastAsia="仿宋"/>
          <w:sz w:val="28"/>
          <w:szCs w:val="28"/>
        </w:rPr>
        <w:t>1.对单位管理和使用的财政资金，包括部门预算（含基本支出、项目支出），由单位围绕部门整体绩效评价指标框架进行自评价，形成部门整体绩效评价报告，市级财政项目由主管部门统一组织验收并进行绩效评价。</w:t>
      </w:r>
    </w:p>
    <w:p>
      <w:pPr>
        <w:spacing w:line="560" w:lineRule="exact"/>
        <w:ind w:firstLine="560" w:firstLineChars="200"/>
        <w:rPr>
          <w:rFonts w:ascii="Times New Roman" w:eastAsia="仿宋"/>
          <w:sz w:val="28"/>
          <w:szCs w:val="28"/>
        </w:rPr>
      </w:pPr>
      <w:r>
        <w:rPr>
          <w:rFonts w:hint="eastAsia" w:ascii="Times New Roman" w:eastAsia="仿宋"/>
          <w:sz w:val="28"/>
          <w:szCs w:val="28"/>
        </w:rPr>
        <w:t>2.单位将整体绩效目标提交财政部门审核后，进入财政预审和审核两个步骤，部门整体绩效目标评价结果不仅为政府决策以及财政部门和主管部门编制预算提供参考依据，也为预算执行管理建立了基准，同时也是政府信息公开的内容之一，具有重要的意义。</w:t>
      </w:r>
    </w:p>
    <w:p>
      <w:pPr>
        <w:spacing w:line="560" w:lineRule="exact"/>
        <w:ind w:firstLine="560" w:firstLineChars="200"/>
        <w:rPr>
          <w:rFonts w:ascii="Times New Roman" w:eastAsia="仿宋"/>
          <w:sz w:val="28"/>
          <w:szCs w:val="28"/>
        </w:rPr>
      </w:pPr>
      <w:r>
        <w:rPr>
          <w:rFonts w:ascii="Times New Roman" w:eastAsia="仿宋"/>
          <w:sz w:val="28"/>
          <w:szCs w:val="28"/>
        </w:rPr>
        <w:t>3</w:t>
      </w:r>
      <w:r>
        <w:rPr>
          <w:rFonts w:hint="eastAsia" w:ascii="Times New Roman" w:eastAsia="仿宋"/>
          <w:sz w:val="28"/>
          <w:szCs w:val="28"/>
        </w:rPr>
        <w:t>.评价的指标体系包括单位决策、单位管理、单位履职、履职绩效、可持续发展能力、加减分项6个一级指标。</w:t>
      </w:r>
    </w:p>
    <w:p>
      <w:pPr>
        <w:spacing w:line="560" w:lineRule="exact"/>
        <w:ind w:firstLine="560" w:firstLineChars="200"/>
        <w:rPr>
          <w:rFonts w:ascii="Times New Roman" w:eastAsia="仿宋"/>
          <w:sz w:val="28"/>
          <w:szCs w:val="28"/>
        </w:rPr>
      </w:pPr>
      <w:r>
        <w:rPr>
          <w:rFonts w:hint="eastAsia" w:ascii="Times New Roman" w:eastAsia="仿宋"/>
          <w:sz w:val="28"/>
          <w:szCs w:val="28"/>
        </w:rPr>
        <w:t>单位决策（15分）包括决策机制、中长期规划、年度工作计划、部门预算编制4个二级指标。</w:t>
      </w:r>
    </w:p>
    <w:p>
      <w:pPr>
        <w:spacing w:line="560" w:lineRule="exact"/>
        <w:ind w:firstLine="560" w:firstLineChars="200"/>
        <w:rPr>
          <w:rFonts w:ascii="Times New Roman" w:eastAsia="仿宋"/>
          <w:sz w:val="28"/>
          <w:szCs w:val="28"/>
        </w:rPr>
      </w:pPr>
      <w:r>
        <w:rPr>
          <w:rFonts w:hint="eastAsia" w:ascii="Times New Roman" w:eastAsia="仿宋"/>
          <w:sz w:val="28"/>
          <w:szCs w:val="28"/>
        </w:rPr>
        <w:t>单位管理（20分）包括预算执行、收支管理、资产管理、政府采购管理、建设项目管理、内部控制管理、预算绩效管理7个二级指标。</w:t>
      </w:r>
    </w:p>
    <w:p>
      <w:pPr>
        <w:spacing w:line="560" w:lineRule="exact"/>
        <w:ind w:firstLine="560" w:firstLineChars="200"/>
        <w:rPr>
          <w:rFonts w:ascii="Times New Roman" w:eastAsia="仿宋"/>
          <w:sz w:val="28"/>
          <w:szCs w:val="28"/>
        </w:rPr>
      </w:pPr>
      <w:r>
        <w:rPr>
          <w:rFonts w:hint="eastAsia" w:ascii="Times New Roman" w:eastAsia="仿宋"/>
          <w:sz w:val="28"/>
          <w:szCs w:val="28"/>
        </w:rPr>
        <w:t>单位履职（30分）通过数量完成率、质量达标率、完成及时率3个二级指标对重点工作完成情况考核部门履职情况。</w:t>
      </w:r>
    </w:p>
    <w:p>
      <w:pPr>
        <w:spacing w:line="560" w:lineRule="exact"/>
        <w:ind w:firstLine="560" w:firstLineChars="200"/>
        <w:rPr>
          <w:rFonts w:ascii="Times New Roman" w:eastAsia="仿宋"/>
          <w:sz w:val="28"/>
          <w:szCs w:val="28"/>
        </w:rPr>
      </w:pPr>
      <w:r>
        <w:rPr>
          <w:rFonts w:hint="eastAsia" w:ascii="Times New Roman" w:eastAsia="仿宋"/>
          <w:sz w:val="28"/>
          <w:szCs w:val="28"/>
        </w:rPr>
        <w:t>履职绩效（30分）包括经济效益、社会效益、生态效益3个二级指标。</w:t>
      </w:r>
    </w:p>
    <w:p>
      <w:pPr>
        <w:spacing w:line="560" w:lineRule="exact"/>
        <w:ind w:firstLine="560" w:firstLineChars="200"/>
        <w:rPr>
          <w:rFonts w:ascii="Times New Roman" w:eastAsia="仿宋"/>
          <w:sz w:val="28"/>
          <w:szCs w:val="28"/>
        </w:rPr>
      </w:pPr>
      <w:r>
        <w:rPr>
          <w:rFonts w:hint="eastAsia" w:ascii="Times New Roman" w:eastAsia="仿宋"/>
          <w:sz w:val="28"/>
          <w:szCs w:val="28"/>
        </w:rPr>
        <w:t>可持续发展能力（5分）包括或可选信息化建设情况、人力资源建设情况、单位创新情况等二级指标。</w:t>
      </w:r>
    </w:p>
    <w:p>
      <w:pPr>
        <w:spacing w:line="560" w:lineRule="exact"/>
        <w:ind w:firstLine="560" w:firstLineChars="200"/>
        <w:rPr>
          <w:rFonts w:ascii="Times New Roman" w:eastAsia="仿宋"/>
          <w:sz w:val="28"/>
          <w:szCs w:val="28"/>
        </w:rPr>
      </w:pPr>
      <w:r>
        <w:rPr>
          <w:rFonts w:hint="eastAsia" w:ascii="Times New Roman" w:eastAsia="仿宋"/>
          <w:sz w:val="28"/>
          <w:szCs w:val="28"/>
        </w:rPr>
        <w:t>加减分项（≤5分）包括加分项和减分项两个二级指标。</w:t>
      </w:r>
    </w:p>
    <w:p>
      <w:pPr>
        <w:widowControl/>
        <w:spacing w:line="560" w:lineRule="exact"/>
        <w:ind w:firstLine="560" w:firstLineChars="200"/>
        <w:jc w:val="left"/>
        <w:rPr>
          <w:rFonts w:ascii="楷体" w:eastAsia="楷体" w:cs="宋体"/>
          <w:color w:val="000000"/>
          <w:kern w:val="0"/>
          <w:sz w:val="28"/>
          <w:szCs w:val="28"/>
        </w:rPr>
      </w:pPr>
      <w:r>
        <w:rPr>
          <w:rFonts w:hint="eastAsia" w:ascii="楷体" w:eastAsia="楷体" w:cs="宋体"/>
          <w:color w:val="000000"/>
          <w:kern w:val="0"/>
          <w:sz w:val="28"/>
          <w:szCs w:val="28"/>
        </w:rPr>
        <w:t>（二）评价组织实施</w:t>
      </w:r>
    </w:p>
    <w:p>
      <w:pPr>
        <w:spacing w:line="560" w:lineRule="exact"/>
        <w:ind w:firstLine="560" w:firstLineChars="200"/>
        <w:rPr>
          <w:rFonts w:ascii="Times New Roman" w:eastAsia="仿宋"/>
          <w:sz w:val="28"/>
          <w:szCs w:val="28"/>
        </w:rPr>
      </w:pPr>
      <w:r>
        <w:rPr>
          <w:rFonts w:hint="eastAsia" w:ascii="Times New Roman" w:eastAsia="仿宋"/>
          <w:sz w:val="28"/>
          <w:szCs w:val="28"/>
        </w:rPr>
        <w:t>我单位采用自评价结合第三方出具专项审计报告相结合的评价方法来组织实施部门整体绩效评价。</w:t>
      </w:r>
    </w:p>
    <w:p>
      <w:pPr>
        <w:widowControl/>
        <w:spacing w:line="560" w:lineRule="exact"/>
        <w:ind w:firstLine="560" w:firstLineChars="200"/>
        <w:jc w:val="left"/>
        <w:rPr>
          <w:rFonts w:ascii="楷体" w:eastAsia="楷体" w:cs="宋体"/>
          <w:kern w:val="0"/>
          <w:sz w:val="28"/>
          <w:szCs w:val="28"/>
        </w:rPr>
      </w:pPr>
      <w:r>
        <w:rPr>
          <w:rFonts w:hint="eastAsia" w:ascii="楷体" w:eastAsia="楷体" w:cs="宋体"/>
          <w:kern w:val="0"/>
          <w:sz w:val="28"/>
          <w:szCs w:val="28"/>
        </w:rPr>
        <w:t>1.</w:t>
      </w:r>
      <w:r>
        <w:rPr>
          <w:rFonts w:hint="eastAsia" w:ascii="楷体" w:eastAsia="楷体" w:cs="宋体"/>
          <w:kern w:val="0"/>
          <w:sz w:val="28"/>
          <w:szCs w:val="28"/>
          <w:lang w:val="en-US" w:eastAsia="zh-CN"/>
        </w:rPr>
        <w:t>部门</w:t>
      </w:r>
      <w:r>
        <w:rPr>
          <w:rFonts w:hint="eastAsia" w:ascii="楷体" w:eastAsia="楷体" w:cs="宋体"/>
          <w:kern w:val="0"/>
          <w:sz w:val="28"/>
          <w:szCs w:val="28"/>
        </w:rPr>
        <w:t>整体绩效评价</w:t>
      </w:r>
    </w:p>
    <w:p>
      <w:pPr>
        <w:spacing w:line="560" w:lineRule="exact"/>
        <w:ind w:firstLine="560" w:firstLineChars="200"/>
        <w:rPr>
          <w:rFonts w:ascii="Times New Roman" w:eastAsia="仿宋"/>
          <w:sz w:val="28"/>
          <w:szCs w:val="28"/>
        </w:rPr>
      </w:pPr>
      <w:r>
        <w:rPr>
          <w:rFonts w:ascii="Times New Roman" w:eastAsia="仿宋"/>
          <w:sz w:val="28"/>
          <w:szCs w:val="28"/>
        </w:rPr>
        <w:t>20</w:t>
      </w:r>
      <w:r>
        <w:rPr>
          <w:rFonts w:hint="eastAsia" w:ascii="Times New Roman" w:eastAsia="仿宋"/>
          <w:sz w:val="28"/>
          <w:szCs w:val="28"/>
          <w:lang w:val="en-US" w:eastAsia="zh-CN"/>
        </w:rPr>
        <w:t>25</w:t>
      </w:r>
      <w:r>
        <w:rPr>
          <w:rFonts w:ascii="Times New Roman" w:eastAsia="仿宋"/>
          <w:sz w:val="28"/>
          <w:szCs w:val="28"/>
        </w:rPr>
        <w:t>年部门绩效按照资金进度有序安排，完成</w:t>
      </w:r>
      <w:r>
        <w:rPr>
          <w:rFonts w:hint="eastAsia" w:ascii="Times New Roman" w:eastAsia="仿宋"/>
          <w:sz w:val="28"/>
          <w:szCs w:val="28"/>
          <w:lang w:val="en-US" w:eastAsia="zh-CN"/>
        </w:rPr>
        <w:t>部门</w:t>
      </w:r>
      <w:r>
        <w:rPr>
          <w:rFonts w:ascii="Times New Roman" w:eastAsia="仿宋"/>
          <w:sz w:val="28"/>
          <w:szCs w:val="28"/>
        </w:rPr>
        <w:t>预算制定的目标，预算资金本着节约使用的目的，所有结余由财政收回统一管理使用。</w:t>
      </w:r>
    </w:p>
    <w:p>
      <w:pPr>
        <w:widowControl/>
        <w:spacing w:line="560" w:lineRule="exact"/>
        <w:ind w:firstLine="560" w:firstLineChars="200"/>
        <w:jc w:val="left"/>
        <w:rPr>
          <w:rFonts w:ascii="楷体" w:eastAsia="楷体" w:cs="宋体"/>
          <w:kern w:val="0"/>
          <w:sz w:val="28"/>
          <w:szCs w:val="28"/>
        </w:rPr>
      </w:pPr>
      <w:r>
        <w:rPr>
          <w:rFonts w:hint="eastAsia" w:ascii="楷体" w:eastAsia="楷体" w:cs="宋体"/>
          <w:kern w:val="0"/>
          <w:sz w:val="28"/>
          <w:szCs w:val="28"/>
        </w:rPr>
        <w:t>2.</w:t>
      </w:r>
      <w:r>
        <w:rPr>
          <w:rFonts w:hint="eastAsia" w:ascii="楷体" w:eastAsia="楷体" w:cs="宋体"/>
          <w:kern w:val="0"/>
          <w:sz w:val="28"/>
          <w:szCs w:val="28"/>
          <w:lang w:val="en-US" w:eastAsia="zh-CN"/>
        </w:rPr>
        <w:t>部门</w:t>
      </w:r>
      <w:r>
        <w:rPr>
          <w:rFonts w:hint="eastAsia" w:ascii="楷体" w:eastAsia="楷体" w:cs="宋体"/>
          <w:kern w:val="0"/>
          <w:sz w:val="28"/>
          <w:szCs w:val="28"/>
        </w:rPr>
        <w:t>专项资金绩效评价</w:t>
      </w:r>
    </w:p>
    <w:p>
      <w:pPr>
        <w:spacing w:line="560" w:lineRule="exact"/>
        <w:ind w:firstLine="560" w:firstLineChars="200"/>
        <w:rPr>
          <w:rFonts w:ascii="Times New Roman" w:eastAsia="仿宋"/>
          <w:sz w:val="28"/>
          <w:szCs w:val="28"/>
        </w:rPr>
      </w:pPr>
      <w:r>
        <w:rPr>
          <w:rFonts w:ascii="Times New Roman" w:eastAsia="仿宋"/>
          <w:sz w:val="28"/>
          <w:szCs w:val="28"/>
        </w:rPr>
        <w:t>2</w:t>
      </w:r>
      <w:r>
        <w:rPr>
          <w:rFonts w:hint="eastAsia" w:ascii="Times New Roman" w:eastAsia="仿宋"/>
          <w:sz w:val="28"/>
          <w:szCs w:val="28"/>
        </w:rPr>
        <w:t>025</w:t>
      </w:r>
      <w:r>
        <w:rPr>
          <w:rFonts w:ascii="Times New Roman" w:eastAsia="仿宋"/>
          <w:sz w:val="28"/>
          <w:szCs w:val="28"/>
        </w:rPr>
        <w:t>年我单位管理的部门预算专项主要指2</w:t>
      </w:r>
      <w:r>
        <w:rPr>
          <w:rFonts w:hint="eastAsia" w:ascii="Times New Roman" w:eastAsia="仿宋"/>
          <w:sz w:val="28"/>
          <w:szCs w:val="28"/>
        </w:rPr>
        <w:t>025</w:t>
      </w:r>
      <w:r>
        <w:rPr>
          <w:rFonts w:ascii="Times New Roman" w:eastAsia="仿宋"/>
          <w:sz w:val="28"/>
          <w:szCs w:val="28"/>
        </w:rPr>
        <w:t>年度耕地质量监测项目</w:t>
      </w:r>
      <w:r>
        <w:rPr>
          <w:rFonts w:hint="eastAsia" w:ascii="Times New Roman" w:eastAsia="仿宋"/>
          <w:sz w:val="28"/>
          <w:szCs w:val="28"/>
          <w:lang w:val="en-US" w:eastAsia="zh-CN"/>
        </w:rPr>
        <w:t>55.38</w:t>
      </w:r>
      <w:r>
        <w:rPr>
          <w:rFonts w:ascii="Times New Roman" w:eastAsia="仿宋"/>
          <w:sz w:val="28"/>
          <w:szCs w:val="28"/>
        </w:rPr>
        <w:t>万元</w:t>
      </w:r>
      <w:r>
        <w:rPr>
          <w:rFonts w:hint="eastAsia" w:ascii="Times New Roman" w:eastAsia="仿宋"/>
          <w:sz w:val="28"/>
          <w:szCs w:val="28"/>
          <w:lang w:val="en-US" w:eastAsia="zh-CN"/>
        </w:rPr>
        <w:t>和办公设备购置1.2万元</w:t>
      </w:r>
      <w:r>
        <w:rPr>
          <w:rFonts w:ascii="Times New Roman" w:eastAsia="仿宋"/>
          <w:sz w:val="28"/>
          <w:szCs w:val="28"/>
        </w:rPr>
        <w:t>。因财政部门压缩资金，核减后202</w:t>
      </w:r>
      <w:r>
        <w:rPr>
          <w:rFonts w:hint="eastAsia" w:ascii="Times New Roman" w:eastAsia="仿宋"/>
          <w:sz w:val="28"/>
          <w:szCs w:val="28"/>
        </w:rPr>
        <w:t>5</w:t>
      </w:r>
      <w:r>
        <w:rPr>
          <w:rFonts w:ascii="Times New Roman" w:eastAsia="仿宋"/>
          <w:sz w:val="28"/>
          <w:szCs w:val="28"/>
        </w:rPr>
        <w:t>年耕地质量监测项目</w:t>
      </w:r>
      <w:r>
        <w:rPr>
          <w:rFonts w:hint="eastAsia" w:ascii="Times New Roman" w:eastAsia="仿宋"/>
          <w:sz w:val="28"/>
          <w:szCs w:val="28"/>
        </w:rPr>
        <w:t>56.576</w:t>
      </w:r>
      <w:r>
        <w:rPr>
          <w:rFonts w:ascii="Times New Roman" w:eastAsia="仿宋"/>
          <w:sz w:val="28"/>
          <w:szCs w:val="28"/>
        </w:rPr>
        <w:t>万元。下面根据</w:t>
      </w:r>
      <w:r>
        <w:rPr>
          <w:rFonts w:hint="eastAsia" w:ascii="Times New Roman" w:eastAsia="仿宋"/>
          <w:sz w:val="28"/>
          <w:szCs w:val="28"/>
          <w:lang w:val="en-US" w:eastAsia="zh-CN"/>
        </w:rPr>
        <w:t>单位</w:t>
      </w:r>
      <w:r>
        <w:rPr>
          <w:rFonts w:ascii="Times New Roman" w:eastAsia="仿宋"/>
          <w:sz w:val="28"/>
          <w:szCs w:val="28"/>
        </w:rPr>
        <w:t>预算的目标值对我单位所管理专项资金绩效进行评价。</w:t>
      </w:r>
    </w:p>
    <w:p>
      <w:pPr>
        <w:spacing w:line="560" w:lineRule="exact"/>
        <w:ind w:firstLine="560" w:firstLineChars="200"/>
        <w:rPr>
          <w:rFonts w:ascii="Times New Roman" w:eastAsia="仿宋"/>
          <w:sz w:val="28"/>
          <w:szCs w:val="28"/>
        </w:rPr>
      </w:pPr>
      <w:r>
        <w:rPr>
          <w:rFonts w:ascii="Times New Roman" w:eastAsia="仿宋"/>
          <w:sz w:val="28"/>
          <w:szCs w:val="28"/>
        </w:rPr>
        <w:t>项目经费预算为</w:t>
      </w:r>
      <w:r>
        <w:rPr>
          <w:rFonts w:hint="eastAsia" w:ascii="Times New Roman" w:eastAsia="仿宋"/>
          <w:sz w:val="28"/>
          <w:szCs w:val="28"/>
          <w:lang w:val="en-US" w:eastAsia="zh-CN"/>
        </w:rPr>
        <w:t>56.576</w:t>
      </w:r>
      <w:r>
        <w:rPr>
          <w:rFonts w:ascii="Times New Roman" w:eastAsia="仿宋"/>
          <w:sz w:val="28"/>
          <w:szCs w:val="28"/>
        </w:rPr>
        <w:t>万元，实际收到市财政局拨付金额为</w:t>
      </w:r>
      <w:r>
        <w:rPr>
          <w:rFonts w:hint="eastAsia" w:ascii="Times New Roman" w:eastAsia="仿宋"/>
          <w:sz w:val="28"/>
          <w:szCs w:val="28"/>
        </w:rPr>
        <w:t>56.576</w:t>
      </w:r>
      <w:r>
        <w:rPr>
          <w:rFonts w:ascii="Times New Roman" w:eastAsia="仿宋"/>
          <w:sz w:val="28"/>
          <w:szCs w:val="28"/>
        </w:rPr>
        <w:t>万元，实际支出</w:t>
      </w:r>
      <w:r>
        <w:rPr>
          <w:rFonts w:hint="eastAsia" w:ascii="Times New Roman" w:eastAsia="仿宋"/>
          <w:sz w:val="28"/>
          <w:szCs w:val="28"/>
        </w:rPr>
        <w:t>56.366</w:t>
      </w:r>
      <w:r>
        <w:rPr>
          <w:rFonts w:ascii="Times New Roman" w:eastAsia="仿宋"/>
          <w:sz w:val="28"/>
          <w:szCs w:val="28"/>
        </w:rPr>
        <w:t>万元，结余经费为</w:t>
      </w:r>
      <w:r>
        <w:rPr>
          <w:rFonts w:hint="eastAsia" w:ascii="Times New Roman" w:eastAsia="仿宋"/>
          <w:sz w:val="28"/>
          <w:szCs w:val="28"/>
        </w:rPr>
        <w:t>0.21万元</w:t>
      </w:r>
      <w:r>
        <w:rPr>
          <w:rFonts w:ascii="Times New Roman" w:eastAsia="仿宋"/>
          <w:sz w:val="28"/>
          <w:szCs w:val="28"/>
        </w:rPr>
        <w:t>。由南京市耕地质量保护站牵头组织江北新区、江宁、浦口、六合、溧水、高淳、栖霞和雨花台8个区级耕保部门联合实施。</w:t>
      </w:r>
    </w:p>
    <w:p>
      <w:pPr>
        <w:spacing w:line="560" w:lineRule="exact"/>
        <w:ind w:firstLine="560" w:firstLineChars="200"/>
        <w:rPr>
          <w:rFonts w:ascii="Times New Roman" w:eastAsia="仿宋"/>
          <w:sz w:val="28"/>
          <w:szCs w:val="28"/>
        </w:rPr>
      </w:pPr>
      <w:r>
        <w:rPr>
          <w:rFonts w:ascii="Times New Roman" w:eastAsia="仿宋"/>
          <w:sz w:val="28"/>
          <w:szCs w:val="28"/>
        </w:rPr>
        <w:t>耕地质量监测费用包括300个长期定位监测点监测，每个点</w:t>
      </w:r>
      <w:r>
        <w:rPr>
          <w:rFonts w:hint="eastAsia" w:ascii="Times New Roman" w:eastAsia="仿宋"/>
          <w:sz w:val="28"/>
          <w:szCs w:val="28"/>
        </w:rPr>
        <w:t>0.07万</w:t>
      </w:r>
      <w:r>
        <w:rPr>
          <w:rFonts w:ascii="Times New Roman" w:eastAsia="仿宋"/>
          <w:sz w:val="28"/>
          <w:szCs w:val="28"/>
        </w:rPr>
        <w:t>元，预算为</w:t>
      </w:r>
      <w:r>
        <w:rPr>
          <w:rFonts w:hint="eastAsia" w:ascii="Times New Roman" w:eastAsia="仿宋"/>
          <w:sz w:val="28"/>
          <w:szCs w:val="28"/>
        </w:rPr>
        <w:t>21</w:t>
      </w:r>
      <w:r>
        <w:rPr>
          <w:rFonts w:ascii="Times New Roman" w:eastAsia="仿宋"/>
          <w:sz w:val="28"/>
          <w:szCs w:val="28"/>
        </w:rPr>
        <w:t>万元；监测点样品采集与检测，预算为3</w:t>
      </w:r>
      <w:r>
        <w:rPr>
          <w:rFonts w:hint="eastAsia" w:ascii="Times New Roman" w:eastAsia="仿宋"/>
          <w:sz w:val="28"/>
          <w:szCs w:val="28"/>
        </w:rPr>
        <w:t>4</w:t>
      </w:r>
      <w:r>
        <w:rPr>
          <w:rFonts w:ascii="Times New Roman" w:eastAsia="仿宋"/>
          <w:sz w:val="28"/>
          <w:szCs w:val="28"/>
        </w:rPr>
        <w:t>万元；其他支出，预算为</w:t>
      </w:r>
      <w:r>
        <w:rPr>
          <w:rFonts w:hint="eastAsia" w:ascii="Times New Roman" w:eastAsia="仿宋"/>
          <w:sz w:val="28"/>
          <w:szCs w:val="28"/>
        </w:rPr>
        <w:t>1.576</w:t>
      </w:r>
      <w:r>
        <w:rPr>
          <w:rFonts w:ascii="Times New Roman" w:eastAsia="仿宋"/>
          <w:sz w:val="28"/>
          <w:szCs w:val="28"/>
        </w:rPr>
        <w:t>万元；</w:t>
      </w:r>
    </w:p>
    <w:p>
      <w:pPr>
        <w:spacing w:line="560" w:lineRule="exact"/>
        <w:ind w:firstLine="560" w:firstLineChars="200"/>
        <w:rPr>
          <w:rFonts w:ascii="Times New Roman" w:eastAsia="仿宋"/>
          <w:sz w:val="28"/>
          <w:szCs w:val="28"/>
        </w:rPr>
      </w:pPr>
      <w:r>
        <w:rPr>
          <w:rFonts w:ascii="Times New Roman" w:eastAsia="仿宋"/>
          <w:sz w:val="28"/>
          <w:szCs w:val="28"/>
        </w:rPr>
        <w:t>绩效目标包括产出指标与效益指标。</w:t>
      </w:r>
    </w:p>
    <w:p>
      <w:pPr>
        <w:spacing w:line="560" w:lineRule="exact"/>
        <w:ind w:firstLine="560" w:firstLineChars="200"/>
        <w:rPr>
          <w:rFonts w:ascii="Times New Roman" w:eastAsia="仿宋"/>
          <w:sz w:val="28"/>
          <w:szCs w:val="28"/>
        </w:rPr>
      </w:pPr>
      <w:r>
        <w:rPr>
          <w:rFonts w:ascii="Times New Roman" w:eastAsia="仿宋"/>
          <w:sz w:val="28"/>
          <w:szCs w:val="28"/>
        </w:rPr>
        <w:t xml:space="preserve">产出指标为： </w:t>
      </w:r>
    </w:p>
    <w:p>
      <w:pPr>
        <w:spacing w:line="560" w:lineRule="exact"/>
        <w:ind w:firstLine="560" w:firstLineChars="200"/>
        <w:rPr>
          <w:rFonts w:ascii="Times New Roman" w:eastAsia="仿宋"/>
          <w:sz w:val="28"/>
          <w:szCs w:val="28"/>
        </w:rPr>
      </w:pPr>
      <w:r>
        <w:rPr>
          <w:rFonts w:ascii="Times New Roman" w:eastAsia="仿宋"/>
          <w:sz w:val="28"/>
          <w:szCs w:val="28"/>
        </w:rPr>
        <w:t>1.维护运行300个耕地质量监测点；</w:t>
      </w:r>
    </w:p>
    <w:p>
      <w:pPr>
        <w:spacing w:line="560" w:lineRule="exact"/>
        <w:ind w:firstLine="560" w:firstLineChars="200"/>
        <w:rPr>
          <w:rFonts w:ascii="Times New Roman" w:eastAsia="仿宋"/>
          <w:sz w:val="28"/>
          <w:szCs w:val="28"/>
        </w:rPr>
      </w:pPr>
      <w:r>
        <w:rPr>
          <w:rFonts w:ascii="Times New Roman" w:eastAsia="仿宋"/>
          <w:sz w:val="28"/>
          <w:szCs w:val="28"/>
        </w:rPr>
        <w:t>2.耕地质量监测点能够正常运行；</w:t>
      </w:r>
    </w:p>
    <w:p>
      <w:pPr>
        <w:spacing w:line="560" w:lineRule="exact"/>
        <w:ind w:firstLine="560" w:firstLineChars="200"/>
        <w:rPr>
          <w:rFonts w:ascii="Times New Roman" w:eastAsia="仿宋"/>
          <w:sz w:val="28"/>
          <w:szCs w:val="28"/>
        </w:rPr>
      </w:pPr>
      <w:r>
        <w:rPr>
          <w:rFonts w:ascii="Times New Roman" w:eastAsia="仿宋"/>
          <w:sz w:val="28"/>
          <w:szCs w:val="28"/>
        </w:rPr>
        <w:t>3.发布年度耕地质量监测报告。</w:t>
      </w:r>
    </w:p>
    <w:p>
      <w:pPr>
        <w:spacing w:line="560" w:lineRule="exact"/>
        <w:ind w:firstLine="560" w:firstLineChars="200"/>
        <w:rPr>
          <w:rFonts w:ascii="Times New Roman" w:eastAsia="仿宋"/>
          <w:sz w:val="28"/>
          <w:szCs w:val="28"/>
        </w:rPr>
      </w:pPr>
      <w:r>
        <w:rPr>
          <w:rFonts w:ascii="Times New Roman" w:eastAsia="仿宋"/>
          <w:sz w:val="28"/>
          <w:szCs w:val="28"/>
        </w:rPr>
        <w:t>效益指标为：</w:t>
      </w:r>
    </w:p>
    <w:p>
      <w:pPr>
        <w:spacing w:line="560" w:lineRule="exact"/>
        <w:ind w:firstLine="560" w:firstLineChars="200"/>
        <w:rPr>
          <w:rFonts w:ascii="Times New Roman" w:eastAsia="仿宋"/>
          <w:sz w:val="28"/>
          <w:szCs w:val="28"/>
        </w:rPr>
      </w:pPr>
      <w:r>
        <w:rPr>
          <w:rFonts w:ascii="Times New Roman" w:eastAsia="仿宋"/>
          <w:sz w:val="28"/>
          <w:szCs w:val="28"/>
        </w:rPr>
        <w:t>1.构建完善全市耕地质量监测网络；</w:t>
      </w:r>
    </w:p>
    <w:p>
      <w:pPr>
        <w:spacing w:line="560" w:lineRule="exact"/>
        <w:ind w:firstLine="560" w:firstLineChars="200"/>
        <w:rPr>
          <w:rFonts w:ascii="Times New Roman" w:eastAsia="仿宋"/>
          <w:sz w:val="28"/>
          <w:szCs w:val="28"/>
        </w:rPr>
      </w:pPr>
      <w:r>
        <w:rPr>
          <w:rFonts w:ascii="Times New Roman" w:eastAsia="仿宋"/>
          <w:sz w:val="28"/>
          <w:szCs w:val="28"/>
        </w:rPr>
        <w:t>2.无资金使用重大违规违纪问题。</w:t>
      </w:r>
    </w:p>
    <w:p>
      <w:pPr>
        <w:spacing w:line="560" w:lineRule="exact"/>
        <w:ind w:firstLine="560" w:firstLineChars="200"/>
        <w:rPr>
          <w:rFonts w:ascii="Times New Roman" w:eastAsia="仿宋"/>
          <w:sz w:val="28"/>
          <w:szCs w:val="28"/>
        </w:rPr>
      </w:pPr>
      <w:r>
        <w:rPr>
          <w:rFonts w:ascii="Times New Roman" w:eastAsia="仿宋"/>
          <w:sz w:val="28"/>
          <w:szCs w:val="28"/>
        </w:rPr>
        <w:t>通过该项目的实施，全部完成上述绩效指标，具体情况为：</w:t>
      </w:r>
    </w:p>
    <w:p>
      <w:pPr>
        <w:spacing w:line="560" w:lineRule="exact"/>
        <w:ind w:firstLine="560" w:firstLineChars="200"/>
        <w:rPr>
          <w:rFonts w:ascii="Times New Roman" w:eastAsia="仿宋"/>
          <w:sz w:val="28"/>
          <w:szCs w:val="28"/>
        </w:rPr>
      </w:pPr>
      <w:r>
        <w:rPr>
          <w:rFonts w:ascii="Times New Roman" w:eastAsia="仿宋"/>
          <w:sz w:val="28"/>
          <w:szCs w:val="28"/>
        </w:rPr>
        <w:t>1.维护运行了300个耕地质量监测点，开展常年动态耕地质量监测；</w:t>
      </w:r>
    </w:p>
    <w:p>
      <w:pPr>
        <w:spacing w:line="560" w:lineRule="exact"/>
        <w:ind w:firstLine="560" w:firstLineChars="200"/>
        <w:rPr>
          <w:rFonts w:ascii="Times New Roman" w:eastAsia="仿宋"/>
          <w:sz w:val="28"/>
          <w:szCs w:val="28"/>
        </w:rPr>
      </w:pPr>
      <w:r>
        <w:rPr>
          <w:rFonts w:ascii="Times New Roman" w:eastAsia="仿宋"/>
          <w:sz w:val="28"/>
          <w:szCs w:val="28"/>
        </w:rPr>
        <w:t>2.完成了300个取土化验任务指标；</w:t>
      </w:r>
    </w:p>
    <w:p>
      <w:pPr>
        <w:spacing w:line="560" w:lineRule="exact"/>
        <w:ind w:firstLine="560" w:firstLineChars="200"/>
        <w:rPr>
          <w:rFonts w:ascii="Times New Roman" w:eastAsia="仿宋"/>
          <w:sz w:val="28"/>
          <w:szCs w:val="28"/>
        </w:rPr>
      </w:pPr>
      <w:r>
        <w:rPr>
          <w:rFonts w:ascii="Times New Roman" w:eastAsia="仿宋"/>
          <w:sz w:val="28"/>
          <w:szCs w:val="28"/>
        </w:rPr>
        <w:t>3.完成样品检测分析数据2</w:t>
      </w:r>
      <w:r>
        <w:rPr>
          <w:rFonts w:hint="eastAsia" w:ascii="Times New Roman" w:eastAsia="仿宋"/>
          <w:sz w:val="28"/>
          <w:szCs w:val="28"/>
        </w:rPr>
        <w:t>448</w:t>
      </w:r>
      <w:r>
        <w:rPr>
          <w:rFonts w:ascii="Times New Roman" w:eastAsia="仿宋"/>
          <w:sz w:val="28"/>
          <w:szCs w:val="28"/>
        </w:rPr>
        <w:t>项次；</w:t>
      </w:r>
    </w:p>
    <w:p>
      <w:pPr>
        <w:spacing w:line="560" w:lineRule="exact"/>
        <w:ind w:firstLine="560" w:firstLineChars="200"/>
        <w:rPr>
          <w:rFonts w:ascii="Times New Roman" w:eastAsia="仿宋"/>
          <w:sz w:val="28"/>
          <w:szCs w:val="28"/>
        </w:rPr>
      </w:pPr>
      <w:r>
        <w:rPr>
          <w:rFonts w:ascii="Times New Roman" w:eastAsia="仿宋"/>
          <w:sz w:val="28"/>
          <w:szCs w:val="28"/>
        </w:rPr>
        <w:t>4.全市300个耕地质量监测点均能够正常运行；</w:t>
      </w:r>
    </w:p>
    <w:p>
      <w:pPr>
        <w:spacing w:line="560" w:lineRule="exact"/>
        <w:ind w:firstLine="560" w:firstLineChars="200"/>
        <w:rPr>
          <w:rFonts w:ascii="Times New Roman" w:eastAsia="仿宋"/>
          <w:sz w:val="28"/>
          <w:szCs w:val="28"/>
        </w:rPr>
      </w:pPr>
      <w:r>
        <w:rPr>
          <w:rFonts w:ascii="Times New Roman" w:eastAsia="仿宋"/>
          <w:sz w:val="28"/>
          <w:szCs w:val="28"/>
        </w:rPr>
        <w:t>5.发布了年度耕地质量监测报告；</w:t>
      </w:r>
    </w:p>
    <w:p>
      <w:pPr>
        <w:spacing w:line="560" w:lineRule="exact"/>
        <w:ind w:firstLine="560" w:firstLineChars="200"/>
        <w:rPr>
          <w:rFonts w:ascii="Times New Roman" w:eastAsia="仿宋"/>
          <w:sz w:val="28"/>
          <w:szCs w:val="28"/>
        </w:rPr>
      </w:pPr>
      <w:r>
        <w:rPr>
          <w:rFonts w:ascii="Times New Roman" w:eastAsia="仿宋"/>
          <w:sz w:val="28"/>
          <w:szCs w:val="28"/>
        </w:rPr>
        <w:t>6.进一步完善了全市耕地质量监测网络；</w:t>
      </w:r>
    </w:p>
    <w:p>
      <w:pPr>
        <w:spacing w:line="560" w:lineRule="exact"/>
        <w:ind w:firstLine="560" w:firstLineChars="200"/>
        <w:rPr>
          <w:rFonts w:ascii="Times New Roman" w:eastAsia="仿宋"/>
          <w:sz w:val="28"/>
          <w:szCs w:val="28"/>
        </w:rPr>
      </w:pPr>
      <w:r>
        <w:rPr>
          <w:rFonts w:ascii="Times New Roman" w:eastAsia="仿宋"/>
          <w:sz w:val="28"/>
          <w:szCs w:val="28"/>
        </w:rPr>
        <w:t>7.无资金使用重大违规违纪问题。相关台账资料保留存档。</w:t>
      </w:r>
    </w:p>
    <w:p>
      <w:pPr>
        <w:spacing w:line="560" w:lineRule="exact"/>
        <w:ind w:firstLine="560" w:firstLineChars="200"/>
        <w:rPr>
          <w:rFonts w:ascii="Times New Roman" w:eastAsia="仿宋"/>
          <w:sz w:val="28"/>
          <w:szCs w:val="28"/>
        </w:rPr>
      </w:pPr>
      <w:r>
        <w:rPr>
          <w:rFonts w:ascii="Times New Roman" w:eastAsia="仿宋"/>
          <w:sz w:val="28"/>
          <w:szCs w:val="28"/>
        </w:rPr>
        <w:t>该项目于202</w:t>
      </w:r>
      <w:r>
        <w:rPr>
          <w:rFonts w:hint="eastAsia" w:ascii="Times New Roman" w:eastAsia="仿宋"/>
          <w:sz w:val="28"/>
          <w:szCs w:val="28"/>
        </w:rPr>
        <w:t>6</w:t>
      </w:r>
      <w:r>
        <w:rPr>
          <w:rFonts w:ascii="Times New Roman" w:eastAsia="仿宋"/>
          <w:sz w:val="28"/>
          <w:szCs w:val="28"/>
        </w:rPr>
        <w:t>年</w:t>
      </w:r>
      <w:r>
        <w:rPr>
          <w:rFonts w:hint="eastAsia" w:ascii="Times New Roman" w:eastAsia="仿宋"/>
          <w:sz w:val="28"/>
          <w:szCs w:val="28"/>
        </w:rPr>
        <w:t>4</w:t>
      </w:r>
      <w:r>
        <w:rPr>
          <w:rFonts w:ascii="Times New Roman" w:eastAsia="仿宋"/>
          <w:sz w:val="28"/>
          <w:szCs w:val="28"/>
        </w:rPr>
        <w:t>月20日由</w:t>
      </w:r>
      <w:r>
        <w:rPr>
          <w:rFonts w:hint="eastAsia" w:ascii="Times New Roman" w:eastAsia="仿宋"/>
          <w:sz w:val="28"/>
          <w:szCs w:val="28"/>
        </w:rPr>
        <w:t>江苏益诚</w:t>
      </w:r>
      <w:r>
        <w:rPr>
          <w:rFonts w:ascii="Times New Roman" w:eastAsia="仿宋"/>
          <w:sz w:val="28"/>
          <w:szCs w:val="28"/>
        </w:rPr>
        <w:t>会计师事务所完成审计（</w:t>
      </w:r>
      <w:r>
        <w:rPr>
          <w:rFonts w:hint="eastAsia" w:ascii="Times New Roman" w:eastAsia="仿宋"/>
          <w:sz w:val="28"/>
          <w:szCs w:val="28"/>
        </w:rPr>
        <w:t>苏益诚专审字</w:t>
      </w:r>
      <w:r>
        <w:rPr>
          <w:rFonts w:ascii="Times New Roman" w:eastAsia="仿宋"/>
          <w:sz w:val="28"/>
          <w:szCs w:val="28"/>
        </w:rPr>
        <w:t>（</w:t>
      </w:r>
      <w:r>
        <w:rPr>
          <w:rFonts w:hint="eastAsia" w:ascii="Times New Roman" w:eastAsia="仿宋"/>
          <w:sz w:val="28"/>
          <w:szCs w:val="28"/>
        </w:rPr>
        <w:t>2026</w:t>
      </w:r>
      <w:r>
        <w:rPr>
          <w:rFonts w:ascii="Times New Roman" w:eastAsia="仿宋"/>
          <w:sz w:val="28"/>
          <w:szCs w:val="28"/>
        </w:rPr>
        <w:t>）</w:t>
      </w:r>
      <w:r>
        <w:rPr>
          <w:rFonts w:hint="eastAsia" w:ascii="Times New Roman" w:eastAsia="仿宋"/>
          <w:sz w:val="28"/>
          <w:szCs w:val="28"/>
        </w:rPr>
        <w:t>205号</w:t>
      </w:r>
      <w:r>
        <w:rPr>
          <w:rFonts w:ascii="Times New Roman" w:eastAsia="仿宋"/>
          <w:sz w:val="28"/>
          <w:szCs w:val="28"/>
        </w:rPr>
        <w:t>），审计评价为“</w:t>
      </w:r>
      <w:r>
        <w:rPr>
          <w:rFonts w:hint="eastAsia" w:ascii="Times New Roman" w:eastAsia="仿宋"/>
          <w:sz w:val="28"/>
          <w:szCs w:val="28"/>
        </w:rPr>
        <w:t>项目承担单位已设立专账，实行单独、明细核算，符合财务制度管理规定</w:t>
      </w:r>
      <w:r>
        <w:rPr>
          <w:rFonts w:ascii="Times New Roman" w:eastAsia="仿宋"/>
          <w:sz w:val="28"/>
          <w:szCs w:val="28"/>
        </w:rPr>
        <w:t>”</w:t>
      </w:r>
      <w:r>
        <w:rPr>
          <w:rFonts w:hint="eastAsia" w:ascii="Times New Roman" w:eastAsia="仿宋"/>
          <w:sz w:val="28"/>
          <w:szCs w:val="28"/>
        </w:rPr>
        <w:t>。</w:t>
      </w:r>
    </w:p>
    <w:p>
      <w:pPr>
        <w:widowControl/>
        <w:spacing w:line="560" w:lineRule="exact"/>
        <w:ind w:firstLine="560" w:firstLineChars="200"/>
        <w:jc w:val="left"/>
        <w:rPr>
          <w:rFonts w:ascii="楷体" w:eastAsia="楷体" w:cs="宋体"/>
          <w:color w:val="000000"/>
          <w:kern w:val="0"/>
          <w:sz w:val="28"/>
          <w:szCs w:val="28"/>
        </w:rPr>
      </w:pPr>
      <w:r>
        <w:rPr>
          <w:rFonts w:hint="eastAsia" w:ascii="楷体" w:eastAsia="楷体" w:cs="宋体"/>
          <w:color w:val="000000"/>
          <w:kern w:val="0"/>
          <w:sz w:val="28"/>
          <w:szCs w:val="28"/>
        </w:rPr>
        <w:t>（三）评价结论</w:t>
      </w:r>
    </w:p>
    <w:p>
      <w:pPr>
        <w:widowControl/>
        <w:spacing w:line="560" w:lineRule="exact"/>
        <w:ind w:firstLine="560" w:firstLineChars="200"/>
        <w:jc w:val="left"/>
        <w:rPr>
          <w:rFonts w:ascii="Times New Roman" w:eastAsia="仿宋"/>
          <w:sz w:val="28"/>
          <w:szCs w:val="28"/>
        </w:rPr>
      </w:pPr>
      <w:r>
        <w:rPr>
          <w:rFonts w:hint="eastAsia" w:ascii="楷体" w:eastAsia="楷体" w:cs="宋体"/>
          <w:kern w:val="0"/>
          <w:sz w:val="28"/>
          <w:szCs w:val="28"/>
        </w:rPr>
        <w:t>总体评价结论</w:t>
      </w:r>
      <w:r>
        <w:rPr>
          <w:rFonts w:hint="eastAsia" w:ascii="仿宋" w:eastAsia="仿宋" w:cs="宋体"/>
          <w:kern w:val="0"/>
          <w:sz w:val="28"/>
          <w:szCs w:val="28"/>
        </w:rPr>
        <w:t>：</w:t>
      </w:r>
      <w:r>
        <w:rPr>
          <w:rFonts w:hint="eastAsia" w:ascii="Times New Roman" w:eastAsia="仿宋"/>
          <w:sz w:val="28"/>
          <w:szCs w:val="28"/>
        </w:rPr>
        <w:t>我单位部门整体绩效评价结论为优秀。具体体现在单位信息全面清晰、单位规划计划合理可行、单位预算资金相应匹配、单位绩效指标体系科学、单位目标细化量化，以定量取数为主。</w:t>
      </w:r>
    </w:p>
    <w:p>
      <w:pPr>
        <w:pStyle w:val="4"/>
        <w:spacing w:after="0" w:line="560" w:lineRule="exact"/>
        <w:ind w:left="305" w:right="605"/>
        <w:jc w:val="center"/>
        <w:rPr>
          <w:rFonts w:ascii="楷体" w:eastAsia="楷体" w:cs="宋体"/>
          <w:kern w:val="0"/>
          <w:sz w:val="28"/>
          <w:szCs w:val="28"/>
        </w:rPr>
      </w:pPr>
      <w:r>
        <w:rPr>
          <w:rFonts w:hint="eastAsia" w:ascii="楷体" w:eastAsia="楷体" w:cs="宋体"/>
          <w:kern w:val="0"/>
          <w:sz w:val="28"/>
          <w:szCs w:val="28"/>
        </w:rPr>
        <w:t>部门</w:t>
      </w:r>
      <w:r>
        <w:rPr>
          <w:rFonts w:ascii="楷体" w:eastAsia="楷体" w:cs="宋体"/>
          <w:kern w:val="0"/>
          <w:sz w:val="28"/>
          <w:szCs w:val="28"/>
        </w:rPr>
        <w:t>整体绩效评价得分</w:t>
      </w:r>
      <w:r>
        <w:rPr>
          <w:rFonts w:hint="eastAsia" w:ascii="楷体" w:eastAsia="楷体" w:cs="宋体"/>
          <w:kern w:val="0"/>
          <w:sz w:val="28"/>
          <w:szCs w:val="28"/>
        </w:rPr>
        <w:t>汇总</w:t>
      </w:r>
      <w:r>
        <w:rPr>
          <w:rFonts w:ascii="楷体" w:eastAsia="楷体" w:cs="宋体"/>
          <w:kern w:val="0"/>
          <w:sz w:val="28"/>
          <w:szCs w:val="28"/>
        </w:rPr>
        <w:t xml:space="preserve">表 </w:t>
      </w:r>
    </w:p>
    <w:tbl>
      <w:tblPr>
        <w:tblStyle w:val="11"/>
        <w:tblW w:w="8334" w:type="dxa"/>
        <w:jc w:val="center"/>
        <w:tblInd w:w="0" w:type="dxa"/>
        <w:tblLayout w:type="fixed"/>
        <w:tblCellMar>
          <w:top w:w="55" w:type="dxa"/>
          <w:left w:w="108" w:type="dxa"/>
          <w:bottom w:w="0" w:type="dxa"/>
          <w:right w:w="70" w:type="dxa"/>
        </w:tblCellMar>
      </w:tblPr>
      <w:tblGrid>
        <w:gridCol w:w="875"/>
        <w:gridCol w:w="1067"/>
        <w:gridCol w:w="1117"/>
        <w:gridCol w:w="1116"/>
        <w:gridCol w:w="1217"/>
        <w:gridCol w:w="1192"/>
        <w:gridCol w:w="709"/>
        <w:gridCol w:w="1041"/>
      </w:tblGrid>
      <w:tr>
        <w:tblPrEx>
          <w:tblLayout w:type="fixed"/>
          <w:tblCellMar>
            <w:top w:w="55" w:type="dxa"/>
            <w:left w:w="108" w:type="dxa"/>
            <w:bottom w:w="0" w:type="dxa"/>
            <w:right w:w="70" w:type="dxa"/>
          </w:tblCellMar>
        </w:tblPrEx>
        <w:trPr>
          <w:trHeight w:val="1118" w:hRule="atLeast"/>
          <w:jc w:val="center"/>
        </w:trPr>
        <w:tc>
          <w:tcPr>
            <w:tcW w:w="875" w:type="dxa"/>
            <w:tcBorders>
              <w:top w:val="single" w:color="000000" w:sz="4" w:space="0"/>
              <w:left w:val="single" w:color="000000" w:sz="4" w:space="0"/>
              <w:bottom w:val="single" w:color="000000" w:sz="4" w:space="0"/>
              <w:right w:val="single" w:color="000000" w:sz="4" w:space="0"/>
            </w:tcBorders>
            <w:vAlign w:val="center"/>
          </w:tcPr>
          <w:p>
            <w:pPr>
              <w:spacing w:line="560" w:lineRule="exact"/>
              <w:ind w:left="161"/>
              <w:jc w:val="center"/>
              <w:rPr>
                <w:rFonts w:ascii="Times New Roman"/>
              </w:rPr>
            </w:pPr>
            <w:r>
              <w:rPr>
                <w:rFonts w:ascii="Times New Roman"/>
              </w:rPr>
              <w:t>指标</w:t>
            </w:r>
          </w:p>
        </w:tc>
        <w:tc>
          <w:tcPr>
            <w:tcW w:w="1067"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11"/>
              <w:jc w:val="center"/>
              <w:rPr>
                <w:rFonts w:ascii="Times New Roman"/>
              </w:rPr>
            </w:pPr>
            <w:r>
              <w:rPr>
                <w:rFonts w:ascii="Times New Roman"/>
              </w:rPr>
              <w:t>A</w:t>
            </w:r>
          </w:p>
          <w:p>
            <w:pPr>
              <w:spacing w:line="560" w:lineRule="exact"/>
              <w:ind w:right="11"/>
              <w:jc w:val="center"/>
              <w:rPr>
                <w:rFonts w:ascii="Times New Roman"/>
              </w:rPr>
            </w:pPr>
            <w:r>
              <w:rPr>
                <w:rFonts w:hint="eastAsia" w:ascii="Times New Roman"/>
              </w:rPr>
              <w:t>单位</w:t>
            </w:r>
            <w:r>
              <w:rPr>
                <w:rFonts w:ascii="Times New Roman"/>
              </w:rPr>
              <w:t>决策</w:t>
            </w:r>
          </w:p>
        </w:tc>
        <w:tc>
          <w:tcPr>
            <w:tcW w:w="1117"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11"/>
              <w:jc w:val="center"/>
              <w:rPr>
                <w:rFonts w:ascii="Times New Roman"/>
              </w:rPr>
            </w:pPr>
            <w:r>
              <w:rPr>
                <w:rFonts w:ascii="Times New Roman"/>
              </w:rPr>
              <w:t>B</w:t>
            </w:r>
          </w:p>
          <w:p>
            <w:pPr>
              <w:spacing w:line="560" w:lineRule="exact"/>
              <w:ind w:right="11"/>
              <w:jc w:val="center"/>
              <w:rPr>
                <w:rFonts w:ascii="Times New Roman"/>
              </w:rPr>
            </w:pPr>
            <w:r>
              <w:rPr>
                <w:rFonts w:hint="eastAsia" w:ascii="Times New Roman"/>
              </w:rPr>
              <w:t>单位</w:t>
            </w:r>
            <w:r>
              <w:rPr>
                <w:rFonts w:ascii="Times New Roman"/>
              </w:rPr>
              <w:t>管理</w:t>
            </w:r>
          </w:p>
        </w:tc>
        <w:tc>
          <w:tcPr>
            <w:tcW w:w="1116"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11"/>
              <w:jc w:val="center"/>
              <w:rPr>
                <w:rFonts w:ascii="Times New Roman"/>
              </w:rPr>
            </w:pPr>
            <w:r>
              <w:rPr>
                <w:rFonts w:ascii="Times New Roman"/>
              </w:rPr>
              <w:t>C</w:t>
            </w:r>
          </w:p>
          <w:p>
            <w:pPr>
              <w:spacing w:line="560" w:lineRule="exact"/>
              <w:ind w:right="11"/>
              <w:jc w:val="center"/>
              <w:rPr>
                <w:rFonts w:ascii="Times New Roman"/>
              </w:rPr>
            </w:pPr>
            <w:r>
              <w:rPr>
                <w:rFonts w:hint="eastAsia" w:ascii="Times New Roman"/>
              </w:rPr>
              <w:t>单位</w:t>
            </w:r>
            <w:r>
              <w:rPr>
                <w:rFonts w:ascii="Times New Roman"/>
              </w:rPr>
              <w:t>履职</w:t>
            </w:r>
          </w:p>
        </w:tc>
        <w:tc>
          <w:tcPr>
            <w:tcW w:w="1217"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11"/>
              <w:jc w:val="center"/>
              <w:rPr>
                <w:rFonts w:ascii="Times New Roman"/>
              </w:rPr>
            </w:pPr>
            <w:r>
              <w:rPr>
                <w:rFonts w:ascii="Times New Roman"/>
              </w:rPr>
              <w:t>D</w:t>
            </w:r>
          </w:p>
          <w:p>
            <w:pPr>
              <w:spacing w:line="560" w:lineRule="exact"/>
              <w:ind w:right="11"/>
              <w:jc w:val="center"/>
              <w:rPr>
                <w:rFonts w:ascii="Times New Roman"/>
              </w:rPr>
            </w:pPr>
            <w:r>
              <w:rPr>
                <w:rFonts w:ascii="Times New Roman"/>
              </w:rPr>
              <w:t>履职绩效</w:t>
            </w:r>
          </w:p>
        </w:tc>
        <w:tc>
          <w:tcPr>
            <w:tcW w:w="1192" w:type="dxa"/>
            <w:tcBorders>
              <w:top w:val="single" w:color="000000" w:sz="4" w:space="0"/>
              <w:left w:val="single" w:color="000000" w:sz="4" w:space="0"/>
              <w:bottom w:val="single" w:color="000000" w:sz="4" w:space="0"/>
              <w:right w:val="single" w:color="000000" w:sz="4" w:space="0"/>
            </w:tcBorders>
            <w:vAlign w:val="center"/>
          </w:tcPr>
          <w:p>
            <w:pPr>
              <w:spacing w:after="38" w:line="560" w:lineRule="exact"/>
              <w:ind w:right="41"/>
              <w:jc w:val="center"/>
              <w:rPr>
                <w:rFonts w:ascii="Times New Roman"/>
              </w:rPr>
            </w:pPr>
            <w:r>
              <w:rPr>
                <w:rFonts w:ascii="Times New Roman" w:eastAsia="Calibri" w:cs="Calibri"/>
              </w:rPr>
              <w:t>E</w:t>
            </w:r>
          </w:p>
          <w:p>
            <w:pPr>
              <w:spacing w:line="560" w:lineRule="exact"/>
              <w:ind w:right="11"/>
              <w:jc w:val="center"/>
              <w:rPr>
                <w:rFonts w:ascii="Times New Roman"/>
              </w:rPr>
            </w:pPr>
            <w:r>
              <w:rPr>
                <w:rFonts w:ascii="Times New Roman"/>
              </w:rPr>
              <w:t>可持续发展能力</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11"/>
              <w:jc w:val="center"/>
              <w:rPr>
                <w:rFonts w:ascii="Times New Roman"/>
              </w:rPr>
            </w:pPr>
            <w:r>
              <w:rPr>
                <w:rFonts w:ascii="Times New Roman"/>
              </w:rPr>
              <w:t>F</w:t>
            </w:r>
          </w:p>
          <w:p>
            <w:pPr>
              <w:spacing w:line="560" w:lineRule="exact"/>
              <w:ind w:right="11"/>
              <w:jc w:val="center"/>
              <w:rPr>
                <w:rFonts w:ascii="Times New Roman"/>
              </w:rPr>
            </w:pPr>
            <w:r>
              <w:rPr>
                <w:rFonts w:ascii="Times New Roman"/>
              </w:rPr>
              <w:t>加减分项</w:t>
            </w:r>
          </w:p>
        </w:tc>
        <w:tc>
          <w:tcPr>
            <w:tcW w:w="1041"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Times New Roman"/>
              </w:rPr>
            </w:pPr>
            <w:r>
              <w:rPr>
                <w:rFonts w:ascii="Times New Roman"/>
              </w:rPr>
              <w:t>合计分值</w:t>
            </w:r>
          </w:p>
        </w:tc>
      </w:tr>
      <w:tr>
        <w:tblPrEx>
          <w:tblLayout w:type="fixed"/>
          <w:tblCellMar>
            <w:top w:w="55" w:type="dxa"/>
            <w:left w:w="108" w:type="dxa"/>
            <w:bottom w:w="0" w:type="dxa"/>
            <w:right w:w="70" w:type="dxa"/>
          </w:tblCellMar>
        </w:tblPrEx>
        <w:trPr>
          <w:trHeight w:val="322" w:hRule="atLeast"/>
          <w:jc w:val="center"/>
        </w:trPr>
        <w:tc>
          <w:tcPr>
            <w:tcW w:w="875" w:type="dxa"/>
            <w:tcBorders>
              <w:top w:val="single" w:color="000000" w:sz="4" w:space="0"/>
              <w:left w:val="single" w:color="000000" w:sz="4" w:space="0"/>
              <w:bottom w:val="single" w:color="000000" w:sz="4" w:space="0"/>
              <w:right w:val="single" w:color="000000" w:sz="4" w:space="0"/>
            </w:tcBorders>
          </w:tcPr>
          <w:p>
            <w:pPr>
              <w:spacing w:line="560" w:lineRule="exact"/>
              <w:jc w:val="center"/>
              <w:rPr>
                <w:rFonts w:ascii="Times New Roman"/>
              </w:rPr>
            </w:pPr>
            <w:r>
              <w:rPr>
                <w:rFonts w:ascii="Times New Roman"/>
              </w:rPr>
              <w:t>权重</w:t>
            </w:r>
          </w:p>
        </w:tc>
        <w:tc>
          <w:tcPr>
            <w:tcW w:w="1067"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39"/>
              <w:jc w:val="center"/>
              <w:rPr>
                <w:rFonts w:ascii="Times New Roman"/>
              </w:rPr>
            </w:pPr>
            <w:r>
              <w:rPr>
                <w:rFonts w:ascii="Times New Roman" w:eastAsia="Calibri" w:cs="Calibri"/>
                <w:sz w:val="24"/>
              </w:rPr>
              <w:t>15</w:t>
            </w:r>
          </w:p>
        </w:tc>
        <w:tc>
          <w:tcPr>
            <w:tcW w:w="1117"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36" w:firstLine="240" w:firstLineChars="100"/>
              <w:jc w:val="center"/>
              <w:rPr>
                <w:rFonts w:ascii="Times New Roman"/>
              </w:rPr>
            </w:pPr>
            <w:r>
              <w:rPr>
                <w:rFonts w:ascii="Times New Roman" w:eastAsia="Calibri" w:cs="Calibri"/>
                <w:sz w:val="24"/>
              </w:rPr>
              <w:t>20</w:t>
            </w:r>
          </w:p>
        </w:tc>
        <w:tc>
          <w:tcPr>
            <w:tcW w:w="1116"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36"/>
              <w:jc w:val="center"/>
              <w:rPr>
                <w:rFonts w:ascii="Times New Roman"/>
              </w:rPr>
            </w:pPr>
            <w:r>
              <w:rPr>
                <w:rFonts w:ascii="Times New Roman" w:eastAsia="Calibri" w:cs="Calibri"/>
                <w:sz w:val="24"/>
              </w:rPr>
              <w:t>30</w:t>
            </w:r>
          </w:p>
        </w:tc>
        <w:tc>
          <w:tcPr>
            <w:tcW w:w="1217"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41"/>
              <w:jc w:val="center"/>
              <w:rPr>
                <w:rFonts w:ascii="Times New Roman"/>
              </w:rPr>
            </w:pPr>
            <w:r>
              <w:rPr>
                <w:rFonts w:ascii="Times New Roman" w:eastAsia="Calibri" w:cs="Calibri"/>
                <w:sz w:val="24"/>
              </w:rPr>
              <w:t>30</w:t>
            </w:r>
          </w:p>
        </w:tc>
        <w:tc>
          <w:tcPr>
            <w:tcW w:w="1192"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41"/>
              <w:jc w:val="center"/>
              <w:rPr>
                <w:rFonts w:ascii="Times New Roman"/>
              </w:rPr>
            </w:pPr>
            <w:r>
              <w:rPr>
                <w:rFonts w:ascii="Times New Roman" w:eastAsia="Calibri" w:cs="Calibri"/>
                <w:sz w:val="24"/>
              </w:rPr>
              <w:t>5</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560" w:lineRule="exact"/>
              <w:ind w:left="13"/>
              <w:jc w:val="center"/>
              <w:rPr>
                <w:rFonts w:ascii="Times New Roman"/>
              </w:rPr>
            </w:pPr>
          </w:p>
        </w:tc>
        <w:tc>
          <w:tcPr>
            <w:tcW w:w="1041"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39"/>
              <w:jc w:val="center"/>
              <w:rPr>
                <w:rFonts w:ascii="Times New Roman"/>
              </w:rPr>
            </w:pPr>
            <w:r>
              <w:rPr>
                <w:rFonts w:ascii="Times New Roman" w:eastAsia="Calibri" w:cs="Calibri"/>
                <w:sz w:val="24"/>
              </w:rPr>
              <w:t>100</w:t>
            </w:r>
          </w:p>
        </w:tc>
      </w:tr>
      <w:tr>
        <w:tblPrEx>
          <w:tblLayout w:type="fixed"/>
          <w:tblCellMar>
            <w:top w:w="55" w:type="dxa"/>
            <w:left w:w="108" w:type="dxa"/>
            <w:bottom w:w="0" w:type="dxa"/>
            <w:right w:w="70" w:type="dxa"/>
          </w:tblCellMar>
        </w:tblPrEx>
        <w:trPr>
          <w:trHeight w:val="322" w:hRule="atLeast"/>
          <w:jc w:val="center"/>
        </w:trPr>
        <w:tc>
          <w:tcPr>
            <w:tcW w:w="875" w:type="dxa"/>
            <w:tcBorders>
              <w:top w:val="single" w:color="000000" w:sz="4" w:space="0"/>
              <w:left w:val="single" w:color="000000" w:sz="4" w:space="0"/>
              <w:bottom w:val="single" w:color="000000" w:sz="4" w:space="0"/>
              <w:right w:val="single" w:color="000000" w:sz="4" w:space="0"/>
            </w:tcBorders>
          </w:tcPr>
          <w:p>
            <w:pPr>
              <w:spacing w:line="560" w:lineRule="exact"/>
              <w:jc w:val="center"/>
              <w:rPr>
                <w:rFonts w:ascii="Times New Roman"/>
              </w:rPr>
            </w:pPr>
            <w:r>
              <w:rPr>
                <w:rFonts w:ascii="Times New Roman"/>
              </w:rPr>
              <w:t>得分</w:t>
            </w:r>
          </w:p>
        </w:tc>
        <w:tc>
          <w:tcPr>
            <w:tcW w:w="1067"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39"/>
              <w:jc w:val="center"/>
              <w:rPr>
                <w:rFonts w:ascii="Times New Roman"/>
              </w:rPr>
            </w:pPr>
            <w:r>
              <w:rPr>
                <w:rFonts w:ascii="Times New Roman" w:eastAsia="Calibri" w:cs="Calibri"/>
                <w:sz w:val="24"/>
              </w:rPr>
              <w:t>15</w:t>
            </w:r>
          </w:p>
        </w:tc>
        <w:tc>
          <w:tcPr>
            <w:tcW w:w="1117" w:type="dxa"/>
            <w:tcBorders>
              <w:top w:val="single" w:color="000000" w:sz="4" w:space="0"/>
              <w:left w:val="single" w:color="000000" w:sz="4" w:space="0"/>
              <w:bottom w:val="single" w:color="000000" w:sz="4" w:space="0"/>
              <w:right w:val="single" w:color="000000" w:sz="4" w:space="0"/>
            </w:tcBorders>
            <w:vAlign w:val="center"/>
          </w:tcPr>
          <w:p>
            <w:pPr>
              <w:spacing w:line="560" w:lineRule="exact"/>
              <w:ind w:firstLine="240" w:firstLineChars="100"/>
              <w:jc w:val="center"/>
              <w:rPr>
                <w:rFonts w:hint="default" w:ascii="Times New Roman" w:eastAsiaTheme="minorEastAsia"/>
                <w:lang w:val="en-US" w:eastAsia="zh-CN"/>
              </w:rPr>
            </w:pPr>
            <w:r>
              <w:rPr>
                <w:rFonts w:hint="eastAsia" w:ascii="Times New Roman" w:cs="Calibri" w:eastAsiaTheme="minorEastAsia"/>
                <w:sz w:val="24"/>
                <w:lang w:val="en-US" w:eastAsia="zh-CN"/>
              </w:rPr>
              <w:t>19</w:t>
            </w:r>
          </w:p>
        </w:tc>
        <w:tc>
          <w:tcPr>
            <w:tcW w:w="1116"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36"/>
              <w:jc w:val="center"/>
              <w:rPr>
                <w:rFonts w:ascii="Times New Roman"/>
              </w:rPr>
            </w:pPr>
            <w:r>
              <w:rPr>
                <w:rFonts w:ascii="Times New Roman" w:eastAsia="Calibri" w:cs="Calibri"/>
                <w:sz w:val="24"/>
              </w:rPr>
              <w:t>30</w:t>
            </w:r>
          </w:p>
        </w:tc>
        <w:tc>
          <w:tcPr>
            <w:tcW w:w="1217"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41"/>
              <w:jc w:val="center"/>
              <w:rPr>
                <w:rFonts w:ascii="Times New Roman" w:eastAsiaTheme="minorEastAsia"/>
              </w:rPr>
            </w:pPr>
            <w:r>
              <w:rPr>
                <w:rFonts w:hint="eastAsia" w:ascii="Times New Roman" w:cs="Calibri" w:eastAsiaTheme="minorEastAsia"/>
                <w:sz w:val="24"/>
              </w:rPr>
              <w:t>30</w:t>
            </w:r>
          </w:p>
        </w:tc>
        <w:tc>
          <w:tcPr>
            <w:tcW w:w="1192"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41"/>
              <w:jc w:val="center"/>
              <w:rPr>
                <w:rFonts w:hint="eastAsia" w:ascii="Times New Roman" w:eastAsia="等线"/>
                <w:lang w:eastAsia="zh-CN"/>
              </w:rPr>
            </w:pPr>
            <w:r>
              <w:rPr>
                <w:rFonts w:hint="eastAsia" w:ascii="Times New Roman" w:eastAsia="宋体" w:cs="Calibri"/>
                <w:sz w:val="24"/>
                <w:lang w:val="en-US" w:eastAsia="zh-CN"/>
              </w:rPr>
              <w:t>3</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39"/>
              <w:jc w:val="center"/>
              <w:rPr>
                <w:rFonts w:ascii="Times New Roman"/>
              </w:rPr>
            </w:pPr>
          </w:p>
        </w:tc>
        <w:tc>
          <w:tcPr>
            <w:tcW w:w="1041"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39"/>
              <w:jc w:val="center"/>
              <w:rPr>
                <w:rFonts w:hint="default" w:ascii="Times New Roman" w:eastAsiaTheme="minorEastAsia"/>
                <w:lang w:val="en-US" w:eastAsia="zh-CN"/>
              </w:rPr>
            </w:pPr>
            <w:r>
              <w:rPr>
                <w:rFonts w:hint="eastAsia" w:ascii="Times New Roman" w:cs="Calibri" w:eastAsiaTheme="minorEastAsia"/>
                <w:sz w:val="24"/>
                <w:lang w:val="en-US" w:eastAsia="zh-CN"/>
              </w:rPr>
              <w:t>97</w:t>
            </w:r>
          </w:p>
        </w:tc>
      </w:tr>
      <w:tr>
        <w:tblPrEx>
          <w:tblLayout w:type="fixed"/>
          <w:tblCellMar>
            <w:top w:w="55" w:type="dxa"/>
            <w:left w:w="108" w:type="dxa"/>
            <w:bottom w:w="0" w:type="dxa"/>
            <w:right w:w="70" w:type="dxa"/>
          </w:tblCellMar>
        </w:tblPrEx>
        <w:trPr>
          <w:trHeight w:val="324" w:hRule="atLeast"/>
          <w:jc w:val="center"/>
        </w:trPr>
        <w:tc>
          <w:tcPr>
            <w:tcW w:w="875" w:type="dxa"/>
            <w:tcBorders>
              <w:top w:val="single" w:color="000000" w:sz="4" w:space="0"/>
              <w:left w:val="single" w:color="000000" w:sz="4" w:space="0"/>
              <w:bottom w:val="single" w:color="000000" w:sz="4" w:space="0"/>
              <w:right w:val="single" w:color="000000" w:sz="4" w:space="0"/>
            </w:tcBorders>
          </w:tcPr>
          <w:p>
            <w:pPr>
              <w:spacing w:line="560" w:lineRule="exact"/>
              <w:jc w:val="center"/>
              <w:rPr>
                <w:rFonts w:ascii="Times New Roman"/>
              </w:rPr>
            </w:pPr>
            <w:r>
              <w:rPr>
                <w:rFonts w:ascii="Times New Roman"/>
              </w:rPr>
              <w:t>得分率</w:t>
            </w:r>
          </w:p>
        </w:tc>
        <w:tc>
          <w:tcPr>
            <w:tcW w:w="1067"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37"/>
              <w:jc w:val="center"/>
              <w:rPr>
                <w:rFonts w:ascii="Times New Roman"/>
              </w:rPr>
            </w:pPr>
            <w:r>
              <w:rPr>
                <w:rFonts w:ascii="Times New Roman" w:eastAsia="Calibri" w:cs="Calibri"/>
                <w:sz w:val="24"/>
              </w:rPr>
              <w:t>100%</w:t>
            </w:r>
          </w:p>
        </w:tc>
        <w:tc>
          <w:tcPr>
            <w:tcW w:w="1117"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36"/>
              <w:jc w:val="center"/>
              <w:rPr>
                <w:rFonts w:ascii="Times New Roman"/>
              </w:rPr>
            </w:pPr>
            <w:r>
              <w:rPr>
                <w:rFonts w:hint="eastAsia" w:ascii="Times New Roman" w:cs="Calibri" w:eastAsiaTheme="minorEastAsia"/>
                <w:sz w:val="24"/>
                <w:lang w:val="en-US" w:eastAsia="zh-CN"/>
              </w:rPr>
              <w:t>95</w:t>
            </w:r>
            <w:r>
              <w:rPr>
                <w:rFonts w:ascii="Times New Roman" w:eastAsia="Calibri" w:cs="Calibri"/>
                <w:sz w:val="24"/>
              </w:rPr>
              <w:t>%</w:t>
            </w:r>
          </w:p>
        </w:tc>
        <w:tc>
          <w:tcPr>
            <w:tcW w:w="1116"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39"/>
              <w:jc w:val="center"/>
              <w:rPr>
                <w:rFonts w:ascii="Times New Roman"/>
              </w:rPr>
            </w:pPr>
            <w:r>
              <w:rPr>
                <w:rFonts w:ascii="Times New Roman" w:eastAsia="Calibri" w:cs="Calibri"/>
                <w:sz w:val="24"/>
              </w:rPr>
              <w:t>100%</w:t>
            </w:r>
          </w:p>
        </w:tc>
        <w:tc>
          <w:tcPr>
            <w:tcW w:w="1217"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44"/>
              <w:jc w:val="center"/>
              <w:rPr>
                <w:rFonts w:ascii="Times New Roman"/>
              </w:rPr>
            </w:pPr>
            <w:r>
              <w:rPr>
                <w:rFonts w:hint="eastAsia" w:ascii="Times New Roman" w:cs="Calibri" w:eastAsiaTheme="minorEastAsia"/>
                <w:sz w:val="24"/>
              </w:rPr>
              <w:t>100</w:t>
            </w:r>
            <w:r>
              <w:rPr>
                <w:rFonts w:ascii="Times New Roman" w:eastAsia="Calibri" w:cs="Calibri"/>
                <w:sz w:val="24"/>
              </w:rPr>
              <w:t>%</w:t>
            </w:r>
          </w:p>
        </w:tc>
        <w:tc>
          <w:tcPr>
            <w:tcW w:w="1192" w:type="dxa"/>
            <w:tcBorders>
              <w:top w:val="single" w:color="000000" w:sz="4" w:space="0"/>
              <w:left w:val="single" w:color="000000" w:sz="4" w:space="0"/>
              <w:bottom w:val="single" w:color="000000" w:sz="4" w:space="0"/>
              <w:right w:val="single" w:color="000000" w:sz="4" w:space="0"/>
            </w:tcBorders>
            <w:vAlign w:val="center"/>
          </w:tcPr>
          <w:p>
            <w:pPr>
              <w:spacing w:line="560" w:lineRule="exact"/>
              <w:ind w:right="37"/>
              <w:jc w:val="center"/>
              <w:rPr>
                <w:rFonts w:ascii="Times New Roman"/>
              </w:rPr>
            </w:pPr>
            <w:r>
              <w:rPr>
                <w:rFonts w:hint="eastAsia" w:ascii="Times New Roman" w:eastAsia="宋体" w:cs="Calibri"/>
                <w:sz w:val="24"/>
                <w:lang w:val="en-US" w:eastAsia="zh-CN"/>
              </w:rPr>
              <w:t>6</w:t>
            </w:r>
            <w:r>
              <w:rPr>
                <w:rFonts w:ascii="Times New Roman" w:eastAsia="Calibri" w:cs="Calibri"/>
                <w:sz w:val="24"/>
              </w:rPr>
              <w:t>0%</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560" w:lineRule="exact"/>
              <w:ind w:left="13"/>
              <w:jc w:val="center"/>
              <w:rPr>
                <w:rFonts w:ascii="Times New Roman"/>
              </w:rPr>
            </w:pPr>
          </w:p>
        </w:tc>
        <w:tc>
          <w:tcPr>
            <w:tcW w:w="1041" w:type="dxa"/>
            <w:tcBorders>
              <w:top w:val="single" w:color="000000" w:sz="4" w:space="0"/>
              <w:left w:val="single" w:color="000000" w:sz="4" w:space="0"/>
              <w:bottom w:val="single" w:color="000000" w:sz="4" w:space="0"/>
              <w:right w:val="single" w:color="000000" w:sz="4" w:space="0"/>
            </w:tcBorders>
            <w:vAlign w:val="center"/>
          </w:tcPr>
          <w:p>
            <w:pPr>
              <w:spacing w:line="560" w:lineRule="exact"/>
              <w:ind w:left="79"/>
              <w:jc w:val="center"/>
              <w:rPr>
                <w:rFonts w:ascii="Times New Roman"/>
              </w:rPr>
            </w:pPr>
            <w:r>
              <w:rPr>
                <w:rFonts w:hint="eastAsia" w:ascii="Times New Roman" w:cs="Calibri" w:eastAsiaTheme="minorEastAsia"/>
                <w:sz w:val="24"/>
                <w:lang w:val="en-US" w:eastAsia="zh-CN"/>
              </w:rPr>
              <w:t>97</w:t>
            </w:r>
            <w:r>
              <w:rPr>
                <w:rFonts w:ascii="Times New Roman" w:eastAsia="Calibri" w:cs="Calibri"/>
                <w:sz w:val="24"/>
              </w:rPr>
              <w:t>%</w:t>
            </w:r>
          </w:p>
        </w:tc>
      </w:tr>
    </w:tbl>
    <w:p>
      <w:pPr>
        <w:widowControl/>
        <w:spacing w:before="156" w:beforeLines="50" w:line="560" w:lineRule="exact"/>
        <w:ind w:firstLine="560" w:firstLineChars="200"/>
        <w:jc w:val="left"/>
        <w:rPr>
          <w:rFonts w:ascii="仿宋" w:eastAsia="仿宋" w:cs="宋体"/>
          <w:kern w:val="0"/>
          <w:sz w:val="28"/>
          <w:szCs w:val="28"/>
        </w:rPr>
      </w:pPr>
      <w:r>
        <w:rPr>
          <w:rFonts w:hint="eastAsia" w:ascii="楷体" w:eastAsia="楷体" w:cs="宋体"/>
          <w:kern w:val="0"/>
          <w:sz w:val="28"/>
          <w:szCs w:val="28"/>
        </w:rPr>
        <w:t>评分结果</w:t>
      </w:r>
      <w:r>
        <w:rPr>
          <w:rFonts w:hint="eastAsia" w:ascii="仿宋" w:eastAsia="仿宋" w:cs="宋体"/>
          <w:kern w:val="0"/>
          <w:sz w:val="28"/>
          <w:szCs w:val="28"/>
        </w:rPr>
        <w:t>：根</w:t>
      </w:r>
      <w:r>
        <w:rPr>
          <w:rFonts w:hint="eastAsia" w:ascii="Times New Roman" w:eastAsia="仿宋"/>
          <w:sz w:val="28"/>
          <w:szCs w:val="28"/>
        </w:rPr>
        <w:t>据部门整体绩效评价指标框架打分为</w:t>
      </w:r>
      <w:r>
        <w:rPr>
          <w:rFonts w:hint="eastAsia" w:ascii="Times New Roman" w:eastAsia="仿宋"/>
          <w:sz w:val="28"/>
          <w:szCs w:val="28"/>
          <w:lang w:val="en-US" w:eastAsia="zh-CN"/>
        </w:rPr>
        <w:t>97</w:t>
      </w:r>
      <w:r>
        <w:rPr>
          <w:rFonts w:hint="eastAsia" w:ascii="Times New Roman" w:eastAsia="仿宋"/>
          <w:sz w:val="28"/>
          <w:szCs w:val="28"/>
        </w:rPr>
        <w:t>分</w:t>
      </w:r>
      <w:r>
        <w:rPr>
          <w:rFonts w:hint="eastAsia" w:ascii="仿宋" w:eastAsia="仿宋" w:cs="宋体"/>
          <w:kern w:val="0"/>
          <w:sz w:val="28"/>
          <w:szCs w:val="28"/>
        </w:rPr>
        <w:t>。</w:t>
      </w:r>
    </w:p>
    <w:p>
      <w:pPr>
        <w:widowControl/>
        <w:spacing w:line="560" w:lineRule="exact"/>
        <w:ind w:firstLine="560" w:firstLineChars="200"/>
        <w:jc w:val="left"/>
        <w:rPr>
          <w:rFonts w:ascii="黑体" w:hAnsi="黑体" w:eastAsia="黑体" w:cs="宋体"/>
          <w:color w:val="000000"/>
          <w:kern w:val="0"/>
          <w:sz w:val="28"/>
          <w:szCs w:val="28"/>
        </w:rPr>
      </w:pPr>
      <w:r>
        <w:rPr>
          <w:rFonts w:hint="eastAsia" w:ascii="黑体" w:hAnsi="黑体" w:eastAsia="黑体" w:cs="宋体"/>
          <w:color w:val="000000"/>
          <w:kern w:val="0"/>
          <w:sz w:val="28"/>
          <w:szCs w:val="28"/>
        </w:rPr>
        <w:t>三、单位履职成效</w:t>
      </w:r>
    </w:p>
    <w:p>
      <w:pPr>
        <w:widowControl/>
        <w:spacing w:line="560" w:lineRule="exact"/>
        <w:ind w:firstLine="560" w:firstLineChars="200"/>
        <w:jc w:val="left"/>
        <w:rPr>
          <w:rFonts w:ascii="仿宋" w:eastAsia="仿宋" w:cs="宋体"/>
          <w:kern w:val="0"/>
          <w:sz w:val="28"/>
          <w:szCs w:val="28"/>
        </w:rPr>
      </w:pPr>
      <w:r>
        <w:rPr>
          <w:rFonts w:hint="eastAsia" w:ascii="楷体" w:eastAsia="楷体" w:cs="宋体"/>
          <w:kern w:val="0"/>
          <w:sz w:val="28"/>
          <w:szCs w:val="28"/>
        </w:rPr>
        <w:t>（一）履职效能部分</w:t>
      </w:r>
    </w:p>
    <w:p>
      <w:pPr>
        <w:spacing w:line="560" w:lineRule="exact"/>
        <w:ind w:firstLine="560" w:firstLineChars="200"/>
        <w:rPr>
          <w:rFonts w:ascii="Times New Roman" w:eastAsia="仿宋"/>
          <w:sz w:val="28"/>
          <w:szCs w:val="28"/>
        </w:rPr>
      </w:pPr>
      <w:r>
        <w:rPr>
          <w:rFonts w:hint="eastAsia" w:ascii="Times New Roman" w:eastAsia="仿宋"/>
          <w:sz w:val="28"/>
          <w:szCs w:val="28"/>
        </w:rPr>
        <w:t>规范履职行为，提升履职效能，人按职责干，事按制度办。</w:t>
      </w:r>
    </w:p>
    <w:p>
      <w:pPr>
        <w:spacing w:line="560" w:lineRule="exact"/>
        <w:ind w:firstLine="560" w:firstLineChars="200"/>
        <w:rPr>
          <w:rFonts w:ascii="Times New Roman" w:eastAsia="仿宋"/>
          <w:sz w:val="28"/>
          <w:szCs w:val="28"/>
        </w:rPr>
      </w:pPr>
      <w:r>
        <w:rPr>
          <w:rFonts w:hint="eastAsia" w:ascii="Times New Roman" w:eastAsia="仿宋"/>
          <w:sz w:val="28"/>
          <w:szCs w:val="28"/>
        </w:rPr>
        <w:t>我单位结合单位职责和主管部门下达的年度工作目标和重点任务，建立健全“部门职责-工作任务-绩效目标”的管理体系，科学、合理设立年度单位整体绩效目标，并健全财务和业务之间的工作协同机制。</w:t>
      </w:r>
    </w:p>
    <w:p>
      <w:pPr>
        <w:spacing w:line="560" w:lineRule="exact"/>
        <w:ind w:firstLine="560" w:firstLineChars="200"/>
        <w:rPr>
          <w:rFonts w:ascii="楷体" w:eastAsia="楷体" w:cs="宋体"/>
          <w:kern w:val="0"/>
          <w:sz w:val="28"/>
          <w:szCs w:val="28"/>
        </w:rPr>
      </w:pPr>
      <w:r>
        <w:rPr>
          <w:rFonts w:hint="eastAsia" w:ascii="楷体" w:eastAsia="楷体" w:cs="宋体"/>
          <w:kern w:val="0"/>
          <w:sz w:val="28"/>
          <w:szCs w:val="28"/>
        </w:rPr>
        <w:t>（二）履职效率部分</w:t>
      </w:r>
    </w:p>
    <w:p>
      <w:pPr>
        <w:spacing w:line="560" w:lineRule="exact"/>
        <w:ind w:firstLine="560" w:firstLineChars="200"/>
        <w:rPr>
          <w:rFonts w:hint="eastAsia" w:ascii="Times New Roman" w:eastAsia="仿宋"/>
          <w:sz w:val="28"/>
          <w:szCs w:val="28"/>
          <w:lang w:val="en-US" w:eastAsia="zh-CN"/>
        </w:rPr>
      </w:pPr>
      <w:r>
        <w:rPr>
          <w:rFonts w:hint="eastAsia" w:ascii="楷体" w:eastAsia="楷体" w:cs="宋体"/>
          <w:kern w:val="0"/>
          <w:sz w:val="28"/>
          <w:szCs w:val="28"/>
          <w:lang w:val="en-US" w:eastAsia="zh-CN"/>
        </w:rPr>
        <w:t>（1）耕地监测与质量评价。</w:t>
      </w:r>
      <w:r>
        <w:rPr>
          <w:rFonts w:hint="eastAsia" w:ascii="Times New Roman" w:eastAsia="仿宋"/>
          <w:sz w:val="28"/>
          <w:szCs w:val="28"/>
          <w:lang w:val="en-US" w:eastAsia="zh-CN"/>
        </w:rPr>
        <w:t>2025年，南京市开展耕地监测与质量评价。完成6个国家级、29个省级和300个市级耕地质量监测点土壤及植株样品的采集、制备与检测等工作，编制2024年度全市耕地质量监测报告。汇总上一年度150个农产品产地土壤环境质量监测点监测数据并编制年度监测报告，完成本年度夏熟、秋熟两季共290个农产品样品的采集与检测分析。根据2023年度国土变更调查成果，基于全市365个耕地质量等级调查评价点位开展田间调查、取土化验等工作，完成5个主要涉农区耕地质量等级调查评价，全市耕地质量平均等级较上一年度提高0.03个等级。审核区级耕地土壤环境质量类别动态调整成果，汇总形成南京市耕地土壤环境质量类别动态调整技术报告、清单以及图件等成果。</w:t>
      </w:r>
      <w:bookmarkStart w:id="0" w:name="OLE_LINK2"/>
      <w:bookmarkStart w:id="1" w:name="OLE_LINK1"/>
    </w:p>
    <w:p>
      <w:pPr>
        <w:spacing w:line="560" w:lineRule="exact"/>
        <w:ind w:firstLine="560" w:firstLineChars="200"/>
        <w:rPr>
          <w:rFonts w:hint="eastAsia" w:ascii="Times New Roman" w:eastAsia="仿宋"/>
          <w:sz w:val="28"/>
          <w:szCs w:val="28"/>
          <w:lang w:val="en-US" w:eastAsia="zh-CN"/>
        </w:rPr>
      </w:pPr>
      <w:r>
        <w:rPr>
          <w:rFonts w:hint="eastAsia" w:ascii="楷体" w:eastAsia="楷体" w:cs="宋体"/>
          <w:kern w:val="0"/>
          <w:sz w:val="28"/>
          <w:szCs w:val="28"/>
          <w:lang w:val="en-US" w:eastAsia="zh-CN"/>
        </w:rPr>
        <w:t>（2）耕地地力提升。</w:t>
      </w:r>
      <w:r>
        <w:rPr>
          <w:rFonts w:hint="eastAsia" w:ascii="Times New Roman" w:eastAsia="仿宋"/>
          <w:sz w:val="28"/>
          <w:szCs w:val="28"/>
          <w:lang w:val="en-US" w:eastAsia="zh-CN"/>
        </w:rPr>
        <w:t xml:space="preserve"> 2025年，南京全力践行“藏粮于地 藏粮于技”理念。围绕良种良田良机良法配套，推进乡村产业兴旺，持续提升耕地地力固基础。应用“耕地质量监测+专家会诊开方+技术模式配套”方法，主推“秸秆全量（或部分）还田+配方肥+麦季深耕（深松）”“增施有机肥+3年麦季至少深耕翻1次”技术模式，试验探索施用高碳有机肥辅以有机质固持剂、秸秆就近堆腐还田、木霉菌联合秸秆灭活还田等新技术模式，构建肥沃耕层，提升土壤有机质含量，调优土壤理化性质。建设耕地质量提升“新产品、新技术、新模式、新装备”集成展示区1个、丘陵岗坡瘠薄农田（稻麦）基础地力提升示范区3个、耕地质量提升综合示范区5个和耕地有机质提升示范县1个，举办耕地质量提升现场观摩及培训活动6场次，引导农户用地养地相结合，促进全市耕地质量平均等级较上一年度提高0.03个等级。</w:t>
      </w:r>
      <w:bookmarkEnd w:id="0"/>
      <w:bookmarkEnd w:id="1"/>
    </w:p>
    <w:p>
      <w:pPr>
        <w:spacing w:line="560" w:lineRule="exact"/>
        <w:ind w:firstLine="560" w:firstLineChars="200"/>
        <w:rPr>
          <w:rFonts w:hint="eastAsia" w:ascii="Times New Roman" w:eastAsia="仿宋"/>
          <w:sz w:val="28"/>
          <w:szCs w:val="28"/>
          <w:lang w:val="en-US" w:eastAsia="zh-CN"/>
        </w:rPr>
      </w:pPr>
      <w:r>
        <w:rPr>
          <w:rFonts w:hint="eastAsia" w:ascii="楷体" w:eastAsia="楷体" w:cs="宋体"/>
          <w:kern w:val="0"/>
          <w:sz w:val="28"/>
          <w:szCs w:val="28"/>
          <w:lang w:val="en-US" w:eastAsia="zh-CN"/>
        </w:rPr>
        <w:t>（3）科学施肥增效技术推广。</w:t>
      </w:r>
      <w:r>
        <w:rPr>
          <w:rFonts w:hint="eastAsia" w:ascii="Times New Roman" w:eastAsia="仿宋"/>
          <w:sz w:val="28"/>
          <w:szCs w:val="28"/>
          <w:lang w:val="en-US" w:eastAsia="zh-CN"/>
        </w:rPr>
        <w:t>2025年，南京市深入贯彻落实农业绿色发展理念，扎实推进科学施肥增效技术推广工作。全年共开展肥料田间试验27个，更新发布主要农作物基肥主推配方70个，发放施肥建议卡4.17万份，组织现场观摩与技术培训9场，完成农户施肥调查788户。全年测土配方施肥技术推广面积369.09万亩次，技术覆盖率95.74%，其中沿江5公里重点区域实现配方肥全覆盖。成功创建部级化肥减量增效“三新”集成推进县3个，建成化肥减量增效技术展示区92个，推广配方肥2.25万吨、（生物）有机肥料12.68万吨，叶面肥、缓释肥等新型肥料应用面积105.51万亩，水稻侧深施肥、小麦种肥同播、有机肥机械撒施等新技术推广面积34.94万亩。据初步调度，全市化肥使用量较2020年下降4.31%，沿江5公里区域化肥使用量下降幅度超过15%。</w:t>
      </w:r>
    </w:p>
    <w:p>
      <w:pPr>
        <w:spacing w:line="560" w:lineRule="exact"/>
        <w:ind w:firstLine="560" w:firstLineChars="200"/>
        <w:rPr>
          <w:rFonts w:hint="eastAsia" w:ascii="Times New Roman" w:eastAsia="仿宋"/>
          <w:sz w:val="28"/>
          <w:szCs w:val="28"/>
          <w:lang w:val="en-US" w:eastAsia="zh-CN"/>
        </w:rPr>
      </w:pPr>
      <w:r>
        <w:rPr>
          <w:rFonts w:hint="eastAsia" w:ascii="楷体" w:eastAsia="楷体" w:cs="宋体"/>
          <w:kern w:val="0"/>
          <w:sz w:val="28"/>
          <w:szCs w:val="28"/>
          <w:lang w:val="en-US" w:eastAsia="zh-CN"/>
        </w:rPr>
        <w:t>（4）土壤墒情智慧化应用。</w:t>
      </w:r>
      <w:r>
        <w:rPr>
          <w:rFonts w:hint="eastAsia" w:ascii="Times New Roman" w:eastAsia="仿宋"/>
          <w:sz w:val="28"/>
          <w:szCs w:val="28"/>
          <w:lang w:val="en-US" w:eastAsia="zh-CN"/>
        </w:rPr>
        <w:t>2025年度新建入网墒情监测点3个，全市共62个土壤墒情监测点总量达省级要求2.24倍，布设密度领跑全省。强化运营管护，全面排查监测点布局合理性、数据有效性及精准性，数据日有效率持续稳定在90%以上。为强化实践指导，将《南京土壤墒情信息》发布频次由省级要求的每月两次加密至每周一次，关键生育期进一步加密；深挖数据价值，针对稻麦油、蔬菜、茶果等主要作物分类制定生产方案，全年共发布市级土壤墒情信息报告50期。推进预测预警模型研发、全产业链数据融合等数字化项目，全方位提升服务效能。全国农技中心对南京市及六合、溧水、高淳三区墒情监测工作予以通报表扬，其创新实践为智慧农业助力乡村振兴提供了可推广的典型经验。</w:t>
      </w:r>
    </w:p>
    <w:p>
      <w:pPr>
        <w:spacing w:line="560" w:lineRule="exact"/>
        <w:ind w:firstLine="560" w:firstLineChars="200"/>
        <w:rPr>
          <w:rFonts w:hint="eastAsia" w:ascii="Times New Roman" w:eastAsia="仿宋"/>
          <w:sz w:val="28"/>
          <w:szCs w:val="28"/>
          <w:lang w:val="en-US" w:eastAsia="zh-CN"/>
        </w:rPr>
      </w:pPr>
      <w:r>
        <w:rPr>
          <w:rFonts w:hint="eastAsia" w:ascii="楷体" w:eastAsia="楷体" w:cs="宋体"/>
          <w:kern w:val="0"/>
          <w:sz w:val="28"/>
          <w:szCs w:val="28"/>
          <w:lang w:val="en-US" w:eastAsia="zh-CN"/>
        </w:rPr>
        <w:t>（5）肥料管理与服务。</w:t>
      </w:r>
      <w:r>
        <w:rPr>
          <w:rFonts w:hint="eastAsia" w:ascii="Times New Roman" w:eastAsia="仿宋"/>
          <w:sz w:val="28"/>
          <w:szCs w:val="28"/>
          <w:lang w:val="en-US" w:eastAsia="zh-CN"/>
        </w:rPr>
        <w:t>2025年，南京市双向创新优化肥料行业营商环境，扎实推进肥料管理与服务工作。政府端创新“线上申领+事后复核+综合监管”模式，推行“不见面”办理、电子证照共享等举措，肥料登记审批时限由5个工作日压缩至2.8天，变更审批当天办结，复混和掺混肥料线上备案仅需半小时。今年全市共有登记肥料生产企业23家、备案肥料企业119家，办理有机无机复混肥料登记证6个，备案产品356个，抽检肥料企业17家，妥善处置肥料投诉20余件。在企业端，以化肥减量增效与耕地质量提升、新技术产学研推协同等农业项目为纽带，链接优质科教资源，畅通农企对接渠道，推进全市肥料行业绿色转型升级，目前我市新型肥料企业占88.2%，高新企业占58.8%。</w:t>
      </w:r>
    </w:p>
    <w:p>
      <w:pPr>
        <w:spacing w:line="560" w:lineRule="exact"/>
        <w:ind w:firstLine="560" w:firstLineChars="200"/>
        <w:rPr>
          <w:rFonts w:hint="eastAsia" w:ascii="Times New Roman" w:eastAsia="仿宋"/>
          <w:sz w:val="28"/>
          <w:szCs w:val="28"/>
          <w:lang w:val="en-US" w:eastAsia="zh-CN"/>
        </w:rPr>
      </w:pPr>
      <w:r>
        <w:rPr>
          <w:rFonts w:hint="eastAsia" w:ascii="楷体" w:eastAsia="楷体" w:cs="宋体"/>
          <w:kern w:val="0"/>
          <w:sz w:val="28"/>
          <w:szCs w:val="28"/>
          <w:lang w:val="en-US" w:eastAsia="zh-CN"/>
        </w:rPr>
        <w:t>（6）高标准农田工程质量监管。</w:t>
      </w:r>
      <w:r>
        <w:rPr>
          <w:rFonts w:hint="eastAsia" w:ascii="Times New Roman" w:eastAsia="仿宋"/>
          <w:sz w:val="28"/>
          <w:szCs w:val="28"/>
          <w:lang w:val="en-US" w:eastAsia="zh-CN"/>
        </w:rPr>
        <w:t>2025年，南京市耕地质量保护站委托有资质的质检单位，对全市2024年度31个高标准农田建设项目工程质量开展全流程质量抽检。全年累计抽检70余次，其中，泵站、渡槽、农桥、滚水坝等中沟以上建筑物实现抽检全覆盖；混凝土道路抽检比率达73.83%，渠道抽检比率为65.64%，涵闸抽检比率为28.63%，涵洞抽检比率为24.27%，原材料及中间产品抽检比率为28.6%。全年累计发现工程质量瑕疵211个，整改率达100%。抽检结果显示，全市高标准农田建设水平稳步提升。</w:t>
      </w:r>
    </w:p>
    <w:p>
      <w:pPr>
        <w:spacing w:line="560" w:lineRule="exact"/>
        <w:ind w:firstLine="560" w:firstLineChars="200"/>
        <w:rPr>
          <w:rFonts w:hint="eastAsia" w:ascii="Times New Roman" w:eastAsia="仿宋"/>
          <w:sz w:val="28"/>
          <w:szCs w:val="28"/>
          <w:lang w:val="en-US" w:eastAsia="zh-CN"/>
        </w:rPr>
      </w:pPr>
      <w:r>
        <w:rPr>
          <w:rFonts w:hint="eastAsia" w:ascii="楷体" w:eastAsia="楷体" w:cs="宋体"/>
          <w:kern w:val="0"/>
          <w:sz w:val="28"/>
          <w:szCs w:val="28"/>
          <w:lang w:val="en-US" w:eastAsia="zh-CN"/>
        </w:rPr>
        <w:t>（7）高标准农田监管队伍能力建设。</w:t>
      </w:r>
      <w:r>
        <w:rPr>
          <w:rFonts w:hint="eastAsia" w:ascii="Times New Roman" w:eastAsia="仿宋"/>
          <w:sz w:val="28"/>
          <w:szCs w:val="28"/>
          <w:lang w:val="en-US" w:eastAsia="zh-CN"/>
        </w:rPr>
        <w:t>2025年，南京市进一步强化高标准农田监管人才队伍建设，成功举办首届高标准农田工程质量监管技能竞赛，吸引全市163名条线骨干参与；组织开展3场高标准农田工程质量监管专题培训活动，累计培训300余人次。活动内容严格对标国家及省级最新标准要求，聚焦突出问题，切实强化条线队伍责任主体意识，提升专业技能与综合素养，为全市高标准农田建设高质量发展夯实基础。</w:t>
      </w:r>
    </w:p>
    <w:p>
      <w:pPr>
        <w:spacing w:line="560" w:lineRule="exact"/>
        <w:ind w:firstLine="560" w:firstLineChars="200"/>
        <w:rPr>
          <w:rFonts w:hint="eastAsia" w:ascii="Times New Roman" w:eastAsia="仿宋"/>
          <w:sz w:val="28"/>
          <w:szCs w:val="28"/>
        </w:rPr>
      </w:pPr>
      <w:r>
        <w:rPr>
          <w:rFonts w:hint="eastAsia" w:ascii="Times New Roman" w:eastAsia="仿宋"/>
          <w:sz w:val="28"/>
          <w:szCs w:val="28"/>
          <w:lang w:val="en-US" w:eastAsia="zh-CN"/>
        </w:rPr>
        <w:t>通过以上七类工作的开展，夯实监测基础，扎实推进土肥技术服务工作；统筹推进“四新”技术集成推广工作；切实履行监管职责，严格推进土肥领域监督管理工作的绩效目标。</w:t>
      </w:r>
    </w:p>
    <w:p>
      <w:pPr>
        <w:widowControl/>
        <w:spacing w:line="560" w:lineRule="exact"/>
        <w:ind w:firstLine="560" w:firstLineChars="200"/>
        <w:jc w:val="left"/>
        <w:rPr>
          <w:rFonts w:ascii="楷体" w:eastAsia="楷体" w:cs="宋体"/>
          <w:kern w:val="0"/>
          <w:sz w:val="28"/>
          <w:szCs w:val="28"/>
        </w:rPr>
      </w:pPr>
      <w:r>
        <w:rPr>
          <w:rFonts w:hint="eastAsia" w:ascii="楷体" w:eastAsia="楷体" w:cs="宋体"/>
          <w:kern w:val="0"/>
          <w:sz w:val="28"/>
          <w:szCs w:val="28"/>
        </w:rPr>
        <w:t>（三）绩效目标实现情况</w:t>
      </w:r>
    </w:p>
    <w:p>
      <w:pPr>
        <w:widowControl/>
        <w:spacing w:line="560" w:lineRule="exact"/>
        <w:ind w:firstLine="560" w:firstLineChars="200"/>
        <w:jc w:val="left"/>
        <w:rPr>
          <w:rFonts w:ascii="楷体" w:eastAsia="楷体" w:cs="宋体"/>
          <w:kern w:val="0"/>
          <w:sz w:val="28"/>
          <w:szCs w:val="28"/>
        </w:rPr>
      </w:pPr>
      <w:r>
        <w:rPr>
          <w:rFonts w:hint="eastAsia" w:ascii="Times New Roman" w:eastAsia="仿宋"/>
          <w:sz w:val="28"/>
          <w:szCs w:val="28"/>
        </w:rPr>
        <w:t>202</w:t>
      </w:r>
      <w:r>
        <w:rPr>
          <w:rFonts w:hint="eastAsia" w:ascii="Times New Roman" w:eastAsia="仿宋"/>
          <w:sz w:val="28"/>
          <w:szCs w:val="28"/>
          <w:lang w:val="en-US" w:eastAsia="zh-CN"/>
        </w:rPr>
        <w:t>5</w:t>
      </w:r>
      <w:r>
        <w:rPr>
          <w:rFonts w:hint="eastAsia" w:ascii="Times New Roman" w:eastAsia="仿宋"/>
          <w:sz w:val="28"/>
          <w:szCs w:val="28"/>
        </w:rPr>
        <w:t>年部门整体绩效目标已完成。</w:t>
      </w:r>
    </w:p>
    <w:p>
      <w:pPr>
        <w:widowControl/>
        <w:spacing w:line="560" w:lineRule="exact"/>
        <w:ind w:firstLine="560" w:firstLineChars="200"/>
        <w:jc w:val="left"/>
        <w:rPr>
          <w:rFonts w:ascii="黑体" w:hAnsi="黑体" w:eastAsia="黑体" w:cs="宋体"/>
          <w:color w:val="000000"/>
          <w:kern w:val="0"/>
          <w:sz w:val="28"/>
          <w:szCs w:val="28"/>
        </w:rPr>
      </w:pPr>
      <w:r>
        <w:rPr>
          <w:rFonts w:hint="eastAsia" w:ascii="黑体" w:hAnsi="黑体" w:eastAsia="黑体" w:cs="宋体"/>
          <w:color w:val="000000"/>
          <w:kern w:val="0"/>
          <w:sz w:val="28"/>
          <w:szCs w:val="28"/>
        </w:rPr>
        <w:t>四、存在问题及原因分析</w:t>
      </w:r>
    </w:p>
    <w:p>
      <w:pPr>
        <w:spacing w:line="560" w:lineRule="exact"/>
        <w:ind w:firstLine="560" w:firstLineChars="200"/>
        <w:rPr>
          <w:rFonts w:ascii="Times New Roman" w:eastAsia="仿宋"/>
          <w:sz w:val="28"/>
          <w:szCs w:val="28"/>
        </w:rPr>
      </w:pPr>
      <w:bookmarkStart w:id="2" w:name="OLE_LINK3"/>
      <w:r>
        <w:rPr>
          <w:rFonts w:hint="eastAsia" w:ascii="Times New Roman" w:eastAsia="仿宋"/>
          <w:sz w:val="28"/>
          <w:szCs w:val="28"/>
        </w:rPr>
        <w:t>项目支出预算编制的精细化水平有待进一步提升，部门整体绩效评价的分析深度仍需持续加强。</w:t>
      </w:r>
    </w:p>
    <w:bookmarkEnd w:id="2"/>
    <w:p>
      <w:pPr>
        <w:widowControl/>
        <w:spacing w:line="560" w:lineRule="exact"/>
        <w:ind w:firstLine="560" w:firstLineChars="200"/>
        <w:jc w:val="left"/>
        <w:rPr>
          <w:rFonts w:ascii="黑体" w:hAnsi="黑体" w:eastAsia="黑体" w:cs="宋体"/>
          <w:color w:val="000000"/>
          <w:kern w:val="0"/>
          <w:sz w:val="28"/>
          <w:szCs w:val="28"/>
        </w:rPr>
      </w:pPr>
      <w:r>
        <w:rPr>
          <w:rFonts w:hint="eastAsia" w:ascii="黑体" w:hAnsi="黑体" w:eastAsia="黑体" w:cs="宋体"/>
          <w:color w:val="000000"/>
          <w:kern w:val="0"/>
          <w:sz w:val="28"/>
          <w:szCs w:val="28"/>
        </w:rPr>
        <w:t>五、有关建议</w:t>
      </w:r>
    </w:p>
    <w:p>
      <w:pPr>
        <w:spacing w:line="560" w:lineRule="exact"/>
        <w:ind w:firstLine="560" w:firstLineChars="200"/>
        <w:rPr>
          <w:rFonts w:hint="eastAsia" w:ascii="Times New Roman" w:hAnsi="Times New Roman" w:eastAsia="仿宋" w:cs="Arial"/>
          <w:kern w:val="2"/>
          <w:sz w:val="28"/>
          <w:szCs w:val="28"/>
          <w:lang w:val="en-US" w:eastAsia="zh-CN" w:bidi="ar-SA"/>
        </w:rPr>
      </w:pPr>
      <w:bookmarkStart w:id="3" w:name="OLE_LINK4"/>
      <w:r>
        <w:rPr>
          <w:rFonts w:hint="eastAsia" w:ascii="Times New Roman" w:hAnsi="Times New Roman" w:eastAsia="仿宋" w:cs="Arial"/>
          <w:kern w:val="2"/>
          <w:sz w:val="28"/>
          <w:szCs w:val="28"/>
          <w:lang w:val="en-US" w:eastAsia="zh-CN" w:bidi="ar-SA"/>
        </w:rPr>
        <w:t>进一步强化专项资金预算编制管理，不断提升预算编制精准性；同时健全绩效跟踪监控与绩效评价的责任体系，完善闭环管理机制，推动预算绩效管理更加制度化、规范化。</w:t>
      </w:r>
    </w:p>
    <w:bookmarkEnd w:id="3"/>
    <w:p>
      <w:pPr>
        <w:spacing w:line="560" w:lineRule="exact"/>
        <w:ind w:firstLine="560" w:firstLineChars="200"/>
        <w:jc w:val="right"/>
        <w:rPr>
          <w:rFonts w:hint="eastAsia" w:ascii="仿宋" w:eastAsia="仿宋"/>
          <w:sz w:val="28"/>
          <w:szCs w:val="28"/>
        </w:rPr>
      </w:pPr>
    </w:p>
    <w:p>
      <w:pPr>
        <w:spacing w:line="560" w:lineRule="exact"/>
        <w:ind w:firstLine="560" w:firstLineChars="200"/>
        <w:jc w:val="right"/>
        <w:rPr>
          <w:rFonts w:hint="eastAsia" w:ascii="仿宋" w:eastAsia="仿宋"/>
          <w:sz w:val="28"/>
          <w:szCs w:val="28"/>
        </w:rPr>
      </w:pPr>
    </w:p>
    <w:p>
      <w:pPr>
        <w:spacing w:line="560" w:lineRule="exact"/>
        <w:ind w:firstLine="560" w:firstLineChars="200"/>
        <w:jc w:val="right"/>
        <w:rPr>
          <w:rFonts w:ascii="Times New Roman" w:eastAsia="仿宋"/>
          <w:sz w:val="28"/>
          <w:szCs w:val="28"/>
        </w:rPr>
      </w:pPr>
      <w:r>
        <w:rPr>
          <w:rFonts w:hint="eastAsia" w:ascii="仿宋" w:eastAsia="仿宋"/>
          <w:sz w:val="28"/>
          <w:szCs w:val="28"/>
        </w:rPr>
        <w:t xml:space="preserve"> </w:t>
      </w:r>
      <w:r>
        <w:rPr>
          <w:rFonts w:ascii="仿宋" w:eastAsia="仿宋"/>
          <w:sz w:val="28"/>
          <w:szCs w:val="28"/>
        </w:rPr>
        <w:t xml:space="preserve">                                 </w:t>
      </w:r>
      <w:r>
        <w:rPr>
          <w:rFonts w:hint="eastAsia" w:ascii="Times New Roman" w:eastAsia="仿宋"/>
          <w:sz w:val="28"/>
          <w:szCs w:val="28"/>
        </w:rPr>
        <w:t>南京市耕地质量保护站</w:t>
      </w:r>
    </w:p>
    <w:p>
      <w:pPr>
        <w:spacing w:line="560" w:lineRule="exact"/>
        <w:ind w:right="280" w:firstLine="560" w:firstLineChars="200"/>
        <w:jc w:val="right"/>
        <w:rPr>
          <w:rFonts w:ascii="Times New Roman" w:eastAsia="仿宋"/>
          <w:sz w:val="28"/>
          <w:szCs w:val="28"/>
        </w:rPr>
      </w:pPr>
      <w:r>
        <w:rPr>
          <w:rFonts w:ascii="Times New Roman" w:eastAsia="仿宋"/>
          <w:sz w:val="28"/>
          <w:szCs w:val="28"/>
        </w:rPr>
        <w:t>2</w:t>
      </w:r>
      <w:r>
        <w:rPr>
          <w:rFonts w:hint="eastAsia" w:ascii="Times New Roman" w:eastAsia="仿宋"/>
          <w:sz w:val="28"/>
          <w:szCs w:val="28"/>
          <w:lang w:val="en-US" w:eastAsia="zh-CN"/>
        </w:rPr>
        <w:t>026</w:t>
      </w:r>
      <w:r>
        <w:rPr>
          <w:rFonts w:hint="eastAsia" w:ascii="Times New Roman" w:eastAsia="仿宋"/>
          <w:sz w:val="28"/>
          <w:szCs w:val="28"/>
        </w:rPr>
        <w:t>年</w:t>
      </w:r>
      <w:r>
        <w:rPr>
          <w:rFonts w:ascii="Times New Roman" w:eastAsia="仿宋"/>
          <w:sz w:val="28"/>
          <w:szCs w:val="28"/>
        </w:rPr>
        <w:t>6</w:t>
      </w:r>
      <w:r>
        <w:rPr>
          <w:rFonts w:hint="eastAsia" w:ascii="Times New Roman" w:eastAsia="仿宋"/>
          <w:sz w:val="28"/>
          <w:szCs w:val="28"/>
        </w:rPr>
        <w:t>月</w:t>
      </w:r>
      <w:r>
        <w:rPr>
          <w:rFonts w:hint="eastAsia" w:ascii="Times New Roman" w:eastAsia="仿宋"/>
          <w:sz w:val="28"/>
          <w:szCs w:val="28"/>
          <w:lang w:val="en-US" w:eastAsia="zh-CN"/>
        </w:rPr>
        <w:t>25</w:t>
      </w:r>
      <w:r>
        <w:rPr>
          <w:rFonts w:hint="eastAsia" w:ascii="Times New Roman" w:eastAsia="仿宋"/>
          <w:sz w:val="28"/>
          <w:szCs w:val="28"/>
        </w:rPr>
        <w:t>日</w:t>
      </w:r>
    </w:p>
    <w:p>
      <w:pPr>
        <w:spacing w:line="560" w:lineRule="exact"/>
        <w:rPr>
          <w:rFonts w:ascii="仿宋" w:eastAsia="仿宋" w:cs="宋体"/>
          <w:color w:val="000000"/>
          <w:kern w:val="0"/>
          <w:sz w:val="28"/>
          <w:szCs w:val="28"/>
        </w:rPr>
      </w:pPr>
    </w:p>
    <w:p>
      <w:pPr>
        <w:spacing w:line="560" w:lineRule="exact"/>
        <w:rPr>
          <w:rFonts w:ascii="仿宋" w:eastAsia="仿宋" w:cs="宋体"/>
          <w:color w:val="000000"/>
          <w:kern w:val="0"/>
          <w:sz w:val="28"/>
          <w:szCs w:val="28"/>
        </w:rPr>
      </w:pPr>
    </w:p>
    <w:p>
      <w:pPr>
        <w:spacing w:line="560" w:lineRule="exact"/>
        <w:ind w:firstLine="560" w:firstLineChars="200"/>
        <w:jc w:val="left"/>
        <w:rPr>
          <w:rFonts w:ascii="Times New Roman" w:eastAsia="仿宋"/>
          <w:sz w:val="28"/>
          <w:szCs w:val="28"/>
        </w:rPr>
        <w:sectPr>
          <w:pgSz w:w="11906" w:h="16838"/>
          <w:pgMar w:top="1440" w:right="1800" w:bottom="1440" w:left="1800" w:header="851" w:footer="992" w:gutter="0"/>
          <w:cols w:space="720" w:num="1"/>
          <w:docGrid w:type="lines" w:linePitch="312" w:charSpace="0"/>
        </w:sectPr>
      </w:pPr>
      <w:r>
        <w:rPr>
          <w:rFonts w:hint="eastAsia" w:ascii="Times New Roman" w:eastAsia="仿宋"/>
          <w:sz w:val="28"/>
          <w:szCs w:val="28"/>
        </w:rPr>
        <w:t>附件：部门</w:t>
      </w:r>
      <w:r>
        <w:rPr>
          <w:rFonts w:ascii="Times New Roman" w:eastAsia="仿宋"/>
          <w:sz w:val="28"/>
          <w:szCs w:val="28"/>
        </w:rPr>
        <w:t>整体绩效</w:t>
      </w:r>
      <w:r>
        <w:rPr>
          <w:rFonts w:hint="eastAsia" w:ascii="Times New Roman" w:eastAsia="仿宋"/>
          <w:sz w:val="28"/>
          <w:szCs w:val="28"/>
        </w:rPr>
        <w:t>评价</w:t>
      </w:r>
      <w:r>
        <w:rPr>
          <w:rFonts w:ascii="Times New Roman" w:eastAsia="仿宋"/>
          <w:sz w:val="28"/>
          <w:szCs w:val="28"/>
        </w:rPr>
        <w:t>自评表</w:t>
      </w:r>
    </w:p>
    <w:p>
      <w:pPr>
        <w:ind w:firstLine="198" w:firstLineChars="71"/>
        <w:rPr>
          <w:rFonts w:ascii="Times New Roman" w:eastAsia="仿宋"/>
          <w:sz w:val="28"/>
        </w:rPr>
      </w:pPr>
      <w:r>
        <w:rPr>
          <w:rFonts w:hint="eastAsia" w:ascii="Times New Roman" w:eastAsia="仿宋"/>
          <w:sz w:val="28"/>
        </w:rPr>
        <w:t>附件：部门整体绩效评价自评表</w:t>
      </w:r>
    </w:p>
    <w:tbl>
      <w:tblPr>
        <w:tblStyle w:val="11"/>
        <w:tblW w:w="14110" w:type="dxa"/>
        <w:jc w:val="center"/>
        <w:tblInd w:w="0" w:type="dxa"/>
        <w:tblLayout w:type="fixed"/>
        <w:tblCellMar>
          <w:top w:w="0" w:type="dxa"/>
          <w:left w:w="108" w:type="dxa"/>
          <w:bottom w:w="0" w:type="dxa"/>
          <w:right w:w="108" w:type="dxa"/>
        </w:tblCellMar>
      </w:tblPr>
      <w:tblGrid>
        <w:gridCol w:w="1006"/>
        <w:gridCol w:w="1263"/>
        <w:gridCol w:w="143"/>
        <w:gridCol w:w="2714"/>
        <w:gridCol w:w="967"/>
        <w:gridCol w:w="3175"/>
        <w:gridCol w:w="2250"/>
        <w:gridCol w:w="1296"/>
        <w:gridCol w:w="1296"/>
      </w:tblGrid>
      <w:tr>
        <w:tblPrEx>
          <w:tblLayout w:type="fixed"/>
          <w:tblCellMar>
            <w:top w:w="0" w:type="dxa"/>
            <w:left w:w="108" w:type="dxa"/>
            <w:bottom w:w="0" w:type="dxa"/>
            <w:right w:w="108" w:type="dxa"/>
          </w:tblCellMar>
        </w:tblPrEx>
        <w:trPr>
          <w:trHeight w:val="457" w:hRule="atLeast"/>
          <w:tblHeader/>
          <w:jc w:val="center"/>
        </w:trPr>
        <w:tc>
          <w:tcPr>
            <w:tcW w:w="1006"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一级指标</w:t>
            </w:r>
          </w:p>
        </w:tc>
        <w:tc>
          <w:tcPr>
            <w:tcW w:w="1263"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二级指标</w:t>
            </w:r>
          </w:p>
        </w:tc>
        <w:tc>
          <w:tcPr>
            <w:tcW w:w="2857" w:type="dxa"/>
            <w:gridSpan w:val="2"/>
            <w:tcBorders>
              <w:top w:val="single" w:color="auto" w:sz="8" w:space="0"/>
              <w:left w:val="nil"/>
              <w:bottom w:val="single" w:color="auto" w:sz="8" w:space="0"/>
              <w:right w:val="single" w:color="auto" w:sz="8" w:space="0"/>
            </w:tcBorders>
            <w:shd w:val="clear" w:color="auto" w:fill="auto"/>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三级指标</w:t>
            </w:r>
          </w:p>
        </w:tc>
        <w:tc>
          <w:tcPr>
            <w:tcW w:w="967"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hint="default" w:ascii="仿宋" w:hAnsi="仿宋" w:eastAsia="仿宋" w:cs="宋体"/>
                <w:b/>
                <w:bCs/>
                <w:color w:val="000000"/>
                <w:kern w:val="0"/>
                <w:sz w:val="24"/>
                <w:szCs w:val="24"/>
                <w:lang w:val="en-US" w:eastAsia="zh-CN"/>
              </w:rPr>
            </w:pPr>
            <w:r>
              <w:rPr>
                <w:rFonts w:hint="eastAsia" w:ascii="仿宋" w:hAnsi="仿宋" w:eastAsia="仿宋" w:cs="宋体"/>
                <w:b/>
                <w:bCs/>
                <w:color w:val="000000"/>
                <w:kern w:val="0"/>
                <w:sz w:val="24"/>
                <w:szCs w:val="24"/>
                <w:lang w:val="en-US" w:eastAsia="zh-CN"/>
              </w:rPr>
              <w:t>权重（分）</w:t>
            </w:r>
          </w:p>
        </w:tc>
        <w:tc>
          <w:tcPr>
            <w:tcW w:w="3175"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指标说明</w:t>
            </w:r>
          </w:p>
        </w:tc>
        <w:tc>
          <w:tcPr>
            <w:tcW w:w="2250" w:type="dxa"/>
            <w:tcBorders>
              <w:top w:val="single" w:color="auto" w:sz="8" w:space="0"/>
              <w:left w:val="nil"/>
              <w:bottom w:val="single" w:color="auto" w:sz="8" w:space="0"/>
              <w:right w:val="single" w:color="auto" w:sz="4" w:space="0"/>
            </w:tcBorders>
          </w:tcPr>
          <w:p>
            <w:pPr>
              <w:widowControl/>
              <w:jc w:val="center"/>
              <w:rPr>
                <w:rFonts w:hint="eastAsia" w:ascii="仿宋" w:hAnsi="仿宋" w:eastAsia="仿宋" w:cs="宋体"/>
                <w:b/>
                <w:bCs/>
                <w:color w:val="000000"/>
                <w:kern w:val="0"/>
                <w:sz w:val="24"/>
                <w:szCs w:val="24"/>
                <w:lang w:eastAsia="zh-CN"/>
              </w:rPr>
            </w:pPr>
            <w:r>
              <w:rPr>
                <w:rFonts w:hint="eastAsia" w:ascii="仿宋" w:hAnsi="仿宋" w:eastAsia="仿宋" w:cs="宋体"/>
                <w:b/>
                <w:bCs/>
                <w:color w:val="000000"/>
                <w:kern w:val="0"/>
                <w:sz w:val="24"/>
                <w:szCs w:val="24"/>
              </w:rPr>
              <w:t>评</w:t>
            </w:r>
            <w:r>
              <w:rPr>
                <w:rFonts w:hint="eastAsia" w:ascii="仿宋" w:hAnsi="仿宋" w:eastAsia="仿宋" w:cs="宋体"/>
                <w:b/>
                <w:bCs/>
                <w:color w:val="000000"/>
                <w:kern w:val="0"/>
                <w:sz w:val="24"/>
                <w:szCs w:val="24"/>
                <w:lang w:val="en-US" w:eastAsia="zh-CN"/>
              </w:rPr>
              <w:t>分依据</w:t>
            </w:r>
          </w:p>
        </w:tc>
        <w:tc>
          <w:tcPr>
            <w:tcW w:w="1296" w:type="dxa"/>
            <w:tcBorders>
              <w:top w:val="single" w:color="auto" w:sz="8" w:space="0"/>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b/>
                <w:bCs/>
                <w:color w:val="000000"/>
                <w:kern w:val="0"/>
                <w:sz w:val="24"/>
                <w:szCs w:val="24"/>
              </w:rPr>
            </w:pPr>
            <w:r>
              <w:rPr>
                <w:rFonts w:ascii="仿宋" w:hAnsi="仿宋" w:eastAsia="仿宋" w:cs="宋体"/>
                <w:b/>
                <w:bCs/>
                <w:color w:val="000000"/>
                <w:kern w:val="0"/>
                <w:sz w:val="24"/>
                <w:szCs w:val="24"/>
              </w:rPr>
              <w:t>自</w:t>
            </w:r>
            <w:r>
              <w:rPr>
                <w:rFonts w:hint="eastAsia" w:ascii="仿宋" w:hAnsi="仿宋" w:eastAsia="仿宋" w:cs="宋体"/>
                <w:b/>
                <w:bCs/>
                <w:color w:val="000000"/>
                <w:kern w:val="0"/>
                <w:sz w:val="24"/>
                <w:szCs w:val="24"/>
              </w:rPr>
              <w:t>评得分</w:t>
            </w:r>
          </w:p>
        </w:tc>
        <w:tc>
          <w:tcPr>
            <w:tcW w:w="1296" w:type="dxa"/>
            <w:tcBorders>
              <w:top w:val="single" w:color="auto" w:sz="8" w:space="0"/>
              <w:left w:val="single" w:color="auto" w:sz="4" w:space="0"/>
              <w:bottom w:val="single" w:color="auto" w:sz="8" w:space="0"/>
              <w:right w:val="single" w:color="auto" w:sz="8" w:space="0"/>
            </w:tcBorders>
            <w:shd w:val="clear" w:color="auto" w:fill="auto"/>
            <w:vAlign w:val="center"/>
          </w:tcPr>
          <w:p>
            <w:pPr>
              <w:widowControl/>
              <w:jc w:val="center"/>
              <w:rPr>
                <w:rFonts w:hint="default" w:ascii="仿宋" w:hAnsi="仿宋" w:eastAsia="仿宋" w:cs="宋体"/>
                <w:b/>
                <w:bCs/>
                <w:color w:val="000000"/>
                <w:kern w:val="0"/>
                <w:sz w:val="24"/>
                <w:szCs w:val="24"/>
                <w:lang w:val="en-US" w:eastAsia="zh-CN"/>
              </w:rPr>
            </w:pPr>
            <w:r>
              <w:rPr>
                <w:rFonts w:hint="eastAsia" w:ascii="仿宋" w:hAnsi="仿宋" w:eastAsia="仿宋" w:cs="宋体"/>
                <w:b/>
                <w:bCs/>
                <w:color w:val="000000"/>
                <w:kern w:val="0"/>
                <w:sz w:val="24"/>
                <w:szCs w:val="24"/>
                <w:lang w:val="en-US" w:eastAsia="zh-CN"/>
              </w:rPr>
              <w:t>未完成原因分析</w:t>
            </w:r>
          </w:p>
        </w:tc>
      </w:tr>
      <w:tr>
        <w:tblPrEx>
          <w:tblLayout w:type="fixed"/>
          <w:tblCellMar>
            <w:top w:w="0" w:type="dxa"/>
            <w:left w:w="108" w:type="dxa"/>
            <w:bottom w:w="0" w:type="dxa"/>
            <w:right w:w="108" w:type="dxa"/>
          </w:tblCellMar>
        </w:tblPrEx>
        <w:trPr>
          <w:trHeight w:val="600" w:hRule="atLeast"/>
          <w:jc w:val="center"/>
        </w:trPr>
        <w:tc>
          <w:tcPr>
            <w:tcW w:w="1006"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单位决策（15分）</w:t>
            </w:r>
          </w:p>
        </w:tc>
        <w:tc>
          <w:tcPr>
            <w:tcW w:w="1263"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决策机制</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决策制度的规范性</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2</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b/>
                <w:bCs/>
                <w:color w:val="000000"/>
                <w:kern w:val="0"/>
                <w:sz w:val="24"/>
                <w:szCs w:val="24"/>
              </w:rPr>
            </w:pPr>
            <w:r>
              <w:rPr>
                <w:rFonts w:hint="eastAsia" w:ascii="仿宋" w:hAnsi="仿宋" w:eastAsia="仿宋" w:cs="宋体"/>
                <w:color w:val="000000"/>
                <w:kern w:val="0"/>
                <w:sz w:val="24"/>
                <w:szCs w:val="24"/>
              </w:rPr>
              <w:t>“规范”衡量流程执行</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bCs/>
                <w:color w:val="000000"/>
                <w:kern w:val="0"/>
                <w:sz w:val="24"/>
                <w:szCs w:val="24"/>
              </w:rPr>
            </w:pPr>
            <w:r>
              <w:rPr>
                <w:rFonts w:hint="eastAsia" w:ascii="仿宋" w:hAnsi="仿宋" w:eastAsia="仿宋" w:cs="宋体"/>
                <w:bCs/>
                <w:color w:val="000000"/>
                <w:kern w:val="0"/>
                <w:sz w:val="24"/>
                <w:szCs w:val="24"/>
              </w:rPr>
              <w:t>决策制度有相关的流程图</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bCs/>
                <w:color w:val="000000"/>
                <w:kern w:val="0"/>
                <w:sz w:val="24"/>
                <w:szCs w:val="24"/>
              </w:rPr>
            </w:pPr>
            <w:r>
              <w:rPr>
                <w:rFonts w:hint="eastAsia" w:ascii="仿宋" w:hAnsi="仿宋" w:eastAsia="仿宋" w:cs="宋体"/>
                <w:bCs/>
                <w:color w:val="000000"/>
                <w:kern w:val="0"/>
                <w:sz w:val="24"/>
                <w:szCs w:val="24"/>
              </w:rPr>
              <w:t>2</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bCs/>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决策流程的科学性</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2</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“科学”衡量流程的设计</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流程设计科学合理</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决策执行监督制衡机制</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监督制衡机制的设置与运行</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2"/>
              </w:rPr>
            </w:pPr>
            <w:r>
              <w:rPr>
                <w:rFonts w:hint="eastAsia" w:ascii="仿宋" w:hAnsi="仿宋" w:eastAsia="仿宋" w:cs="宋体"/>
                <w:color w:val="000000"/>
                <w:kern w:val="0"/>
                <w:sz w:val="22"/>
              </w:rPr>
              <w:t>监督制衡机制设置有效且正常运行</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2"/>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中长期规划</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中长期规划明确性</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2</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符合国家法律法规、国民经济和社会发展规划要求</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具体明确可执行</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中长期规划与部门职能的匹配性</w:t>
            </w:r>
          </w:p>
        </w:tc>
        <w:tc>
          <w:tcPr>
            <w:tcW w:w="967" w:type="dxa"/>
            <w:tcBorders>
              <w:top w:val="nil"/>
              <w:left w:val="nil"/>
              <w:bottom w:val="single" w:color="auto" w:sz="8" w:space="0"/>
              <w:right w:val="single" w:color="auto" w:sz="8" w:space="0"/>
            </w:tcBorders>
            <w:shd w:val="clear" w:color="auto" w:fill="auto"/>
            <w:vAlign w:val="center"/>
          </w:tcPr>
          <w:p>
            <w:pPr>
              <w:widowControl/>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 xml:space="preserve">  1</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与单位职能、发展规划和工作计划密切相关</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部门职能相匹配</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年度工作计划</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年度工作计划明确性</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2</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　年度工作计划明确可行</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评价年度工作计划是否明确可执行</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年度工作计划与部门职能的匹配性</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　与部门职能密切相关</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评价其与部门职能相匹配</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部门预算编制</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预算编制科学规范</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2</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预算编制指“内部预算编制”，“科学”衡量制度设计，“规范”衡量流程执行</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检查相关的预算制度文件</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预算编制与重点工作任务的匹配性</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2</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预算编制指“内部预算编制”</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工作任务分解表</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35" w:hRule="atLeast"/>
          <w:jc w:val="center"/>
        </w:trPr>
        <w:tc>
          <w:tcPr>
            <w:tcW w:w="1006"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单位管理（20分）</w:t>
            </w:r>
          </w:p>
        </w:tc>
        <w:tc>
          <w:tcPr>
            <w:tcW w:w="1263"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预算执行</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部门预算执行率</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与市财政局预算处考核口径一致</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2"/>
              </w:rPr>
            </w:pPr>
            <w:r>
              <w:rPr>
                <w:rFonts w:hint="eastAsia" w:ascii="仿宋" w:hAnsi="仿宋" w:eastAsia="仿宋" w:cs="宋体"/>
                <w:color w:val="000000"/>
                <w:kern w:val="0"/>
                <w:sz w:val="24"/>
                <w:szCs w:val="24"/>
              </w:rPr>
              <w:t>与市财政局预算处考核口径一致</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2"/>
              </w:rPr>
            </w:pPr>
            <w:r>
              <w:rPr>
                <w:rFonts w:ascii="仿宋" w:hAnsi="仿宋" w:eastAsia="仿宋" w:cs="宋体"/>
                <w:color w:val="000000"/>
                <w:kern w:val="0"/>
                <w:sz w:val="22"/>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2"/>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专项资金执行率</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与市财政局预算处考核口径一致</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2"/>
              </w:rPr>
            </w:pPr>
            <w:r>
              <w:rPr>
                <w:rFonts w:hint="eastAsia" w:ascii="仿宋" w:hAnsi="仿宋" w:eastAsia="仿宋" w:cs="宋体"/>
                <w:color w:val="000000"/>
                <w:kern w:val="0"/>
                <w:sz w:val="24"/>
                <w:szCs w:val="24"/>
              </w:rPr>
              <w:t>与市财政局预算处考核口径一致</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2"/>
              </w:rPr>
            </w:pPr>
            <w:r>
              <w:rPr>
                <w:rFonts w:ascii="仿宋" w:hAnsi="仿宋" w:eastAsia="仿宋" w:cs="宋体"/>
                <w:color w:val="000000"/>
                <w:kern w:val="0"/>
                <w:sz w:val="22"/>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2"/>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“三公”经费控制率</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“三公”经费使用超支扣分，若不超支则不扣分</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2"/>
              </w:rPr>
            </w:pPr>
            <w:r>
              <w:rPr>
                <w:rFonts w:hint="eastAsia" w:ascii="仿宋" w:hAnsi="仿宋" w:eastAsia="仿宋" w:cs="宋体"/>
                <w:color w:val="000000"/>
                <w:kern w:val="0"/>
                <w:sz w:val="22"/>
              </w:rPr>
              <w:t>三公经费使用情况</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2"/>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预决算信息公开情况 </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预决算是否在“双平台”进行公开，内容和时限是否符合要求</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2"/>
              </w:rPr>
            </w:pPr>
            <w:r>
              <w:rPr>
                <w:rFonts w:hint="eastAsia" w:ascii="仿宋" w:hAnsi="仿宋" w:eastAsia="仿宋" w:cs="宋体"/>
                <w:color w:val="000000"/>
                <w:kern w:val="0"/>
                <w:sz w:val="22"/>
              </w:rPr>
              <w:t>积极配合主管部门完成预决算信息公开工作</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2"/>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收支管理</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收支管理制度健全性</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　制度建立健全</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制度建立健全</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收支管理是否按制度执行</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　制度执行并运行有效</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制度执行并运行有效</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资产管理</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资产管理制度健全性</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　制度建立健全</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制度是否建立健全</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资产管理是否按制度执行</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　制度执行并运行有效</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制度是否执行并运行有效</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政府采购管理</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政府采购管理制度健全性</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　制度建立健全</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制度是否建立健全</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政府采购管理是否按制度执行</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　制度执行并运行有效</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制度是否执行并运行有效</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建设项目管理（适用）</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建设项目管理制度健全性</w:t>
            </w:r>
          </w:p>
        </w:tc>
        <w:tc>
          <w:tcPr>
            <w:tcW w:w="967" w:type="dxa"/>
            <w:tcBorders>
              <w:top w:val="nil"/>
              <w:left w:val="single" w:color="auto" w:sz="8" w:space="0"/>
              <w:bottom w:val="single" w:color="000000"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175" w:type="dxa"/>
            <w:vMerge w:val="restart"/>
            <w:tcBorders>
              <w:top w:val="nil"/>
              <w:left w:val="single" w:color="auto" w:sz="8" w:space="0"/>
              <w:bottom w:val="single" w:color="000000"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此项指标根据各个单位具体职能选择是否适用</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如不适用得满分</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建设项目管理是否按制度执行</w:t>
            </w:r>
          </w:p>
        </w:tc>
        <w:tc>
          <w:tcPr>
            <w:tcW w:w="967" w:type="dxa"/>
            <w:tcBorders>
              <w:top w:val="nil"/>
              <w:left w:val="single" w:color="auto" w:sz="8" w:space="0"/>
              <w:bottom w:val="single" w:color="000000" w:sz="8" w:space="0"/>
              <w:right w:val="single" w:color="auto" w:sz="8" w:space="0"/>
            </w:tcBorders>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175" w:type="dxa"/>
            <w:vMerge w:val="continue"/>
            <w:tcBorders>
              <w:top w:val="nil"/>
              <w:left w:val="single" w:color="auto" w:sz="8" w:space="0"/>
              <w:bottom w:val="single" w:color="000000" w:sz="8" w:space="0"/>
              <w:right w:val="single" w:color="auto" w:sz="8" w:space="0"/>
            </w:tcBorders>
            <w:vAlign w:val="center"/>
          </w:tcPr>
          <w:p>
            <w:pPr>
              <w:widowControl/>
              <w:rPr>
                <w:rFonts w:ascii="仿宋" w:hAnsi="仿宋" w:eastAsia="仿宋" w:cs="宋体"/>
                <w:color w:val="000000"/>
                <w:kern w:val="0"/>
                <w:sz w:val="24"/>
                <w:szCs w:val="24"/>
              </w:rPr>
            </w:pPr>
          </w:p>
        </w:tc>
        <w:tc>
          <w:tcPr>
            <w:tcW w:w="2250" w:type="dxa"/>
            <w:tcBorders>
              <w:top w:val="single" w:color="auto" w:sz="4" w:space="0"/>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如不适用得满分</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 w:hAnsi="仿宋" w:eastAsia="仿宋" w:cs="宋体"/>
                <w:kern w:val="0"/>
                <w:sz w:val="24"/>
                <w:szCs w:val="24"/>
              </w:rPr>
            </w:pPr>
            <w:r>
              <w:rPr>
                <w:rFonts w:hint="eastAsia" w:ascii="仿宋" w:hAnsi="仿宋" w:eastAsia="仿宋" w:cs="宋体"/>
                <w:kern w:val="0"/>
                <w:sz w:val="24"/>
                <w:szCs w:val="24"/>
              </w:rPr>
              <w:t>内部控制管理</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内部控制建设情况</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kern w:val="0"/>
                <w:sz w:val="24"/>
                <w:szCs w:val="24"/>
                <w:lang w:val="en-US" w:eastAsia="zh-CN"/>
              </w:rPr>
            </w:pPr>
            <w:r>
              <w:rPr>
                <w:rFonts w:hint="eastAsia" w:ascii="仿宋" w:hAnsi="仿宋" w:eastAsia="仿宋" w:cs="宋体"/>
                <w:kern w:val="0"/>
                <w:sz w:val="24"/>
                <w:szCs w:val="24"/>
                <w:lang w:val="en-US" w:eastAsia="zh-CN"/>
              </w:rPr>
              <w:t>2</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　内部控制领导小组、工作小组的成立、内控制度设计、手册编制等</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是否成立内控领导小组、工作小组，是否有内部控制制度落实在手册等文本上</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default" w:ascii="仿宋" w:hAnsi="仿宋" w:eastAsia="仿宋" w:cs="宋体"/>
                <w:kern w:val="0"/>
                <w:sz w:val="24"/>
                <w:szCs w:val="24"/>
                <w:lang w:val="en-US" w:eastAsia="zh-CN"/>
              </w:rPr>
            </w:pPr>
            <w:r>
              <w:rPr>
                <w:rFonts w:hint="eastAsia" w:ascii="仿宋" w:hAnsi="仿宋" w:eastAsia="仿宋" w:cs="宋体"/>
                <w:kern w:val="0"/>
                <w:sz w:val="24"/>
                <w:szCs w:val="24"/>
                <w:lang w:val="en-US" w:eastAsia="zh-CN"/>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default" w:ascii="仿宋" w:hAnsi="仿宋" w:eastAsia="仿宋" w:cs="宋体"/>
                <w:kern w:val="0"/>
                <w:sz w:val="24"/>
                <w:szCs w:val="24"/>
                <w:lang w:val="en-US" w:eastAsia="zh-CN"/>
              </w:rPr>
            </w:pPr>
            <w:r>
              <w:rPr>
                <w:rFonts w:hint="eastAsia" w:ascii="仿宋" w:hAnsi="仿宋" w:eastAsia="仿宋" w:cs="宋体"/>
                <w:kern w:val="0"/>
                <w:sz w:val="24"/>
                <w:szCs w:val="24"/>
                <w:lang w:val="en-US" w:eastAsia="zh-CN"/>
              </w:rPr>
              <w:t>内控手册未及时修订完善</w:t>
            </w:r>
            <w:bookmarkStart w:id="4" w:name="_GoBack"/>
            <w:bookmarkEnd w:id="4"/>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kern w:val="0"/>
                <w:sz w:val="24"/>
                <w:szCs w:val="24"/>
              </w:rPr>
            </w:pP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内部控制执行情况</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kern w:val="0"/>
                <w:sz w:val="24"/>
                <w:szCs w:val="24"/>
                <w:lang w:val="en-US" w:eastAsia="zh-CN"/>
              </w:rPr>
            </w:pPr>
            <w:r>
              <w:rPr>
                <w:rFonts w:hint="eastAsia" w:ascii="仿宋" w:hAnsi="仿宋" w:eastAsia="仿宋" w:cs="宋体"/>
                <w:kern w:val="0"/>
                <w:sz w:val="24"/>
                <w:szCs w:val="24"/>
                <w:lang w:val="en-US" w:eastAsia="zh-CN"/>
              </w:rPr>
              <w:t>1</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　内部控制执行并一贯执行</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通过重新执行程序评价内控是否有效</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kern w:val="0"/>
                <w:sz w:val="24"/>
                <w:szCs w:val="24"/>
              </w:rPr>
            </w:pPr>
            <w:r>
              <w:rPr>
                <w:rFonts w:ascii="仿宋" w:hAnsi="仿宋" w:eastAsia="仿宋" w:cs="宋体"/>
                <w:kern w:val="0"/>
                <w:sz w:val="24"/>
                <w:szCs w:val="24"/>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kern w:val="0"/>
                <w:sz w:val="24"/>
                <w:szCs w:val="24"/>
              </w:rPr>
            </w:pP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内部控制监督评价</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kern w:val="0"/>
                <w:sz w:val="24"/>
                <w:szCs w:val="24"/>
                <w:lang w:val="en-US" w:eastAsia="zh-CN"/>
              </w:rPr>
            </w:pPr>
            <w:r>
              <w:rPr>
                <w:rFonts w:hint="eastAsia" w:ascii="仿宋" w:hAnsi="仿宋" w:eastAsia="仿宋" w:cs="宋体"/>
                <w:kern w:val="0"/>
                <w:sz w:val="24"/>
                <w:szCs w:val="24"/>
                <w:lang w:val="en-US" w:eastAsia="zh-CN"/>
              </w:rPr>
              <w:t>1</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　内部控制监督设计评价和运行评价</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是否有单位内部内控评价报告</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预算绩效管理</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组织管理情况</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2</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主要包含制度建设、职能配置、分行业的指标体系</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是否有</w:t>
            </w:r>
            <w:r>
              <w:rPr>
                <w:rFonts w:ascii="仿宋" w:hAnsi="仿宋" w:eastAsia="仿宋" w:cs="宋体"/>
                <w:color w:val="000000"/>
                <w:kern w:val="0"/>
                <w:sz w:val="24"/>
                <w:szCs w:val="24"/>
              </w:rPr>
              <w:t>制度</w:t>
            </w:r>
            <w:r>
              <w:rPr>
                <w:rFonts w:hint="eastAsia" w:ascii="仿宋" w:hAnsi="仿宋" w:eastAsia="仿宋" w:cs="宋体"/>
                <w:color w:val="000000"/>
                <w:kern w:val="0"/>
                <w:sz w:val="24"/>
                <w:szCs w:val="24"/>
              </w:rPr>
              <w:t>建设，与职能配置情况，指标体系构成</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2</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工作开展情况</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包含事前评估、目标管理、跟踪评价、自评价和整改落实</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考察政策（项目）是否有5个报告</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绩效信息公开</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绩效信息是否按照规定的内容和时限在“双平台”进行公开</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　积极配合主管部门完成相关数据的提供</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单位履职(可选方式1：重点工作完成情况)（30分）</w:t>
            </w:r>
          </w:p>
        </w:tc>
        <w:tc>
          <w:tcPr>
            <w:tcW w:w="1263"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重点工作数量完成率</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不设三级指标</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10</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　与年初计划相比较</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检查数量完成情况</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10</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重点工作质量达标率</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不设三级指标</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10</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　与年初自定的绩效目标相比较</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检查质量完成情况</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10</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重点工作完成及时率</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不设三级指标</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10</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　参照财政部门及主管部门规定的要求</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检查比如资金的使用，审计报告、验收报告等完成情况</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10</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restart"/>
            <w:tcBorders>
              <w:top w:val="nil"/>
              <w:left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履职绩效（30分）</w:t>
            </w:r>
          </w:p>
        </w:tc>
        <w:tc>
          <w:tcPr>
            <w:tcW w:w="1263"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kern w:val="0"/>
                <w:sz w:val="24"/>
                <w:szCs w:val="24"/>
              </w:rPr>
            </w:pPr>
            <w:r>
              <w:rPr>
                <w:rFonts w:hint="eastAsia" w:ascii="仿宋" w:hAnsi="仿宋" w:eastAsia="仿宋" w:cs="宋体"/>
                <w:kern w:val="0"/>
                <w:sz w:val="24"/>
                <w:szCs w:val="24"/>
              </w:rPr>
              <w:t>经济效益</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不设三级指标</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kern w:val="0"/>
                <w:sz w:val="24"/>
                <w:szCs w:val="24"/>
                <w:lang w:val="en-US" w:eastAsia="zh-CN"/>
              </w:rPr>
            </w:pPr>
            <w:r>
              <w:rPr>
                <w:rFonts w:hint="eastAsia" w:ascii="仿宋" w:hAnsi="仿宋" w:eastAsia="仿宋" w:cs="宋体"/>
                <w:kern w:val="0"/>
                <w:sz w:val="24"/>
                <w:szCs w:val="24"/>
                <w:lang w:val="en-US" w:eastAsia="zh-CN"/>
              </w:rPr>
              <w:t>8</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　经济活动中取得的收益性成果</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计算经济性成果</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8</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left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kern w:val="0"/>
                <w:sz w:val="24"/>
                <w:szCs w:val="24"/>
              </w:rPr>
            </w:pPr>
            <w:r>
              <w:rPr>
                <w:rFonts w:hint="eastAsia" w:ascii="仿宋" w:hAnsi="仿宋" w:eastAsia="仿宋" w:cs="宋体"/>
                <w:kern w:val="0"/>
                <w:sz w:val="24"/>
                <w:szCs w:val="24"/>
              </w:rPr>
              <w:t>社会效益</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不设三级指标</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kern w:val="0"/>
                <w:sz w:val="24"/>
                <w:szCs w:val="24"/>
                <w:lang w:val="en-US" w:eastAsia="zh-CN"/>
              </w:rPr>
            </w:pPr>
            <w:r>
              <w:rPr>
                <w:rFonts w:hint="eastAsia" w:ascii="仿宋" w:hAnsi="仿宋" w:eastAsia="仿宋" w:cs="宋体"/>
                <w:kern w:val="0"/>
                <w:sz w:val="24"/>
                <w:szCs w:val="24"/>
                <w:lang w:val="en-US" w:eastAsia="zh-CN"/>
              </w:rPr>
              <w:t>8</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 xml:space="preserve">　经济效益之外的对社会有益的效果 </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 xml:space="preserve">评价社会性有益效果 </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8</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left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kern w:val="0"/>
                <w:sz w:val="24"/>
                <w:szCs w:val="24"/>
              </w:rPr>
            </w:pPr>
            <w:r>
              <w:rPr>
                <w:rFonts w:hint="eastAsia" w:ascii="仿宋" w:hAnsi="仿宋" w:eastAsia="仿宋" w:cs="宋体"/>
                <w:kern w:val="0"/>
                <w:sz w:val="24"/>
                <w:szCs w:val="24"/>
              </w:rPr>
              <w:t>生态效益</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不设三级指标</w:t>
            </w:r>
          </w:p>
        </w:tc>
        <w:tc>
          <w:tcPr>
            <w:tcW w:w="967" w:type="dxa"/>
            <w:tcBorders>
              <w:top w:val="nil"/>
              <w:left w:val="nil"/>
              <w:bottom w:val="single" w:color="auto" w:sz="8" w:space="0"/>
              <w:right w:val="single" w:color="auto" w:sz="8" w:space="0"/>
            </w:tcBorders>
            <w:shd w:val="clear" w:color="auto" w:fill="auto"/>
            <w:vAlign w:val="center"/>
          </w:tcPr>
          <w:p>
            <w:pPr>
              <w:widowControl/>
              <w:ind w:firstLine="240" w:firstLineChars="100"/>
              <w:rPr>
                <w:rFonts w:hint="default" w:ascii="仿宋" w:hAnsi="仿宋" w:eastAsia="仿宋" w:cs="宋体"/>
                <w:kern w:val="0"/>
                <w:sz w:val="24"/>
                <w:szCs w:val="24"/>
                <w:lang w:val="en-US" w:eastAsia="zh-CN"/>
              </w:rPr>
            </w:pPr>
            <w:r>
              <w:rPr>
                <w:rFonts w:hint="eastAsia" w:ascii="仿宋" w:hAnsi="仿宋" w:eastAsia="仿宋" w:cs="宋体"/>
                <w:kern w:val="0"/>
                <w:sz w:val="24"/>
                <w:szCs w:val="24"/>
                <w:lang w:val="en-US" w:eastAsia="zh-CN"/>
              </w:rPr>
              <w:t>8</w:t>
            </w: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　生态平衡和生态系统的良性高效循环</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评价生态平衡及系统循环情况</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8</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915" w:hRule="atLeast"/>
          <w:jc w:val="center"/>
        </w:trPr>
        <w:tc>
          <w:tcPr>
            <w:tcW w:w="1006" w:type="dxa"/>
            <w:vMerge w:val="continue"/>
            <w:tcBorders>
              <w:left w:val="single" w:color="auto" w:sz="8" w:space="0"/>
              <w:bottom w:val="single" w:color="auto" w:sz="4"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tcBorders>
              <w:top w:val="nil"/>
              <w:left w:val="nil"/>
              <w:bottom w:val="single" w:color="auto" w:sz="4"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满意度</w:t>
            </w:r>
          </w:p>
        </w:tc>
        <w:tc>
          <w:tcPr>
            <w:tcW w:w="2857" w:type="dxa"/>
            <w:gridSpan w:val="2"/>
            <w:tcBorders>
              <w:top w:val="nil"/>
              <w:left w:val="nil"/>
              <w:bottom w:val="single" w:color="auto" w:sz="4"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不设三级指标</w:t>
            </w:r>
          </w:p>
        </w:tc>
        <w:tc>
          <w:tcPr>
            <w:tcW w:w="967" w:type="dxa"/>
            <w:tcBorders>
              <w:top w:val="nil"/>
              <w:left w:val="nil"/>
              <w:bottom w:val="single" w:color="auto" w:sz="4"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6</w:t>
            </w:r>
          </w:p>
        </w:tc>
        <w:tc>
          <w:tcPr>
            <w:tcW w:w="3175" w:type="dxa"/>
            <w:tcBorders>
              <w:top w:val="nil"/>
              <w:left w:val="nil"/>
              <w:bottom w:val="single" w:color="auto" w:sz="4"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包含服务对象（可选）、管理对象（可选）、间接受益对象（可选）等</w:t>
            </w:r>
          </w:p>
        </w:tc>
        <w:tc>
          <w:tcPr>
            <w:tcW w:w="2250" w:type="dxa"/>
            <w:tcBorders>
              <w:top w:val="nil"/>
              <w:left w:val="nil"/>
              <w:bottom w:val="single" w:color="auto" w:sz="4"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涉及检查服务对象、管理对象、间接受益对象评价表；未涉及可得满分</w:t>
            </w:r>
          </w:p>
        </w:tc>
        <w:tc>
          <w:tcPr>
            <w:tcW w:w="1296" w:type="dxa"/>
            <w:tcBorders>
              <w:top w:val="nil"/>
              <w:left w:val="single" w:color="auto" w:sz="4" w:space="0"/>
              <w:bottom w:val="single" w:color="auto" w:sz="4" w:space="0"/>
              <w:right w:val="single" w:color="auto" w:sz="8"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6</w:t>
            </w:r>
          </w:p>
        </w:tc>
        <w:tc>
          <w:tcPr>
            <w:tcW w:w="1296" w:type="dxa"/>
            <w:tcBorders>
              <w:top w:val="nil"/>
              <w:left w:val="single" w:color="auto" w:sz="4" w:space="0"/>
              <w:bottom w:val="single" w:color="auto" w:sz="4" w:space="0"/>
              <w:right w:val="single" w:color="auto" w:sz="8" w:space="0"/>
            </w:tcBorders>
            <w:shd w:val="clear" w:color="auto" w:fill="auto"/>
            <w:vAlign w:val="center"/>
          </w:tcPr>
          <w:p>
            <w:pPr>
              <w:widowControl/>
              <w:jc w:val="center"/>
              <w:rPr>
                <w:rFonts w:hint="eastAsia"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可持续发展能力（5分）</w:t>
            </w:r>
          </w:p>
        </w:tc>
        <w:tc>
          <w:tcPr>
            <w:tcW w:w="1263" w:type="dxa"/>
            <w:tcBorders>
              <w:top w:val="single" w:color="auto" w:sz="8" w:space="0"/>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信息化建设情况</w:t>
            </w:r>
          </w:p>
        </w:tc>
        <w:tc>
          <w:tcPr>
            <w:tcW w:w="2857" w:type="dxa"/>
            <w:gridSpan w:val="2"/>
            <w:tcBorders>
              <w:top w:val="single" w:color="auto" w:sz="8" w:space="0"/>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　不设三级指标</w:t>
            </w:r>
          </w:p>
        </w:tc>
        <w:tc>
          <w:tcPr>
            <w:tcW w:w="967" w:type="dxa"/>
            <w:tcBorders>
              <w:top w:val="single" w:color="auto" w:sz="8" w:space="0"/>
              <w:left w:val="nil"/>
              <w:bottom w:val="single" w:color="auto" w:sz="8" w:space="0"/>
              <w:right w:val="single" w:color="auto" w:sz="8" w:space="0"/>
            </w:tcBorders>
            <w:shd w:val="clear" w:color="auto" w:fill="auto"/>
            <w:vAlign w:val="center"/>
          </w:tcPr>
          <w:p>
            <w:pPr>
              <w:widowControl/>
              <w:ind w:firstLine="240" w:firstLineChars="100"/>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5</w:t>
            </w:r>
          </w:p>
        </w:tc>
        <w:tc>
          <w:tcPr>
            <w:tcW w:w="3175" w:type="dxa"/>
            <w:tcBorders>
              <w:top w:val="single" w:color="auto" w:sz="8" w:space="0"/>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办公流程、业务开展是否能通过单位的信息系统实现</w:t>
            </w:r>
          </w:p>
        </w:tc>
        <w:tc>
          <w:tcPr>
            <w:tcW w:w="2250" w:type="dxa"/>
            <w:tcBorders>
              <w:top w:val="single" w:color="auto" w:sz="8" w:space="0"/>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检查或进行穿行测试</w:t>
            </w:r>
          </w:p>
        </w:tc>
        <w:tc>
          <w:tcPr>
            <w:tcW w:w="1296" w:type="dxa"/>
            <w:tcBorders>
              <w:top w:val="single" w:color="auto" w:sz="8" w:space="0"/>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eastAsia="zh-CN"/>
              </w:rPr>
            </w:pPr>
            <w:r>
              <w:rPr>
                <w:rFonts w:hint="eastAsia" w:ascii="仿宋" w:hAnsi="仿宋" w:eastAsia="仿宋" w:cs="宋体"/>
                <w:color w:val="000000"/>
                <w:kern w:val="0"/>
                <w:sz w:val="24"/>
                <w:szCs w:val="24"/>
                <w:lang w:val="en-US" w:eastAsia="zh-CN"/>
              </w:rPr>
              <w:t>3</w:t>
            </w:r>
          </w:p>
        </w:tc>
        <w:tc>
          <w:tcPr>
            <w:tcW w:w="1296" w:type="dxa"/>
            <w:tcBorders>
              <w:top w:val="single" w:color="auto" w:sz="8" w:space="0"/>
              <w:left w:val="single" w:color="auto" w:sz="4" w:space="0"/>
              <w:bottom w:val="single" w:color="auto" w:sz="8" w:space="0"/>
              <w:right w:val="single" w:color="auto" w:sz="8" w:space="0"/>
            </w:tcBorders>
            <w:shd w:val="clear" w:color="auto" w:fill="auto"/>
            <w:vAlign w:val="center"/>
          </w:tcPr>
          <w:p>
            <w:pPr>
              <w:widowControl/>
              <w:jc w:val="center"/>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业务开展通过财政信息系统实现</w:t>
            </w: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single" w:color="auto" w:sz="8" w:space="0"/>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人力资源建设情况（可选）</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hAnsi="等线" w:cs="宋体"/>
                <w:color w:val="000000"/>
                <w:kern w:val="0"/>
                <w:sz w:val="22"/>
              </w:rPr>
            </w:pPr>
            <w:r>
              <w:rPr>
                <w:rFonts w:hint="eastAsia" w:hAnsi="等线" w:cs="宋体"/>
                <w:color w:val="000000"/>
                <w:kern w:val="0"/>
                <w:sz w:val="22"/>
              </w:rPr>
              <w:t>　</w:t>
            </w:r>
            <w:r>
              <w:rPr>
                <w:rFonts w:hint="eastAsia" w:ascii="仿宋" w:hAnsi="仿宋" w:eastAsia="仿宋" w:cs="宋体"/>
                <w:color w:val="000000"/>
                <w:kern w:val="0"/>
                <w:sz w:val="24"/>
                <w:szCs w:val="24"/>
              </w:rPr>
              <w:t>不设三级指标</w:t>
            </w:r>
          </w:p>
        </w:tc>
        <w:tc>
          <w:tcPr>
            <w:tcW w:w="967" w:type="dxa"/>
            <w:tcBorders>
              <w:top w:val="nil"/>
              <w:left w:val="nil"/>
              <w:bottom w:val="single" w:color="auto" w:sz="8" w:space="0"/>
              <w:right w:val="single" w:color="auto" w:sz="8" w:space="0"/>
            </w:tcBorders>
            <w:shd w:val="clear" w:color="auto" w:fill="auto"/>
            <w:vAlign w:val="center"/>
          </w:tcPr>
          <w:p>
            <w:pPr>
              <w:widowControl/>
              <w:rPr>
                <w:rFonts w:hint="eastAsia" w:ascii="仿宋" w:hAnsi="仿宋" w:eastAsia="仿宋" w:cs="宋体"/>
                <w:color w:val="000000"/>
                <w:kern w:val="0"/>
                <w:sz w:val="24"/>
                <w:szCs w:val="24"/>
              </w:rPr>
            </w:pP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包含人才培养计划、人才选拔运用、激励措施等</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适用检查是否有人才培养计划、人才选拔运用及激励措施方面形成的文件；不适用可得满分</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rPr>
                <w:rFonts w:hAnsi="等线" w:cs="宋体"/>
                <w:color w:val="000000"/>
                <w:kern w:val="0"/>
                <w:sz w:val="22"/>
              </w:rPr>
            </w:pPr>
            <w:r>
              <w:rPr>
                <w:rFonts w:hint="eastAsia" w:hAnsi="等线" w:cs="宋体"/>
                <w:color w:val="000000"/>
                <w:kern w:val="0"/>
                <w:sz w:val="22"/>
              </w:rPr>
              <w:t>　</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rPr>
                <w:rFonts w:hint="eastAsia" w:hAnsi="等线" w:cs="宋体"/>
                <w:color w:val="000000"/>
                <w:kern w:val="0"/>
                <w:sz w:val="22"/>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single" w:color="auto" w:sz="8" w:space="0"/>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tcBorders>
              <w:top w:val="nil"/>
              <w:left w:val="nil"/>
              <w:bottom w:val="single" w:color="auto" w:sz="8" w:space="0"/>
              <w:right w:val="single" w:color="auto" w:sz="8" w:space="0"/>
            </w:tcBorders>
            <w:shd w:val="clear" w:color="auto" w:fill="auto"/>
            <w:vAlign w:val="center"/>
          </w:tcPr>
          <w:p>
            <w:pPr>
              <w:widowControl/>
              <w:jc w:val="left"/>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rPr>
              <w:t>部门创新情况（可</w:t>
            </w:r>
            <w:r>
              <w:rPr>
                <w:rFonts w:hint="eastAsia" w:ascii="仿宋" w:hAnsi="仿宋" w:eastAsia="仿宋" w:cs="宋体"/>
                <w:color w:val="000000"/>
                <w:kern w:val="0"/>
                <w:sz w:val="24"/>
                <w:szCs w:val="24"/>
                <w:lang w:val="en-US" w:eastAsia="zh-CN"/>
              </w:rPr>
              <w:t>选）</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2"/>
              </w:rPr>
            </w:pPr>
            <w:r>
              <w:rPr>
                <w:rFonts w:hint="eastAsia" w:ascii="仿宋" w:hAnsi="仿宋" w:eastAsia="仿宋" w:cs="宋体"/>
                <w:color w:val="000000"/>
                <w:kern w:val="0"/>
                <w:sz w:val="22"/>
              </w:rPr>
              <w:t>　</w:t>
            </w:r>
            <w:r>
              <w:rPr>
                <w:rFonts w:hint="eastAsia" w:ascii="仿宋" w:hAnsi="仿宋" w:eastAsia="仿宋" w:cs="宋体"/>
                <w:color w:val="000000"/>
                <w:kern w:val="0"/>
                <w:sz w:val="24"/>
                <w:szCs w:val="24"/>
              </w:rPr>
              <w:t>不设三级指标</w:t>
            </w:r>
          </w:p>
        </w:tc>
        <w:tc>
          <w:tcPr>
            <w:tcW w:w="967" w:type="dxa"/>
            <w:tcBorders>
              <w:top w:val="nil"/>
              <w:left w:val="nil"/>
              <w:bottom w:val="single" w:color="auto" w:sz="8" w:space="0"/>
              <w:right w:val="single" w:color="auto" w:sz="8" w:space="0"/>
            </w:tcBorders>
            <w:shd w:val="clear" w:color="auto" w:fill="auto"/>
            <w:vAlign w:val="center"/>
          </w:tcPr>
          <w:p>
            <w:pPr>
              <w:widowControl/>
              <w:rPr>
                <w:rFonts w:hint="eastAsia" w:ascii="仿宋" w:hAnsi="仿宋" w:eastAsia="仿宋" w:cs="宋体"/>
                <w:color w:val="000000"/>
                <w:kern w:val="0"/>
                <w:sz w:val="24"/>
                <w:szCs w:val="24"/>
              </w:rPr>
            </w:pP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包含制度创新、方法创新等</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2"/>
              </w:rPr>
            </w:pPr>
            <w:r>
              <w:rPr>
                <w:rFonts w:hint="eastAsia" w:ascii="仿宋" w:hAnsi="仿宋" w:eastAsia="仿宋" w:cs="宋体"/>
                <w:color w:val="000000"/>
                <w:kern w:val="0"/>
                <w:sz w:val="22"/>
              </w:rPr>
              <w:t>部门（单位）需提供创新案例被官方媒体报道的佐证材料</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2"/>
              </w:rPr>
            </w:pP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2"/>
              </w:rPr>
            </w:pPr>
          </w:p>
        </w:tc>
      </w:tr>
      <w:tr>
        <w:tblPrEx>
          <w:tblLayout w:type="fixed"/>
          <w:tblCellMar>
            <w:top w:w="0" w:type="dxa"/>
            <w:left w:w="108" w:type="dxa"/>
            <w:bottom w:w="0" w:type="dxa"/>
            <w:right w:w="108" w:type="dxa"/>
          </w:tblCellMar>
        </w:tblPrEx>
        <w:trPr>
          <w:trHeight w:val="923" w:hRule="atLeast"/>
          <w:jc w:val="center"/>
        </w:trPr>
        <w:tc>
          <w:tcPr>
            <w:tcW w:w="1006"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加减分项（≤5分）</w:t>
            </w:r>
          </w:p>
        </w:tc>
        <w:tc>
          <w:tcPr>
            <w:tcW w:w="1263"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加分项</w:t>
            </w:r>
          </w:p>
        </w:tc>
        <w:tc>
          <w:tcPr>
            <w:tcW w:w="2857" w:type="dxa"/>
            <w:gridSpan w:val="2"/>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　不设三级指标</w:t>
            </w:r>
          </w:p>
        </w:tc>
        <w:tc>
          <w:tcPr>
            <w:tcW w:w="967" w:type="dxa"/>
            <w:tcBorders>
              <w:top w:val="nil"/>
              <w:left w:val="nil"/>
              <w:bottom w:val="single" w:color="auto" w:sz="8" w:space="0"/>
              <w:right w:val="single" w:color="auto" w:sz="8" w:space="0"/>
            </w:tcBorders>
            <w:shd w:val="clear" w:color="auto" w:fill="auto"/>
            <w:vAlign w:val="center"/>
          </w:tcPr>
          <w:p>
            <w:pPr>
              <w:widowControl/>
              <w:rPr>
                <w:rFonts w:hint="eastAsia" w:ascii="仿宋" w:hAnsi="仿宋" w:eastAsia="仿宋" w:cs="宋体"/>
                <w:color w:val="000000"/>
                <w:kern w:val="0"/>
                <w:sz w:val="24"/>
                <w:szCs w:val="24"/>
              </w:rPr>
            </w:pPr>
          </w:p>
        </w:tc>
        <w:tc>
          <w:tcPr>
            <w:tcW w:w="3175" w:type="dxa"/>
            <w:tcBorders>
              <w:top w:val="nil"/>
              <w:left w:val="nil"/>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部门（单位）受到国务院、省级、市级嘉奖</w:t>
            </w:r>
          </w:p>
        </w:tc>
        <w:tc>
          <w:tcPr>
            <w:tcW w:w="2250" w:type="dxa"/>
            <w:tcBorders>
              <w:top w:val="nil"/>
              <w:left w:val="nil"/>
              <w:bottom w:val="single" w:color="auto" w:sz="8"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受到国务院嘉奖加3分，受到省级嘉奖加2分，得到市级考核一等奖加1分，得到市级考核二等奖加0.5分；同一项工作不累计加分</w:t>
            </w: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p>
        </w:tc>
        <w:tc>
          <w:tcPr>
            <w:tcW w:w="1296" w:type="dxa"/>
            <w:tcBorders>
              <w:top w:val="nil"/>
              <w:left w:val="single" w:color="auto" w:sz="4" w:space="0"/>
              <w:bottom w:val="single" w:color="auto" w:sz="8" w:space="0"/>
              <w:right w:val="single" w:color="auto" w:sz="8" w:space="0"/>
            </w:tcBorders>
            <w:shd w:val="clear" w:color="auto" w:fill="auto"/>
            <w:vAlign w:val="center"/>
          </w:tcPr>
          <w:p>
            <w:pPr>
              <w:widowControl/>
              <w:rPr>
                <w:rFonts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006" w:type="dxa"/>
            <w:vMerge w:val="continue"/>
            <w:tcBorders>
              <w:top w:val="nil"/>
              <w:left w:val="single" w:color="auto" w:sz="8" w:space="0"/>
              <w:bottom w:val="single" w:color="auto" w:sz="4" w:space="0"/>
              <w:right w:val="single" w:color="auto" w:sz="8" w:space="0"/>
            </w:tcBorders>
            <w:vAlign w:val="center"/>
          </w:tcPr>
          <w:p>
            <w:pPr>
              <w:widowControl/>
              <w:jc w:val="left"/>
              <w:rPr>
                <w:rFonts w:ascii="仿宋" w:hAnsi="仿宋" w:eastAsia="仿宋" w:cs="宋体"/>
                <w:color w:val="000000"/>
                <w:kern w:val="0"/>
                <w:sz w:val="24"/>
                <w:szCs w:val="24"/>
              </w:rPr>
            </w:pPr>
          </w:p>
        </w:tc>
        <w:tc>
          <w:tcPr>
            <w:tcW w:w="1263" w:type="dxa"/>
            <w:tcBorders>
              <w:top w:val="nil"/>
              <w:left w:val="nil"/>
              <w:bottom w:val="single" w:color="auto" w:sz="4"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减分项</w:t>
            </w:r>
          </w:p>
        </w:tc>
        <w:tc>
          <w:tcPr>
            <w:tcW w:w="2857" w:type="dxa"/>
            <w:gridSpan w:val="2"/>
            <w:tcBorders>
              <w:top w:val="nil"/>
              <w:left w:val="nil"/>
              <w:bottom w:val="single" w:color="auto" w:sz="4" w:space="0"/>
              <w:right w:val="single" w:color="auto" w:sz="8" w:space="0"/>
            </w:tcBorders>
            <w:shd w:val="clear" w:color="auto" w:fill="auto"/>
            <w:vAlign w:val="center"/>
          </w:tcPr>
          <w:p>
            <w:pPr>
              <w:widowControl/>
              <w:rPr>
                <w:rFonts w:hAnsi="等线" w:cs="宋体"/>
                <w:color w:val="000000"/>
                <w:kern w:val="0"/>
                <w:sz w:val="22"/>
              </w:rPr>
            </w:pPr>
            <w:r>
              <w:rPr>
                <w:rFonts w:hint="eastAsia" w:hAnsi="等线" w:cs="宋体"/>
                <w:color w:val="000000"/>
                <w:kern w:val="0"/>
                <w:sz w:val="22"/>
              </w:rPr>
              <w:t>　</w:t>
            </w:r>
            <w:r>
              <w:rPr>
                <w:rFonts w:hint="eastAsia" w:ascii="仿宋" w:hAnsi="仿宋" w:eastAsia="仿宋" w:cs="宋体"/>
                <w:color w:val="000000"/>
                <w:kern w:val="0"/>
                <w:sz w:val="24"/>
                <w:szCs w:val="24"/>
              </w:rPr>
              <w:t>不设三级指标</w:t>
            </w:r>
          </w:p>
        </w:tc>
        <w:tc>
          <w:tcPr>
            <w:tcW w:w="967" w:type="dxa"/>
            <w:tcBorders>
              <w:top w:val="nil"/>
              <w:left w:val="nil"/>
              <w:bottom w:val="single" w:color="auto" w:sz="4" w:space="0"/>
              <w:right w:val="single" w:color="auto" w:sz="8" w:space="0"/>
            </w:tcBorders>
            <w:shd w:val="clear" w:color="auto" w:fill="auto"/>
            <w:vAlign w:val="center"/>
          </w:tcPr>
          <w:p>
            <w:pPr>
              <w:widowControl/>
              <w:rPr>
                <w:rFonts w:hint="eastAsia" w:ascii="仿宋" w:hAnsi="仿宋" w:eastAsia="仿宋" w:cs="宋体"/>
                <w:color w:val="000000"/>
                <w:kern w:val="0"/>
                <w:sz w:val="24"/>
                <w:szCs w:val="24"/>
              </w:rPr>
            </w:pPr>
          </w:p>
        </w:tc>
        <w:tc>
          <w:tcPr>
            <w:tcW w:w="3175" w:type="dxa"/>
            <w:tcBorders>
              <w:top w:val="nil"/>
              <w:left w:val="nil"/>
              <w:bottom w:val="single" w:color="auto" w:sz="4" w:space="0"/>
              <w:right w:val="single" w:color="auto" w:sz="8" w:space="0"/>
            </w:tcBorders>
            <w:shd w:val="clear" w:color="auto" w:fill="auto"/>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部门（单位）或工作人员违法违纪</w:t>
            </w:r>
          </w:p>
        </w:tc>
        <w:tc>
          <w:tcPr>
            <w:tcW w:w="2250" w:type="dxa"/>
            <w:tcBorders>
              <w:top w:val="nil"/>
              <w:left w:val="nil"/>
              <w:bottom w:val="single" w:color="auto" w:sz="4" w:space="0"/>
              <w:right w:val="single" w:color="auto" w:sz="4" w:space="0"/>
            </w:tcBorders>
            <w:vAlign w:val="center"/>
          </w:tcPr>
          <w:p>
            <w:pPr>
              <w:widowControl/>
              <w:rPr>
                <w:rFonts w:ascii="仿宋" w:hAnsi="仿宋" w:eastAsia="仿宋" w:cs="宋体"/>
                <w:color w:val="000000"/>
                <w:kern w:val="0"/>
                <w:sz w:val="24"/>
                <w:szCs w:val="24"/>
              </w:rPr>
            </w:pPr>
            <w:r>
              <w:rPr>
                <w:rFonts w:hint="eastAsia" w:ascii="仿宋" w:hAnsi="仿宋" w:eastAsia="仿宋" w:cs="宋体"/>
                <w:color w:val="000000"/>
                <w:kern w:val="0"/>
                <w:sz w:val="24"/>
                <w:szCs w:val="24"/>
              </w:rPr>
              <w:t>酌情扣分</w:t>
            </w:r>
          </w:p>
        </w:tc>
        <w:tc>
          <w:tcPr>
            <w:tcW w:w="1296" w:type="dxa"/>
            <w:tcBorders>
              <w:top w:val="nil"/>
              <w:left w:val="single" w:color="auto" w:sz="4" w:space="0"/>
              <w:bottom w:val="single" w:color="auto" w:sz="4" w:space="0"/>
              <w:right w:val="single" w:color="auto" w:sz="8" w:space="0"/>
            </w:tcBorders>
            <w:shd w:val="clear" w:color="auto" w:fill="auto"/>
            <w:vAlign w:val="center"/>
          </w:tcPr>
          <w:p>
            <w:pPr>
              <w:widowControl/>
              <w:rPr>
                <w:rFonts w:ascii="仿宋" w:hAnsi="仿宋" w:eastAsia="仿宋" w:cs="宋体"/>
                <w:color w:val="000000"/>
                <w:kern w:val="0"/>
                <w:sz w:val="24"/>
                <w:szCs w:val="24"/>
              </w:rPr>
            </w:pPr>
          </w:p>
        </w:tc>
        <w:tc>
          <w:tcPr>
            <w:tcW w:w="1296" w:type="dxa"/>
            <w:tcBorders>
              <w:top w:val="nil"/>
              <w:left w:val="single" w:color="auto" w:sz="4" w:space="0"/>
              <w:bottom w:val="single" w:color="auto" w:sz="4" w:space="0"/>
              <w:right w:val="single" w:color="auto" w:sz="8" w:space="0"/>
            </w:tcBorders>
            <w:shd w:val="clear" w:color="auto" w:fill="auto"/>
            <w:vAlign w:val="center"/>
          </w:tcPr>
          <w:p>
            <w:pPr>
              <w:widowControl/>
              <w:rPr>
                <w:rFonts w:ascii="仿宋" w:hAnsi="仿宋" w:eastAsia="仿宋" w:cs="宋体"/>
                <w:color w:val="000000"/>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2412" w:type="dxa"/>
            <w:gridSpan w:val="3"/>
            <w:tcBorders>
              <w:top w:val="single" w:color="auto" w:sz="4" w:space="0"/>
              <w:left w:val="single" w:color="auto" w:sz="8" w:space="0"/>
              <w:bottom w:val="single" w:color="auto" w:sz="8" w:space="0"/>
              <w:right w:val="single" w:color="auto" w:sz="4" w:space="0"/>
            </w:tcBorders>
            <w:vAlign w:val="center"/>
          </w:tcPr>
          <w:p>
            <w:pPr>
              <w:widowControl/>
              <w:jc w:val="left"/>
              <w:rPr>
                <w:rFonts w:hint="eastAsia" w:ascii="仿宋" w:hAnsi="仿宋" w:eastAsia="仿宋" w:cs="宋体"/>
                <w:color w:val="000000"/>
                <w:kern w:val="0"/>
                <w:sz w:val="24"/>
                <w:szCs w:val="24"/>
              </w:rPr>
            </w:pPr>
          </w:p>
        </w:tc>
        <w:tc>
          <w:tcPr>
            <w:tcW w:w="9106" w:type="dxa"/>
            <w:gridSpan w:val="4"/>
            <w:tcBorders>
              <w:top w:val="single" w:color="auto" w:sz="4" w:space="0"/>
              <w:left w:val="single" w:color="auto" w:sz="8" w:space="0"/>
              <w:bottom w:val="single" w:color="auto" w:sz="8" w:space="0"/>
              <w:right w:val="single" w:color="auto" w:sz="4" w:space="0"/>
            </w:tcBorders>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合计得分</w:t>
            </w:r>
          </w:p>
        </w:tc>
        <w:tc>
          <w:tcPr>
            <w:tcW w:w="1296" w:type="dxa"/>
            <w:tcBorders>
              <w:top w:val="single" w:color="auto" w:sz="4" w:space="0"/>
              <w:left w:val="single" w:color="auto" w:sz="4" w:space="0"/>
              <w:bottom w:val="single" w:color="auto" w:sz="8" w:space="0"/>
              <w:right w:val="single" w:color="auto" w:sz="8" w:space="0"/>
            </w:tcBorders>
            <w:shd w:val="clear" w:color="auto" w:fill="auto"/>
            <w:vAlign w:val="center"/>
          </w:tcPr>
          <w:p>
            <w:pPr>
              <w:widowControl/>
              <w:jc w:val="center"/>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97</w:t>
            </w:r>
          </w:p>
        </w:tc>
        <w:tc>
          <w:tcPr>
            <w:tcW w:w="1296" w:type="dxa"/>
            <w:tcBorders>
              <w:top w:val="single" w:color="auto" w:sz="4" w:space="0"/>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bl>
    <w:p/>
    <w:p>
      <w:pPr>
        <w:spacing w:line="560" w:lineRule="exact"/>
        <w:ind w:firstLine="560" w:firstLineChars="200"/>
        <w:jc w:val="left"/>
        <w:rPr>
          <w:rFonts w:ascii="Times New Roman" w:eastAsia="仿宋"/>
          <w:sz w:val="28"/>
          <w:szCs w:val="28"/>
        </w:rPr>
      </w:pPr>
    </w:p>
    <w:sectPr>
      <w:headerReference r:id="rId5" w:type="first"/>
      <w:footerReference r:id="rId8" w:type="first"/>
      <w:headerReference r:id="rId3" w:type="default"/>
      <w:footerReference r:id="rId6" w:type="default"/>
      <w:headerReference r:id="rId4" w:type="even"/>
      <w:footerReference r:id="rId7" w:type="even"/>
      <w:pgSz w:w="16838" w:h="11906" w:orient="landscape"/>
      <w:pgMar w:top="1797" w:right="1440" w:bottom="179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Luxi Sans">
    <w:altName w:val="Times New Roman"/>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docVars>
    <w:docVar w:name="commondata" w:val="eyJoZGlkIjoiZTJiMWQwNTA4YzU5OTM3ZWU4MWZjZjAzM2U4NzdkM2MifQ=="/>
  </w:docVars>
  <w:rsids>
    <w:rsidRoot w:val="00876FEA"/>
    <w:rsid w:val="002A28CC"/>
    <w:rsid w:val="002B6048"/>
    <w:rsid w:val="0032763D"/>
    <w:rsid w:val="00357F82"/>
    <w:rsid w:val="0057579E"/>
    <w:rsid w:val="00617D72"/>
    <w:rsid w:val="006856C5"/>
    <w:rsid w:val="006C2188"/>
    <w:rsid w:val="00755686"/>
    <w:rsid w:val="007E045B"/>
    <w:rsid w:val="00804980"/>
    <w:rsid w:val="00816B90"/>
    <w:rsid w:val="00876FEA"/>
    <w:rsid w:val="00A20383"/>
    <w:rsid w:val="00A63645"/>
    <w:rsid w:val="00B64272"/>
    <w:rsid w:val="00C34173"/>
    <w:rsid w:val="00DF56BE"/>
    <w:rsid w:val="02F57846"/>
    <w:rsid w:val="06441746"/>
    <w:rsid w:val="07511ECA"/>
    <w:rsid w:val="0AD21E28"/>
    <w:rsid w:val="114B15FB"/>
    <w:rsid w:val="1F7B244C"/>
    <w:rsid w:val="20904969"/>
    <w:rsid w:val="2DD61508"/>
    <w:rsid w:val="2DEE7FA2"/>
    <w:rsid w:val="2E416E79"/>
    <w:rsid w:val="35696FCA"/>
    <w:rsid w:val="363B1A4D"/>
    <w:rsid w:val="40EB0922"/>
    <w:rsid w:val="424E20E8"/>
    <w:rsid w:val="48DF4009"/>
    <w:rsid w:val="53B67B66"/>
    <w:rsid w:val="5B0B9B41"/>
    <w:rsid w:val="5CC42BB4"/>
    <w:rsid w:val="630867E0"/>
    <w:rsid w:val="66634CFC"/>
    <w:rsid w:val="69BA49DB"/>
    <w:rsid w:val="6BCBF8AA"/>
    <w:rsid w:val="6D594664"/>
    <w:rsid w:val="7C2860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Times New Roman" w:eastAsia="等线" w:cs="Arial"/>
      <w:kern w:val="2"/>
      <w:sz w:val="21"/>
      <w:szCs w:val="22"/>
      <w:lang w:val="en-US" w:eastAsia="zh-CN" w:bidi="ar-SA"/>
    </w:rPr>
  </w:style>
  <w:style w:type="paragraph" w:styleId="4">
    <w:name w:val="heading 1"/>
    <w:next w:val="1"/>
    <w:qFormat/>
    <w:uiPriority w:val="0"/>
    <w:pPr>
      <w:keepNext/>
      <w:keepLines/>
      <w:spacing w:after="180" w:line="259" w:lineRule="auto"/>
      <w:ind w:left="651" w:hanging="10"/>
      <w:outlineLvl w:val="0"/>
    </w:pPr>
    <w:rPr>
      <w:rFonts w:ascii="微软雅黑" w:hAnsi="Times New Roman" w:eastAsia="微软雅黑" w:cs="微软雅黑"/>
      <w:color w:val="000000"/>
      <w:kern w:val="2"/>
      <w:sz w:val="32"/>
      <w:szCs w:val="22"/>
      <w:lang w:val="en-US" w:eastAsia="zh-CN" w:bidi="ar-SA"/>
    </w:rPr>
  </w:style>
  <w:style w:type="paragraph" w:styleId="5">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6">
    <w:name w:val="heading 3"/>
    <w:basedOn w:val="1"/>
    <w:next w:val="1"/>
    <w:qFormat/>
    <w:uiPriority w:val="0"/>
    <w:pPr>
      <w:keepNext/>
      <w:keepLines/>
      <w:spacing w:before="260" w:after="260" w:line="415" w:lineRule="auto"/>
      <w:outlineLvl w:val="2"/>
    </w:pPr>
    <w:rPr>
      <w:b/>
      <w:sz w:val="32"/>
    </w:rPr>
  </w:style>
  <w:style w:type="character" w:default="1" w:styleId="9">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w:basedOn w:val="3"/>
    <w:unhideWhenUsed/>
    <w:uiPriority w:val="99"/>
    <w:pPr>
      <w:ind w:firstLine="420" w:firstLineChars="100"/>
    </w:pPr>
  </w:style>
  <w:style w:type="paragraph" w:styleId="3">
    <w:name w:val="Body Text"/>
    <w:basedOn w:val="1"/>
    <w:uiPriority w:val="0"/>
    <w:pPr>
      <w:widowControl/>
      <w:spacing w:before="100" w:beforeAutospacing="1" w:after="100" w:afterAutospacing="1"/>
      <w:jc w:val="left"/>
    </w:pPr>
    <w:rPr>
      <w:rFonts w:ascii="宋体" w:hAnsi="宋体" w:cs="宋体"/>
      <w:kern w:val="0"/>
      <w:sz w:val="24"/>
      <w:lang w:val="en-US" w:eastAsia="zh-CN"/>
    </w:rPr>
  </w:style>
  <w:style w:type="paragraph" w:styleId="7">
    <w:name w:val="footer"/>
    <w:basedOn w:val="1"/>
    <w:link w:val="18"/>
    <w:qFormat/>
    <w:uiPriority w:val="99"/>
    <w:pPr>
      <w:tabs>
        <w:tab w:val="center" w:pos="4153"/>
        <w:tab w:val="right" w:pos="8306"/>
      </w:tabs>
      <w:snapToGrid w:val="0"/>
      <w:jc w:val="left"/>
    </w:pPr>
    <w:rPr>
      <w:sz w:val="18"/>
      <w:szCs w:val="18"/>
    </w:rPr>
  </w:style>
  <w:style w:type="paragraph" w:styleId="8">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character" w:styleId="10">
    <w:name w:val="Strong"/>
    <w:basedOn w:val="9"/>
    <w:qFormat/>
    <w:uiPriority w:val="22"/>
    <w:rPr>
      <w:b/>
    </w:rPr>
  </w:style>
  <w:style w:type="paragraph" w:styleId="12">
    <w:name w:val="List Paragraph"/>
    <w:basedOn w:val="1"/>
    <w:qFormat/>
    <w:uiPriority w:val="0"/>
    <w:pPr>
      <w:ind w:firstLine="200" w:firstLineChars="200"/>
    </w:pPr>
  </w:style>
  <w:style w:type="character" w:customStyle="1" w:styleId="13">
    <w:name w:val="fontstyle01"/>
    <w:basedOn w:val="9"/>
    <w:qFormat/>
    <w:uiPriority w:val="0"/>
    <w:rPr>
      <w:rFonts w:hint="eastAsia" w:ascii="楷体" w:hAnsi="楷体" w:eastAsia="楷体"/>
      <w:color w:val="000000"/>
      <w:sz w:val="28"/>
      <w:szCs w:val="28"/>
    </w:rPr>
  </w:style>
  <w:style w:type="character" w:customStyle="1" w:styleId="14">
    <w:name w:val="fontstyle21"/>
    <w:basedOn w:val="9"/>
    <w:qFormat/>
    <w:uiPriority w:val="0"/>
    <w:rPr>
      <w:rFonts w:hint="default" w:ascii="Times New Roman" w:hAnsi="Times New Roman" w:cs="Times New Roman"/>
      <w:color w:val="000000"/>
      <w:sz w:val="28"/>
      <w:szCs w:val="28"/>
    </w:rPr>
  </w:style>
  <w:style w:type="character" w:customStyle="1" w:styleId="15">
    <w:name w:val="fontstyle31"/>
    <w:basedOn w:val="9"/>
    <w:qFormat/>
    <w:uiPriority w:val="0"/>
    <w:rPr>
      <w:rFonts w:hint="eastAsia" w:ascii="仿宋" w:hAnsi="仿宋" w:eastAsia="仿宋"/>
      <w:color w:val="000000"/>
      <w:sz w:val="28"/>
      <w:szCs w:val="28"/>
    </w:rPr>
  </w:style>
  <w:style w:type="paragraph" w:customStyle="1" w:styleId="16">
    <w:name w:val="无间隔1"/>
    <w:qFormat/>
    <w:uiPriority w:val="99"/>
    <w:pPr>
      <w:ind w:firstLine="200" w:firstLineChars="200"/>
    </w:pPr>
    <w:rPr>
      <w:rFonts w:ascii="Times New Roman" w:hAnsi="Times New Roman" w:eastAsia="仿宋_GB2312" w:cs="Times New Roman"/>
      <w:sz w:val="30"/>
      <w:szCs w:val="22"/>
      <w:lang w:val="en-US" w:eastAsia="zh-CN" w:bidi="ar-SA"/>
    </w:rPr>
  </w:style>
  <w:style w:type="character" w:customStyle="1" w:styleId="17">
    <w:name w:val="页眉 Char"/>
    <w:basedOn w:val="9"/>
    <w:link w:val="8"/>
    <w:qFormat/>
    <w:uiPriority w:val="99"/>
    <w:rPr>
      <w:rFonts w:ascii="等线" w:eastAsia="等线" w:cs="Arial"/>
      <w:kern w:val="2"/>
      <w:sz w:val="18"/>
      <w:szCs w:val="18"/>
    </w:rPr>
  </w:style>
  <w:style w:type="character" w:customStyle="1" w:styleId="18">
    <w:name w:val="页脚 Char"/>
    <w:basedOn w:val="9"/>
    <w:link w:val="7"/>
    <w:uiPriority w:val="99"/>
    <w:rPr>
      <w:rFonts w:ascii="等线" w:eastAsia="等线" w:cs="Arial"/>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Win10NeT.COM</Company>
  <Pages>14</Pages>
  <Words>4775</Words>
  <Characters>5187</Characters>
  <Lines>54</Lines>
  <Paragraphs>15</Paragraphs>
  <TotalTime>51</TotalTime>
  <ScaleCrop>false</ScaleCrop>
  <LinksUpToDate>false</LinksUpToDate>
  <CharactersWithSpaces>5233</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2020-08-10T15:28:00Z</dcterms:created>
  <dc:creator>q1385</dc:creator>
  <cp:lastModifiedBy>Administrator</cp:lastModifiedBy>
  <cp:lastPrinted>2024-06-25T16:32:00Z</cp:lastPrinted>
  <dcterms:modified xsi:type="dcterms:W3CDTF">2026-06-30T02:25:25Z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y fmtid="{D5CDD505-2E9C-101B-9397-08002B2CF9AE}" pid="3" name="ICV">
    <vt:lpwstr>DF4F713C3CA4415992C4577B8FB51885_13</vt:lpwstr>
  </property>
  <property fmtid="{D5CDD505-2E9C-101B-9397-08002B2CF9AE}" pid="4" name="KSOTemplateDocerSaveRecord">
    <vt:lpwstr>eyJoZGlkIjoiZTJiMWQwNTA4YzU5OTM3ZWU4MWZjZjAzM2U4NzdkM2MiLCJ1c2VySWQiOiI0NDk4NDYzODAifQ==</vt:lpwstr>
  </property>
</Properties>
</file>