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D863FD">
      <w:pPr>
        <w:widowControl/>
        <w:jc w:val="left"/>
        <w:rPr>
          <w:rFonts w:eastAsia="黑体"/>
          <w:color w:val="000000"/>
          <w:kern w:val="0"/>
          <w:sz w:val="32"/>
          <w:szCs w:val="32"/>
        </w:rPr>
      </w:pPr>
    </w:p>
    <w:p w14:paraId="7007569A">
      <w:pPr>
        <w:widowControl/>
        <w:spacing w:line="560" w:lineRule="exact"/>
        <w:jc w:val="center"/>
        <w:rPr>
          <w:rFonts w:hint="eastAsia" w:eastAsia="方正小标宋简体"/>
          <w:sz w:val="36"/>
          <w:szCs w:val="36"/>
          <w:lang w:val="en-US" w:eastAsia="zh-CN"/>
        </w:rPr>
      </w:pPr>
      <w:r>
        <w:rPr>
          <w:rFonts w:eastAsia="方正小标宋简体"/>
          <w:sz w:val="36"/>
          <w:szCs w:val="36"/>
        </w:rPr>
        <w:t>202</w:t>
      </w:r>
      <w:r>
        <w:rPr>
          <w:rFonts w:hint="eastAsia" w:eastAsia="方正小标宋简体"/>
          <w:sz w:val="36"/>
          <w:szCs w:val="36"/>
          <w:lang w:val="en-US" w:eastAsia="zh-CN"/>
        </w:rPr>
        <w:t>5</w:t>
      </w:r>
      <w:r>
        <w:rPr>
          <w:rFonts w:eastAsia="方正小标宋简体"/>
          <w:sz w:val="36"/>
          <w:szCs w:val="36"/>
        </w:rPr>
        <w:t>年度</w:t>
      </w:r>
      <w:r>
        <w:rPr>
          <w:rFonts w:hint="eastAsia" w:eastAsia="方正小标宋简体"/>
          <w:sz w:val="36"/>
          <w:szCs w:val="36"/>
          <w:lang w:val="en-US" w:eastAsia="zh-CN"/>
        </w:rPr>
        <w:t>南京市农村合作经济经营管理站</w:t>
      </w:r>
    </w:p>
    <w:p w14:paraId="28E823B9">
      <w:pPr>
        <w:widowControl/>
        <w:spacing w:line="560" w:lineRule="exact"/>
        <w:jc w:val="center"/>
        <w:rPr>
          <w:rFonts w:eastAsia="方正小标宋简体"/>
          <w:color w:val="000000"/>
          <w:kern w:val="0"/>
          <w:sz w:val="36"/>
          <w:szCs w:val="36"/>
        </w:rPr>
      </w:pPr>
      <w:r>
        <w:rPr>
          <w:rFonts w:eastAsia="方正小标宋简体"/>
          <w:sz w:val="36"/>
          <w:szCs w:val="36"/>
        </w:rPr>
        <w:t>部门整体绩效评价报告</w:t>
      </w:r>
    </w:p>
    <w:p w14:paraId="6F717D4F">
      <w:pPr>
        <w:widowControl/>
        <w:spacing w:line="520" w:lineRule="exact"/>
        <w:jc w:val="both"/>
        <w:rPr>
          <w:rFonts w:hint="eastAsia" w:eastAsia="仿宋"/>
          <w:color w:val="000000"/>
          <w:kern w:val="0"/>
          <w:sz w:val="32"/>
          <w:szCs w:val="32"/>
        </w:rPr>
      </w:pPr>
    </w:p>
    <w:p w14:paraId="3DE590D5">
      <w:pPr>
        <w:widowControl/>
        <w:spacing w:line="520" w:lineRule="exact"/>
        <w:ind w:firstLine="640" w:firstLineChars="200"/>
        <w:jc w:val="left"/>
        <w:rPr>
          <w:rFonts w:eastAsia="黑体"/>
          <w:color w:val="000000"/>
          <w:kern w:val="0"/>
          <w:sz w:val="32"/>
          <w:szCs w:val="32"/>
        </w:rPr>
      </w:pPr>
      <w:r>
        <w:rPr>
          <w:rFonts w:eastAsia="黑体"/>
          <w:color w:val="000000"/>
          <w:kern w:val="0"/>
          <w:sz w:val="32"/>
          <w:szCs w:val="32"/>
        </w:rPr>
        <w:t>一、单位概况</w:t>
      </w:r>
    </w:p>
    <w:p w14:paraId="60823FDC">
      <w:pPr>
        <w:spacing w:line="520" w:lineRule="exact"/>
        <w:ind w:firstLine="640" w:firstLineChars="200"/>
        <w:rPr>
          <w:rFonts w:eastAsia="仿宋"/>
          <w:sz w:val="32"/>
          <w:szCs w:val="32"/>
        </w:rPr>
      </w:pPr>
      <w:r>
        <w:rPr>
          <w:rFonts w:eastAsia="仿宋"/>
          <w:color w:val="000000"/>
          <w:kern w:val="0"/>
          <w:sz w:val="32"/>
          <w:szCs w:val="32"/>
        </w:rPr>
        <w:t>（一）单位</w:t>
      </w:r>
      <w:r>
        <w:rPr>
          <w:rFonts w:eastAsia="仿宋"/>
          <w:sz w:val="32"/>
          <w:szCs w:val="32"/>
        </w:rPr>
        <w:t>基本情况</w:t>
      </w:r>
    </w:p>
    <w:p w14:paraId="00223C5A">
      <w:pPr>
        <w:widowControl/>
        <w:spacing w:line="520" w:lineRule="exact"/>
        <w:ind w:firstLine="640" w:firstLineChars="200"/>
        <w:jc w:val="left"/>
        <w:rPr>
          <w:rFonts w:hint="eastAsia" w:eastAsia="仿宋"/>
          <w:color w:val="000000"/>
          <w:kern w:val="0"/>
          <w:sz w:val="32"/>
          <w:szCs w:val="32"/>
        </w:rPr>
      </w:pPr>
      <w:r>
        <w:rPr>
          <w:rFonts w:hint="eastAsia" w:eastAsia="仿宋"/>
          <w:color w:val="000000"/>
          <w:kern w:val="0"/>
          <w:sz w:val="32"/>
          <w:szCs w:val="32"/>
          <w:lang w:val="en-US" w:eastAsia="zh-CN"/>
        </w:rPr>
        <w:t>1</w:t>
      </w:r>
      <w:r>
        <w:rPr>
          <w:rFonts w:hint="eastAsia" w:eastAsia="仿宋"/>
          <w:color w:val="000000"/>
          <w:kern w:val="0"/>
          <w:sz w:val="32"/>
          <w:szCs w:val="32"/>
        </w:rPr>
        <w:t>．主要职能：</w:t>
      </w:r>
    </w:p>
    <w:p w14:paraId="052E7858">
      <w:pPr>
        <w:widowControl/>
        <w:spacing w:line="520" w:lineRule="exact"/>
        <w:ind w:firstLine="640" w:firstLineChars="200"/>
        <w:jc w:val="left"/>
        <w:rPr>
          <w:rFonts w:hint="eastAsia" w:eastAsia="仿宋"/>
          <w:color w:val="000000"/>
          <w:kern w:val="0"/>
          <w:sz w:val="32"/>
          <w:szCs w:val="32"/>
        </w:rPr>
      </w:pPr>
      <w:r>
        <w:rPr>
          <w:rFonts w:hint="eastAsia" w:eastAsia="仿宋"/>
          <w:color w:val="000000"/>
          <w:kern w:val="0"/>
          <w:sz w:val="32"/>
          <w:szCs w:val="32"/>
        </w:rPr>
        <w:t>南京市农村合作经济经营管理站，成立于1984年，隶属于南京市农业农村局，直属事业单位，实行全额预算管理，执行《政府会计制度》并独立核算。主要职责：贯彻国家和省有关农村集体财务和资产管理方针、政策，指导全市农村集体财务、资产、合同的管理，组织村级财务内部审计和监督检查工作；负责农经系统人员培训工作；推进村级会计核算、财务公开和民主理财工作；配合纪检监察部门做好农村基层党风廉政建设工作；完成市农业农村局交办的其他任务。</w:t>
      </w:r>
    </w:p>
    <w:p w14:paraId="00546323">
      <w:pPr>
        <w:widowControl/>
        <w:spacing w:line="520" w:lineRule="exact"/>
        <w:ind w:firstLine="640" w:firstLineChars="200"/>
        <w:jc w:val="left"/>
        <w:rPr>
          <w:rFonts w:hint="eastAsia" w:eastAsia="仿宋"/>
          <w:color w:val="000000"/>
          <w:kern w:val="0"/>
          <w:sz w:val="32"/>
          <w:szCs w:val="32"/>
        </w:rPr>
      </w:pPr>
      <w:r>
        <w:rPr>
          <w:rFonts w:hint="eastAsia" w:eastAsia="仿宋"/>
          <w:color w:val="000000"/>
          <w:kern w:val="0"/>
          <w:sz w:val="32"/>
          <w:szCs w:val="32"/>
        </w:rPr>
        <w:t>2．内设机构：</w:t>
      </w:r>
    </w:p>
    <w:p w14:paraId="3169ED0C">
      <w:pPr>
        <w:widowControl/>
        <w:spacing w:line="520" w:lineRule="exact"/>
        <w:ind w:firstLine="640" w:firstLineChars="200"/>
        <w:jc w:val="left"/>
        <w:rPr>
          <w:rFonts w:hint="eastAsia" w:eastAsia="仿宋"/>
          <w:color w:val="000000"/>
          <w:kern w:val="0"/>
          <w:sz w:val="32"/>
          <w:szCs w:val="32"/>
        </w:rPr>
      </w:pPr>
      <w:r>
        <w:rPr>
          <w:rFonts w:hint="eastAsia" w:eastAsia="仿宋"/>
          <w:color w:val="000000"/>
          <w:kern w:val="0"/>
          <w:sz w:val="32"/>
          <w:szCs w:val="32"/>
        </w:rPr>
        <w:t>本单位内设资产财务科、监督审计科以及办公室三个科室。</w:t>
      </w:r>
    </w:p>
    <w:p w14:paraId="10056FFF">
      <w:pPr>
        <w:widowControl/>
        <w:spacing w:line="520" w:lineRule="exact"/>
        <w:ind w:firstLine="640" w:firstLineChars="200"/>
        <w:jc w:val="left"/>
        <w:rPr>
          <w:rFonts w:hint="eastAsia" w:eastAsia="仿宋"/>
          <w:color w:val="000000"/>
          <w:kern w:val="0"/>
          <w:sz w:val="32"/>
          <w:szCs w:val="32"/>
        </w:rPr>
      </w:pPr>
      <w:r>
        <w:rPr>
          <w:rFonts w:hint="eastAsia" w:eastAsia="仿宋"/>
          <w:color w:val="000000"/>
          <w:kern w:val="0"/>
          <w:sz w:val="32"/>
          <w:szCs w:val="32"/>
          <w:lang w:val="en-US" w:eastAsia="zh-CN"/>
        </w:rPr>
        <w:t>3</w:t>
      </w:r>
      <w:r>
        <w:rPr>
          <w:rFonts w:hint="eastAsia" w:eastAsia="仿宋"/>
          <w:color w:val="000000"/>
          <w:kern w:val="0"/>
          <w:sz w:val="32"/>
          <w:szCs w:val="32"/>
        </w:rPr>
        <w:t>．</w:t>
      </w:r>
      <w:r>
        <w:rPr>
          <w:rFonts w:hint="eastAsia" w:eastAsia="仿宋"/>
          <w:color w:val="000000"/>
          <w:kern w:val="0"/>
          <w:sz w:val="32"/>
          <w:szCs w:val="32"/>
          <w:lang w:val="en-US" w:eastAsia="zh-CN"/>
        </w:rPr>
        <w:t>人员配置</w:t>
      </w:r>
      <w:r>
        <w:rPr>
          <w:rFonts w:hint="eastAsia" w:eastAsia="仿宋"/>
          <w:color w:val="000000"/>
          <w:kern w:val="0"/>
          <w:sz w:val="32"/>
          <w:szCs w:val="32"/>
        </w:rPr>
        <w:t>：</w:t>
      </w:r>
    </w:p>
    <w:p w14:paraId="7B60775F">
      <w:pPr>
        <w:widowControl/>
        <w:spacing w:line="520" w:lineRule="exact"/>
        <w:ind w:firstLine="640" w:firstLineChars="200"/>
        <w:jc w:val="left"/>
        <w:rPr>
          <w:rFonts w:hint="eastAsia" w:eastAsia="仿宋"/>
          <w:color w:val="000000"/>
          <w:kern w:val="0"/>
          <w:sz w:val="32"/>
          <w:szCs w:val="32"/>
        </w:rPr>
      </w:pPr>
      <w:r>
        <w:rPr>
          <w:rFonts w:hint="eastAsia" w:eastAsia="仿宋"/>
          <w:color w:val="000000"/>
          <w:kern w:val="0"/>
          <w:sz w:val="32"/>
          <w:szCs w:val="32"/>
        </w:rPr>
        <w:t>根据市编办《关于清理规范南京市委农村工作委员会所属事业单位的通知》（宁编办字〔2013〕118号）规定，我站为正处级全额拨款事业单位，核定编制15名，领导职数一正二副。截至202</w:t>
      </w:r>
      <w:r>
        <w:rPr>
          <w:rFonts w:hint="eastAsia" w:eastAsia="仿宋"/>
          <w:color w:val="000000"/>
          <w:kern w:val="0"/>
          <w:sz w:val="32"/>
          <w:szCs w:val="32"/>
          <w:lang w:val="en-US" w:eastAsia="zh-CN"/>
        </w:rPr>
        <w:t>5</w:t>
      </w:r>
      <w:r>
        <w:rPr>
          <w:rFonts w:hint="eastAsia" w:eastAsia="仿宋"/>
          <w:color w:val="000000"/>
          <w:kern w:val="0"/>
          <w:sz w:val="32"/>
          <w:szCs w:val="32"/>
        </w:rPr>
        <w:t>年底，我单位有工作人员</w:t>
      </w:r>
      <w:r>
        <w:rPr>
          <w:rFonts w:hint="eastAsia" w:eastAsia="仿宋"/>
          <w:color w:val="000000"/>
          <w:kern w:val="0"/>
          <w:sz w:val="32"/>
          <w:szCs w:val="32"/>
          <w:lang w:val="en-US" w:eastAsia="zh-CN"/>
        </w:rPr>
        <w:t>13</w:t>
      </w:r>
      <w:r>
        <w:rPr>
          <w:rFonts w:hint="eastAsia" w:eastAsia="仿宋"/>
          <w:color w:val="000000"/>
          <w:kern w:val="0"/>
          <w:sz w:val="32"/>
          <w:szCs w:val="32"/>
        </w:rPr>
        <w:t>人,退休人员</w:t>
      </w:r>
      <w:r>
        <w:rPr>
          <w:rFonts w:hint="eastAsia" w:eastAsia="仿宋"/>
          <w:color w:val="000000"/>
          <w:kern w:val="0"/>
          <w:sz w:val="32"/>
          <w:szCs w:val="32"/>
          <w:lang w:val="en-US" w:eastAsia="zh-CN"/>
        </w:rPr>
        <w:t>9</w:t>
      </w:r>
      <w:r>
        <w:rPr>
          <w:rFonts w:hint="eastAsia" w:eastAsia="仿宋"/>
          <w:color w:val="000000"/>
          <w:kern w:val="0"/>
          <w:sz w:val="32"/>
          <w:szCs w:val="32"/>
        </w:rPr>
        <w:t>人。</w:t>
      </w:r>
    </w:p>
    <w:p w14:paraId="320130FA">
      <w:pPr>
        <w:widowControl/>
        <w:spacing w:line="520" w:lineRule="exact"/>
        <w:ind w:firstLine="640" w:firstLineChars="200"/>
        <w:jc w:val="left"/>
        <w:rPr>
          <w:rFonts w:hint="eastAsia" w:eastAsia="仿宋"/>
          <w:color w:val="000000"/>
          <w:kern w:val="0"/>
          <w:sz w:val="32"/>
          <w:szCs w:val="32"/>
        </w:rPr>
      </w:pPr>
      <w:r>
        <w:rPr>
          <w:rFonts w:hint="eastAsia" w:eastAsia="仿宋"/>
          <w:color w:val="000000"/>
          <w:kern w:val="0"/>
          <w:sz w:val="32"/>
          <w:szCs w:val="32"/>
          <w:lang w:val="en-US" w:eastAsia="zh-CN"/>
        </w:rPr>
        <w:t>4</w:t>
      </w:r>
      <w:r>
        <w:rPr>
          <w:rFonts w:hint="eastAsia" w:eastAsia="仿宋"/>
          <w:color w:val="000000"/>
          <w:kern w:val="0"/>
          <w:sz w:val="32"/>
          <w:szCs w:val="32"/>
        </w:rPr>
        <w:t>．资产情况：</w:t>
      </w:r>
    </w:p>
    <w:p w14:paraId="12DF3DE1">
      <w:pPr>
        <w:widowControl/>
        <w:spacing w:line="520" w:lineRule="exact"/>
        <w:ind w:firstLine="640" w:firstLineChars="200"/>
        <w:jc w:val="left"/>
        <w:rPr>
          <w:rFonts w:hint="eastAsia" w:eastAsia="仿宋"/>
          <w:color w:val="auto"/>
          <w:kern w:val="0"/>
          <w:sz w:val="32"/>
          <w:szCs w:val="32"/>
          <w:highlight w:val="none"/>
        </w:rPr>
      </w:pPr>
      <w:r>
        <w:rPr>
          <w:rFonts w:hint="eastAsia" w:eastAsia="仿宋"/>
          <w:color w:val="000000"/>
          <w:kern w:val="0"/>
          <w:sz w:val="32"/>
          <w:szCs w:val="32"/>
        </w:rPr>
        <w:t>截止202</w:t>
      </w:r>
      <w:r>
        <w:rPr>
          <w:rFonts w:hint="eastAsia" w:eastAsia="仿宋"/>
          <w:color w:val="000000"/>
          <w:kern w:val="0"/>
          <w:sz w:val="32"/>
          <w:szCs w:val="32"/>
          <w:lang w:val="en-US" w:eastAsia="zh-CN"/>
        </w:rPr>
        <w:t>5</w:t>
      </w:r>
      <w:r>
        <w:rPr>
          <w:rFonts w:hint="eastAsia" w:eastAsia="仿宋"/>
          <w:color w:val="000000"/>
          <w:kern w:val="0"/>
          <w:sz w:val="32"/>
          <w:szCs w:val="32"/>
        </w:rPr>
        <w:t>年12月31日，本单位资产总计</w:t>
      </w:r>
      <w:r>
        <w:rPr>
          <w:rFonts w:hint="eastAsia" w:eastAsia="仿宋"/>
          <w:color w:val="000000"/>
          <w:kern w:val="0"/>
          <w:sz w:val="32"/>
          <w:szCs w:val="32"/>
          <w:lang w:val="en-US" w:eastAsia="zh-CN"/>
        </w:rPr>
        <w:t>398442.93</w:t>
      </w:r>
      <w:r>
        <w:rPr>
          <w:rFonts w:hint="eastAsia" w:eastAsia="仿宋"/>
          <w:color w:val="000000"/>
          <w:kern w:val="0"/>
          <w:sz w:val="32"/>
          <w:szCs w:val="32"/>
        </w:rPr>
        <w:t>元。其中，流动资产</w:t>
      </w:r>
      <w:r>
        <w:rPr>
          <w:rFonts w:hint="eastAsia" w:eastAsia="仿宋"/>
          <w:color w:val="000000"/>
          <w:kern w:val="0"/>
          <w:sz w:val="32"/>
          <w:szCs w:val="32"/>
          <w:lang w:val="en-US" w:eastAsia="zh-CN"/>
        </w:rPr>
        <w:t>248728.12</w:t>
      </w:r>
      <w:r>
        <w:rPr>
          <w:rFonts w:hint="eastAsia" w:eastAsia="仿宋"/>
          <w:color w:val="000000"/>
          <w:kern w:val="0"/>
          <w:sz w:val="32"/>
          <w:szCs w:val="32"/>
        </w:rPr>
        <w:t>元,占资产总额</w:t>
      </w:r>
      <w:r>
        <w:rPr>
          <w:rFonts w:hint="eastAsia" w:eastAsia="仿宋"/>
          <w:color w:val="000000"/>
          <w:kern w:val="0"/>
          <w:sz w:val="32"/>
          <w:szCs w:val="32"/>
          <w:lang w:val="en-US" w:eastAsia="zh-CN"/>
        </w:rPr>
        <w:t>62.43</w:t>
      </w:r>
      <w:r>
        <w:rPr>
          <w:rFonts w:hint="eastAsia" w:eastAsia="仿宋"/>
          <w:color w:val="000000"/>
          <w:kern w:val="0"/>
          <w:sz w:val="32"/>
          <w:szCs w:val="32"/>
        </w:rPr>
        <w:t>%；固定资产</w:t>
      </w:r>
      <w:r>
        <w:rPr>
          <w:rFonts w:hint="eastAsia" w:eastAsia="仿宋"/>
          <w:color w:val="000000"/>
          <w:kern w:val="0"/>
          <w:sz w:val="32"/>
          <w:szCs w:val="32"/>
          <w:lang w:val="en-US" w:eastAsia="zh-CN"/>
        </w:rPr>
        <w:t>149714.81</w:t>
      </w:r>
      <w:r>
        <w:rPr>
          <w:rFonts w:hint="eastAsia" w:eastAsia="仿宋"/>
          <w:color w:val="000000"/>
          <w:kern w:val="0"/>
          <w:sz w:val="32"/>
          <w:szCs w:val="32"/>
        </w:rPr>
        <w:t>元</w:t>
      </w:r>
      <w:r>
        <w:rPr>
          <w:rFonts w:hint="eastAsia" w:eastAsia="仿宋"/>
          <w:color w:val="000000"/>
          <w:kern w:val="0"/>
          <w:sz w:val="32"/>
          <w:szCs w:val="32"/>
          <w:lang w:eastAsia="zh-CN"/>
        </w:rPr>
        <w:t>，</w:t>
      </w:r>
      <w:r>
        <w:rPr>
          <w:rFonts w:hint="eastAsia" w:eastAsia="仿宋"/>
          <w:color w:val="000000"/>
          <w:kern w:val="0"/>
          <w:sz w:val="32"/>
          <w:szCs w:val="32"/>
        </w:rPr>
        <w:t>占资产总额</w:t>
      </w:r>
      <w:r>
        <w:rPr>
          <w:rFonts w:hint="eastAsia" w:eastAsia="仿宋"/>
          <w:color w:val="000000"/>
          <w:kern w:val="0"/>
          <w:sz w:val="32"/>
          <w:szCs w:val="32"/>
          <w:lang w:val="en-US" w:eastAsia="zh-CN"/>
        </w:rPr>
        <w:t>37.57</w:t>
      </w:r>
      <w:r>
        <w:rPr>
          <w:rFonts w:hint="eastAsia" w:eastAsia="仿宋"/>
          <w:color w:val="000000"/>
          <w:kern w:val="0"/>
          <w:sz w:val="32"/>
          <w:szCs w:val="32"/>
        </w:rPr>
        <w:t>%，有车辆编制数1辆，实有</w:t>
      </w:r>
      <w:r>
        <w:rPr>
          <w:rFonts w:hint="eastAsia" w:eastAsia="仿宋"/>
          <w:color w:val="000000"/>
          <w:kern w:val="0"/>
          <w:sz w:val="32"/>
          <w:szCs w:val="32"/>
          <w:highlight w:val="none"/>
        </w:rPr>
        <w:t>公车1辆。</w:t>
      </w:r>
    </w:p>
    <w:p w14:paraId="13F35328">
      <w:pPr>
        <w:widowControl/>
        <w:numPr>
          <w:ilvl w:val="0"/>
          <w:numId w:val="1"/>
        </w:numPr>
        <w:spacing w:line="520" w:lineRule="exact"/>
        <w:ind w:firstLine="640" w:firstLineChars="200"/>
        <w:jc w:val="left"/>
        <w:rPr>
          <w:rFonts w:eastAsia="仿宋"/>
          <w:color w:val="000000"/>
          <w:kern w:val="0"/>
          <w:sz w:val="32"/>
          <w:szCs w:val="32"/>
          <w:highlight w:val="none"/>
        </w:rPr>
      </w:pPr>
      <w:r>
        <w:rPr>
          <w:rFonts w:eastAsia="仿宋"/>
          <w:color w:val="000000"/>
          <w:kern w:val="0"/>
          <w:sz w:val="32"/>
          <w:szCs w:val="32"/>
          <w:highlight w:val="none"/>
        </w:rPr>
        <w:t>单位</w:t>
      </w:r>
      <w:r>
        <w:rPr>
          <w:rFonts w:hint="eastAsia" w:eastAsia="仿宋"/>
          <w:color w:val="000000"/>
          <w:kern w:val="0"/>
          <w:sz w:val="32"/>
          <w:szCs w:val="32"/>
          <w:highlight w:val="none"/>
          <w:lang w:val="en-US" w:eastAsia="zh-CN"/>
        </w:rPr>
        <w:t>资金</w:t>
      </w:r>
      <w:r>
        <w:rPr>
          <w:rFonts w:eastAsia="仿宋"/>
          <w:color w:val="000000"/>
          <w:kern w:val="0"/>
          <w:sz w:val="32"/>
          <w:szCs w:val="32"/>
          <w:highlight w:val="none"/>
        </w:rPr>
        <w:t>情况</w:t>
      </w:r>
    </w:p>
    <w:p w14:paraId="4D53CB6F">
      <w:pPr>
        <w:widowControl/>
        <w:numPr>
          <w:ilvl w:val="0"/>
          <w:numId w:val="0"/>
        </w:numPr>
        <w:spacing w:line="520" w:lineRule="exact"/>
        <w:ind w:firstLine="640" w:firstLineChars="200"/>
        <w:jc w:val="left"/>
        <w:rPr>
          <w:rFonts w:hint="default" w:eastAsia="仿宋"/>
          <w:color w:val="000000"/>
          <w:kern w:val="0"/>
          <w:sz w:val="32"/>
          <w:szCs w:val="32"/>
          <w:highlight w:val="none"/>
          <w:lang w:val="en-US" w:eastAsia="zh-CN"/>
        </w:rPr>
      </w:pPr>
      <w:r>
        <w:rPr>
          <w:rFonts w:hint="eastAsia" w:eastAsia="仿宋"/>
          <w:color w:val="000000"/>
          <w:kern w:val="0"/>
          <w:sz w:val="32"/>
          <w:szCs w:val="32"/>
          <w:lang w:val="en-US" w:eastAsia="zh-CN"/>
        </w:rPr>
        <w:t>1</w:t>
      </w:r>
      <w:r>
        <w:rPr>
          <w:rFonts w:hint="eastAsia" w:eastAsia="仿宋"/>
          <w:color w:val="000000"/>
          <w:kern w:val="0"/>
          <w:sz w:val="32"/>
          <w:szCs w:val="32"/>
        </w:rPr>
        <w:t>．</w:t>
      </w:r>
      <w:r>
        <w:rPr>
          <w:rFonts w:hint="eastAsia" w:eastAsia="仿宋"/>
          <w:color w:val="000000"/>
          <w:kern w:val="0"/>
          <w:sz w:val="32"/>
          <w:szCs w:val="32"/>
          <w:lang w:val="en-US" w:eastAsia="zh-CN"/>
        </w:rPr>
        <w:t>单位收支情况</w:t>
      </w:r>
    </w:p>
    <w:p w14:paraId="355B984A">
      <w:pPr>
        <w:widowControl/>
        <w:spacing w:line="520" w:lineRule="exact"/>
        <w:ind w:firstLine="640" w:firstLineChars="200"/>
        <w:jc w:val="both"/>
        <w:rPr>
          <w:rFonts w:hint="eastAsia" w:eastAsia="仿宋"/>
          <w:color w:val="000000"/>
          <w:kern w:val="0"/>
          <w:sz w:val="32"/>
          <w:szCs w:val="32"/>
          <w:highlight w:val="none"/>
        </w:rPr>
      </w:pPr>
      <w:r>
        <w:rPr>
          <w:rFonts w:hint="eastAsia" w:eastAsia="仿宋"/>
          <w:color w:val="000000"/>
          <w:kern w:val="0"/>
          <w:sz w:val="32"/>
          <w:szCs w:val="32"/>
          <w:highlight w:val="none"/>
        </w:rPr>
        <w:t>南京市</w:t>
      </w:r>
      <w:r>
        <w:rPr>
          <w:rFonts w:hint="eastAsia" w:eastAsia="仿宋"/>
          <w:color w:val="000000"/>
          <w:kern w:val="0"/>
          <w:sz w:val="32"/>
          <w:szCs w:val="32"/>
          <w:highlight w:val="none"/>
          <w:lang w:val="en-US" w:eastAsia="zh-CN"/>
        </w:rPr>
        <w:t>农村合作经济经营管理站</w:t>
      </w:r>
      <w:r>
        <w:rPr>
          <w:rFonts w:hint="eastAsia" w:eastAsia="仿宋"/>
          <w:color w:val="000000"/>
          <w:kern w:val="0"/>
          <w:sz w:val="32"/>
          <w:szCs w:val="32"/>
          <w:highlight w:val="none"/>
        </w:rPr>
        <w:t>2025 年预算安排</w:t>
      </w:r>
      <w:r>
        <w:rPr>
          <w:rFonts w:hint="eastAsia" w:eastAsia="仿宋"/>
          <w:color w:val="000000"/>
          <w:kern w:val="0"/>
          <w:sz w:val="32"/>
          <w:szCs w:val="32"/>
          <w:highlight w:val="none"/>
          <w:lang w:val="en-US" w:eastAsia="zh-CN"/>
        </w:rPr>
        <w:t>4833100</w:t>
      </w:r>
      <w:r>
        <w:rPr>
          <w:rFonts w:hint="eastAsia" w:eastAsia="仿宋"/>
          <w:color w:val="000000"/>
          <w:kern w:val="0"/>
          <w:sz w:val="32"/>
          <w:szCs w:val="32"/>
          <w:highlight w:val="none"/>
        </w:rPr>
        <w:t>元，其中：基本支出</w:t>
      </w:r>
      <w:r>
        <w:rPr>
          <w:rFonts w:hint="eastAsia" w:eastAsia="仿宋"/>
          <w:color w:val="000000"/>
          <w:kern w:val="0"/>
          <w:sz w:val="32"/>
          <w:szCs w:val="32"/>
          <w:highlight w:val="none"/>
          <w:lang w:val="en-US" w:eastAsia="zh-CN"/>
        </w:rPr>
        <w:t>4776100</w:t>
      </w:r>
      <w:r>
        <w:rPr>
          <w:rFonts w:hint="eastAsia" w:eastAsia="仿宋"/>
          <w:color w:val="000000"/>
          <w:kern w:val="0"/>
          <w:sz w:val="32"/>
          <w:szCs w:val="32"/>
          <w:highlight w:val="none"/>
        </w:rPr>
        <w:t>元，项目支出</w:t>
      </w:r>
      <w:r>
        <w:rPr>
          <w:rFonts w:hint="eastAsia" w:eastAsia="仿宋"/>
          <w:color w:val="000000"/>
          <w:kern w:val="0"/>
          <w:sz w:val="32"/>
          <w:szCs w:val="32"/>
          <w:highlight w:val="none"/>
          <w:lang w:val="en-US" w:eastAsia="zh-CN"/>
        </w:rPr>
        <w:t>57000</w:t>
      </w:r>
      <w:r>
        <w:rPr>
          <w:rFonts w:hint="eastAsia" w:eastAsia="仿宋"/>
          <w:color w:val="000000"/>
          <w:kern w:val="0"/>
          <w:sz w:val="32"/>
          <w:szCs w:val="32"/>
          <w:highlight w:val="none"/>
        </w:rPr>
        <w:t>元。调整后预算</w:t>
      </w:r>
      <w:r>
        <w:rPr>
          <w:rFonts w:hint="eastAsia" w:eastAsia="仿宋"/>
          <w:color w:val="000000"/>
          <w:kern w:val="0"/>
          <w:sz w:val="32"/>
          <w:szCs w:val="32"/>
          <w:highlight w:val="none"/>
          <w:lang w:val="en-US" w:eastAsia="zh-CN"/>
        </w:rPr>
        <w:t>5872800</w:t>
      </w:r>
      <w:r>
        <w:rPr>
          <w:rFonts w:hint="eastAsia" w:eastAsia="仿宋"/>
          <w:color w:val="000000"/>
          <w:kern w:val="0"/>
          <w:sz w:val="32"/>
          <w:szCs w:val="32"/>
          <w:highlight w:val="none"/>
        </w:rPr>
        <w:t>元，其中：基本支出</w:t>
      </w:r>
      <w:r>
        <w:rPr>
          <w:rFonts w:hint="eastAsia" w:eastAsia="仿宋"/>
          <w:color w:val="000000"/>
          <w:kern w:val="0"/>
          <w:sz w:val="32"/>
          <w:szCs w:val="32"/>
          <w:highlight w:val="none"/>
          <w:lang w:val="en-US" w:eastAsia="zh-CN"/>
        </w:rPr>
        <w:t>5355800</w:t>
      </w:r>
      <w:r>
        <w:rPr>
          <w:rFonts w:hint="eastAsia" w:eastAsia="仿宋"/>
          <w:color w:val="000000"/>
          <w:kern w:val="0"/>
          <w:sz w:val="32"/>
          <w:szCs w:val="32"/>
          <w:highlight w:val="none"/>
        </w:rPr>
        <w:t>元，调增</w:t>
      </w:r>
      <w:r>
        <w:rPr>
          <w:rFonts w:hint="eastAsia" w:eastAsia="仿宋"/>
          <w:color w:val="000000"/>
          <w:kern w:val="0"/>
          <w:sz w:val="32"/>
          <w:szCs w:val="32"/>
          <w:highlight w:val="none"/>
          <w:lang w:val="en-US" w:eastAsia="zh-CN"/>
        </w:rPr>
        <w:t>579700</w:t>
      </w:r>
      <w:r>
        <w:rPr>
          <w:rFonts w:hint="eastAsia" w:eastAsia="仿宋"/>
          <w:color w:val="000000"/>
          <w:kern w:val="0"/>
          <w:sz w:val="32"/>
          <w:szCs w:val="32"/>
          <w:highlight w:val="none"/>
        </w:rPr>
        <w:t>元，主要原因是</w:t>
      </w:r>
      <w:r>
        <w:rPr>
          <w:rFonts w:hint="eastAsia" w:eastAsia="仿宋"/>
          <w:color w:val="000000"/>
          <w:kern w:val="0"/>
          <w:sz w:val="32"/>
          <w:szCs w:val="32"/>
          <w:highlight w:val="none"/>
          <w:lang w:val="en-US" w:eastAsia="zh-CN"/>
        </w:rPr>
        <w:t>增人增资</w:t>
      </w:r>
      <w:r>
        <w:rPr>
          <w:rFonts w:hint="eastAsia" w:eastAsia="仿宋"/>
          <w:color w:val="000000"/>
          <w:kern w:val="0"/>
          <w:sz w:val="32"/>
          <w:szCs w:val="32"/>
          <w:highlight w:val="none"/>
        </w:rPr>
        <w:t>；项目支出</w:t>
      </w:r>
      <w:r>
        <w:rPr>
          <w:rFonts w:hint="eastAsia" w:eastAsia="仿宋"/>
          <w:color w:val="000000"/>
          <w:kern w:val="0"/>
          <w:sz w:val="32"/>
          <w:szCs w:val="32"/>
          <w:highlight w:val="none"/>
          <w:lang w:val="en-US" w:eastAsia="zh-CN"/>
        </w:rPr>
        <w:t>517000</w:t>
      </w:r>
      <w:r>
        <w:rPr>
          <w:rFonts w:hint="eastAsia" w:eastAsia="仿宋"/>
          <w:color w:val="000000"/>
          <w:kern w:val="0"/>
          <w:sz w:val="32"/>
          <w:szCs w:val="32"/>
          <w:highlight w:val="none"/>
        </w:rPr>
        <w:t>元，净调</w:t>
      </w:r>
      <w:r>
        <w:rPr>
          <w:rFonts w:hint="eastAsia" w:eastAsia="仿宋"/>
          <w:color w:val="000000"/>
          <w:kern w:val="0"/>
          <w:sz w:val="32"/>
          <w:szCs w:val="32"/>
          <w:highlight w:val="none"/>
          <w:lang w:val="en-US" w:eastAsia="zh-CN"/>
        </w:rPr>
        <w:t>增460000</w:t>
      </w:r>
      <w:r>
        <w:rPr>
          <w:rFonts w:hint="eastAsia" w:eastAsia="仿宋"/>
          <w:color w:val="000000"/>
          <w:kern w:val="0"/>
          <w:sz w:val="32"/>
          <w:szCs w:val="32"/>
          <w:highlight w:val="none"/>
        </w:rPr>
        <w:t>元，主要原因是</w:t>
      </w:r>
      <w:r>
        <w:rPr>
          <w:rFonts w:hint="eastAsia" w:eastAsia="仿宋"/>
          <w:color w:val="000000"/>
          <w:kern w:val="0"/>
          <w:sz w:val="32"/>
          <w:szCs w:val="32"/>
          <w:highlight w:val="none"/>
          <w:lang w:val="en-US" w:eastAsia="zh-CN"/>
        </w:rPr>
        <w:t>2025年初下达市级专项资金，该资金不纳入部门年初预算</w:t>
      </w:r>
      <w:r>
        <w:rPr>
          <w:rFonts w:hint="eastAsia" w:eastAsia="仿宋"/>
          <w:color w:val="000000"/>
          <w:kern w:val="0"/>
          <w:sz w:val="32"/>
          <w:szCs w:val="32"/>
          <w:highlight w:val="none"/>
        </w:rPr>
        <w:t>。</w:t>
      </w:r>
    </w:p>
    <w:p w14:paraId="4FFAB1FD">
      <w:pPr>
        <w:widowControl/>
        <w:spacing w:line="520" w:lineRule="exact"/>
        <w:ind w:firstLine="640" w:firstLineChars="200"/>
        <w:jc w:val="both"/>
        <w:rPr>
          <w:rFonts w:hint="eastAsia" w:eastAsia="仿宋"/>
          <w:color w:val="000000"/>
          <w:kern w:val="0"/>
          <w:sz w:val="32"/>
          <w:szCs w:val="32"/>
          <w:highlight w:val="none"/>
        </w:rPr>
      </w:pPr>
      <w:r>
        <w:rPr>
          <w:rFonts w:hint="eastAsia" w:eastAsia="仿宋"/>
          <w:color w:val="000000"/>
          <w:kern w:val="0"/>
          <w:sz w:val="32"/>
          <w:szCs w:val="32"/>
          <w:highlight w:val="none"/>
        </w:rPr>
        <w:t>2025年南京市</w:t>
      </w:r>
      <w:r>
        <w:rPr>
          <w:rFonts w:hint="eastAsia" w:eastAsia="仿宋"/>
          <w:color w:val="000000"/>
          <w:kern w:val="0"/>
          <w:sz w:val="32"/>
          <w:szCs w:val="32"/>
          <w:highlight w:val="none"/>
          <w:lang w:val="en-US" w:eastAsia="zh-CN"/>
        </w:rPr>
        <w:t>农村合作经济经营管理站</w:t>
      </w:r>
      <w:r>
        <w:rPr>
          <w:rFonts w:hint="eastAsia" w:eastAsia="仿宋"/>
          <w:color w:val="000000"/>
          <w:kern w:val="0"/>
          <w:sz w:val="32"/>
          <w:szCs w:val="32"/>
          <w:highlight w:val="none"/>
        </w:rPr>
        <w:t>实际支出</w:t>
      </w:r>
      <w:r>
        <w:rPr>
          <w:rFonts w:hint="eastAsia" w:eastAsia="仿宋"/>
          <w:color w:val="000000"/>
          <w:kern w:val="0"/>
          <w:sz w:val="32"/>
          <w:szCs w:val="32"/>
          <w:highlight w:val="none"/>
          <w:lang w:val="en-US" w:eastAsia="zh-CN"/>
        </w:rPr>
        <w:t>5326185.08</w:t>
      </w:r>
      <w:r>
        <w:rPr>
          <w:rFonts w:hint="eastAsia" w:eastAsia="仿宋"/>
          <w:color w:val="000000"/>
          <w:kern w:val="0"/>
          <w:sz w:val="32"/>
          <w:szCs w:val="32"/>
          <w:highlight w:val="none"/>
        </w:rPr>
        <w:t>元，预算执行率</w:t>
      </w:r>
      <w:r>
        <w:rPr>
          <w:rFonts w:hint="eastAsia" w:eastAsia="仿宋"/>
          <w:color w:val="000000"/>
          <w:kern w:val="0"/>
          <w:sz w:val="32"/>
          <w:szCs w:val="32"/>
          <w:highlight w:val="none"/>
          <w:lang w:val="en-US" w:eastAsia="zh-CN"/>
        </w:rPr>
        <w:t>90.69</w:t>
      </w:r>
      <w:r>
        <w:rPr>
          <w:rFonts w:hint="eastAsia" w:eastAsia="仿宋"/>
          <w:color w:val="000000"/>
          <w:kern w:val="0"/>
          <w:sz w:val="32"/>
          <w:szCs w:val="32"/>
          <w:highlight w:val="none"/>
        </w:rPr>
        <w:t>%。其中：基本支出</w:t>
      </w:r>
      <w:r>
        <w:rPr>
          <w:rFonts w:hint="eastAsia" w:eastAsia="仿宋"/>
          <w:color w:val="000000"/>
          <w:kern w:val="0"/>
          <w:sz w:val="32"/>
          <w:szCs w:val="32"/>
          <w:highlight w:val="none"/>
          <w:lang w:val="en-US" w:eastAsia="zh-CN"/>
        </w:rPr>
        <w:t>5045733.38</w:t>
      </w:r>
      <w:r>
        <w:rPr>
          <w:rFonts w:hint="eastAsia" w:eastAsia="仿宋"/>
          <w:color w:val="000000"/>
          <w:kern w:val="0"/>
          <w:sz w:val="32"/>
          <w:szCs w:val="32"/>
          <w:highlight w:val="none"/>
        </w:rPr>
        <w:t>元，预算执行率</w:t>
      </w:r>
      <w:r>
        <w:rPr>
          <w:rFonts w:hint="eastAsia" w:eastAsia="仿宋"/>
          <w:color w:val="000000"/>
          <w:kern w:val="0"/>
          <w:sz w:val="32"/>
          <w:szCs w:val="32"/>
          <w:highlight w:val="none"/>
          <w:lang w:val="en-US" w:eastAsia="zh-CN"/>
        </w:rPr>
        <w:t>94.21</w:t>
      </w:r>
      <w:r>
        <w:rPr>
          <w:rFonts w:hint="eastAsia" w:eastAsia="仿宋"/>
          <w:color w:val="000000"/>
          <w:kern w:val="0"/>
          <w:sz w:val="32"/>
          <w:szCs w:val="32"/>
          <w:highlight w:val="none"/>
        </w:rPr>
        <w:t>%；项目支出</w:t>
      </w:r>
      <w:r>
        <w:rPr>
          <w:rFonts w:hint="eastAsia" w:eastAsia="仿宋"/>
          <w:color w:val="000000"/>
          <w:kern w:val="0"/>
          <w:sz w:val="32"/>
          <w:szCs w:val="32"/>
          <w:highlight w:val="none"/>
          <w:lang w:val="en-US" w:eastAsia="zh-CN"/>
        </w:rPr>
        <w:t>280451.7</w:t>
      </w:r>
      <w:r>
        <w:rPr>
          <w:rFonts w:hint="eastAsia" w:eastAsia="仿宋"/>
          <w:color w:val="000000"/>
          <w:kern w:val="0"/>
          <w:sz w:val="32"/>
          <w:szCs w:val="32"/>
          <w:highlight w:val="none"/>
        </w:rPr>
        <w:t>元，预算执行率</w:t>
      </w:r>
      <w:r>
        <w:rPr>
          <w:rFonts w:hint="eastAsia" w:eastAsia="仿宋"/>
          <w:color w:val="000000"/>
          <w:kern w:val="0"/>
          <w:sz w:val="32"/>
          <w:szCs w:val="32"/>
          <w:highlight w:val="none"/>
          <w:lang w:val="en-US" w:eastAsia="zh-CN"/>
        </w:rPr>
        <w:t>54.25</w:t>
      </w:r>
      <w:r>
        <w:rPr>
          <w:rFonts w:hint="eastAsia" w:eastAsia="仿宋"/>
          <w:color w:val="000000"/>
          <w:kern w:val="0"/>
          <w:sz w:val="32"/>
          <w:szCs w:val="32"/>
          <w:highlight w:val="none"/>
        </w:rPr>
        <w:t>%。详情见表1。</w:t>
      </w:r>
    </w:p>
    <w:p w14:paraId="6A20BF00">
      <w:pPr>
        <w:widowControl/>
        <w:spacing w:line="520" w:lineRule="exact"/>
        <w:jc w:val="center"/>
        <w:rPr>
          <w:rFonts w:hint="eastAsia" w:eastAsia="仿宋"/>
          <w:color w:val="000000"/>
          <w:kern w:val="0"/>
          <w:sz w:val="32"/>
          <w:szCs w:val="32"/>
          <w:highlight w:val="none"/>
          <w:lang w:val="en-US" w:eastAsia="zh-CN"/>
        </w:rPr>
      </w:pPr>
      <w:r>
        <w:rPr>
          <w:rFonts w:hint="eastAsia" w:eastAsia="仿宋"/>
          <w:color w:val="000000"/>
          <w:kern w:val="0"/>
          <w:sz w:val="32"/>
          <w:szCs w:val="32"/>
          <w:highlight w:val="none"/>
          <w:lang w:val="en-US" w:eastAsia="zh-CN"/>
        </w:rPr>
        <w:t>表1  2025年市经管站部门预算安排与支出情况</w:t>
      </w:r>
    </w:p>
    <w:p w14:paraId="48E996DD">
      <w:pPr>
        <w:widowControl/>
        <w:spacing w:line="520" w:lineRule="exact"/>
        <w:ind w:firstLine="640" w:firstLineChars="200"/>
        <w:jc w:val="right"/>
        <w:rPr>
          <w:rFonts w:hint="eastAsia" w:eastAsia="仿宋"/>
          <w:color w:val="000000"/>
          <w:kern w:val="0"/>
          <w:sz w:val="32"/>
          <w:szCs w:val="32"/>
          <w:highlight w:val="none"/>
          <w:lang w:val="en-US" w:eastAsia="zh-CN"/>
        </w:rPr>
      </w:pPr>
      <w:r>
        <w:rPr>
          <w:rFonts w:hint="eastAsia" w:eastAsia="仿宋"/>
          <w:color w:val="000000"/>
          <w:kern w:val="0"/>
          <w:sz w:val="32"/>
          <w:szCs w:val="32"/>
          <w:highlight w:val="none"/>
          <w:lang w:val="en-US" w:eastAsia="zh-CN"/>
        </w:rPr>
        <w:t>单位：元</w:t>
      </w:r>
    </w:p>
    <w:p w14:paraId="574BC9F4">
      <w:pPr>
        <w:spacing w:line="53" w:lineRule="exact"/>
        <w:rPr>
          <w:highlight w:val="none"/>
        </w:rPr>
      </w:pPr>
    </w:p>
    <w:tbl>
      <w:tblPr>
        <w:tblStyle w:val="7"/>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38"/>
        <w:gridCol w:w="1714"/>
        <w:gridCol w:w="1714"/>
        <w:gridCol w:w="1753"/>
        <w:gridCol w:w="1703"/>
      </w:tblGrid>
      <w:tr w14:paraId="267A6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8" w:type="dxa"/>
            <w:vAlign w:val="center"/>
          </w:tcPr>
          <w:p w14:paraId="48BD6338">
            <w:pPr>
              <w:widowControl/>
              <w:spacing w:line="520" w:lineRule="exact"/>
              <w:jc w:val="center"/>
              <w:rPr>
                <w:rFonts w:hint="default" w:eastAsia="仿宋"/>
                <w:color w:val="000000"/>
                <w:kern w:val="0"/>
                <w:sz w:val="24"/>
                <w:szCs w:val="24"/>
                <w:highlight w:val="none"/>
                <w:vertAlign w:val="baseline"/>
                <w:lang w:val="en-US" w:eastAsia="zh-CN"/>
              </w:rPr>
            </w:pPr>
            <w:r>
              <w:rPr>
                <w:rFonts w:hint="eastAsia" w:eastAsia="仿宋"/>
                <w:color w:val="000000"/>
                <w:kern w:val="0"/>
                <w:sz w:val="24"/>
                <w:szCs w:val="24"/>
                <w:highlight w:val="none"/>
                <w:vertAlign w:val="baseline"/>
                <w:lang w:val="en-US" w:eastAsia="zh-CN"/>
              </w:rPr>
              <w:t>支出类别</w:t>
            </w:r>
          </w:p>
        </w:tc>
        <w:tc>
          <w:tcPr>
            <w:tcW w:w="1714" w:type="dxa"/>
            <w:vAlign w:val="center"/>
          </w:tcPr>
          <w:p w14:paraId="6C83F2D2">
            <w:pPr>
              <w:widowControl/>
              <w:spacing w:line="520" w:lineRule="exact"/>
              <w:jc w:val="center"/>
              <w:rPr>
                <w:rFonts w:hint="default" w:eastAsia="仿宋"/>
                <w:color w:val="000000"/>
                <w:kern w:val="0"/>
                <w:sz w:val="24"/>
                <w:szCs w:val="24"/>
                <w:highlight w:val="none"/>
                <w:vertAlign w:val="baseline"/>
                <w:lang w:val="en-US" w:eastAsia="zh-CN"/>
              </w:rPr>
            </w:pPr>
            <w:r>
              <w:rPr>
                <w:rFonts w:hint="eastAsia" w:eastAsia="仿宋"/>
                <w:color w:val="000000"/>
                <w:kern w:val="0"/>
                <w:sz w:val="24"/>
                <w:szCs w:val="24"/>
                <w:highlight w:val="none"/>
                <w:vertAlign w:val="baseline"/>
                <w:lang w:val="en-US" w:eastAsia="zh-CN"/>
              </w:rPr>
              <w:t>年初预算数</w:t>
            </w:r>
          </w:p>
        </w:tc>
        <w:tc>
          <w:tcPr>
            <w:tcW w:w="1714" w:type="dxa"/>
            <w:vAlign w:val="center"/>
          </w:tcPr>
          <w:p w14:paraId="48827576">
            <w:pPr>
              <w:widowControl/>
              <w:spacing w:line="520" w:lineRule="exact"/>
              <w:jc w:val="center"/>
              <w:rPr>
                <w:rFonts w:hint="default" w:eastAsia="仿宋"/>
                <w:color w:val="000000"/>
                <w:kern w:val="0"/>
                <w:sz w:val="24"/>
                <w:szCs w:val="24"/>
                <w:highlight w:val="none"/>
                <w:vertAlign w:val="baseline"/>
                <w:lang w:val="en-US" w:eastAsia="zh-CN"/>
              </w:rPr>
            </w:pPr>
            <w:r>
              <w:rPr>
                <w:rFonts w:hint="eastAsia" w:eastAsia="仿宋"/>
                <w:color w:val="000000"/>
                <w:kern w:val="0"/>
                <w:sz w:val="24"/>
                <w:szCs w:val="24"/>
                <w:highlight w:val="none"/>
                <w:vertAlign w:val="baseline"/>
                <w:lang w:val="en-US" w:eastAsia="zh-CN"/>
              </w:rPr>
              <w:t>调整后预算数</w:t>
            </w:r>
          </w:p>
        </w:tc>
        <w:tc>
          <w:tcPr>
            <w:tcW w:w="1753" w:type="dxa"/>
            <w:vAlign w:val="center"/>
          </w:tcPr>
          <w:p w14:paraId="31658AE9">
            <w:pPr>
              <w:widowControl/>
              <w:spacing w:line="520" w:lineRule="exact"/>
              <w:jc w:val="center"/>
              <w:rPr>
                <w:rFonts w:hint="default" w:eastAsia="仿宋"/>
                <w:color w:val="000000"/>
                <w:kern w:val="0"/>
                <w:sz w:val="24"/>
                <w:szCs w:val="24"/>
                <w:highlight w:val="none"/>
                <w:vertAlign w:val="baseline"/>
                <w:lang w:val="en-US" w:eastAsia="zh-CN"/>
              </w:rPr>
            </w:pPr>
            <w:r>
              <w:rPr>
                <w:rFonts w:hint="eastAsia" w:eastAsia="仿宋"/>
                <w:color w:val="000000"/>
                <w:kern w:val="0"/>
                <w:sz w:val="24"/>
                <w:szCs w:val="24"/>
                <w:highlight w:val="none"/>
                <w:vertAlign w:val="baseline"/>
                <w:lang w:val="en-US" w:eastAsia="zh-CN"/>
              </w:rPr>
              <w:t>实际支出数</w:t>
            </w:r>
          </w:p>
        </w:tc>
        <w:tc>
          <w:tcPr>
            <w:tcW w:w="1703" w:type="dxa"/>
            <w:vAlign w:val="center"/>
          </w:tcPr>
          <w:p w14:paraId="0697D2DC">
            <w:pPr>
              <w:widowControl/>
              <w:spacing w:line="520" w:lineRule="exact"/>
              <w:jc w:val="center"/>
              <w:rPr>
                <w:rFonts w:hint="default" w:eastAsia="仿宋"/>
                <w:color w:val="000000"/>
                <w:kern w:val="0"/>
                <w:sz w:val="24"/>
                <w:szCs w:val="24"/>
                <w:highlight w:val="none"/>
                <w:vertAlign w:val="baseline"/>
                <w:lang w:val="en-US" w:eastAsia="zh-CN"/>
              </w:rPr>
            </w:pPr>
            <w:r>
              <w:rPr>
                <w:rFonts w:hint="eastAsia" w:eastAsia="仿宋"/>
                <w:color w:val="000000"/>
                <w:kern w:val="0"/>
                <w:sz w:val="24"/>
                <w:szCs w:val="24"/>
                <w:highlight w:val="none"/>
                <w:vertAlign w:val="baseline"/>
                <w:lang w:val="en-US" w:eastAsia="zh-CN"/>
              </w:rPr>
              <w:t>预算执行率</w:t>
            </w:r>
          </w:p>
        </w:tc>
      </w:tr>
      <w:tr w14:paraId="26574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8" w:type="dxa"/>
            <w:vAlign w:val="center"/>
          </w:tcPr>
          <w:p w14:paraId="31059CD7">
            <w:pPr>
              <w:widowControl/>
              <w:spacing w:line="520" w:lineRule="exact"/>
              <w:jc w:val="center"/>
              <w:rPr>
                <w:rFonts w:hint="eastAsia" w:eastAsia="仿宋"/>
                <w:color w:val="000000"/>
                <w:kern w:val="0"/>
                <w:sz w:val="24"/>
                <w:szCs w:val="24"/>
                <w:highlight w:val="none"/>
                <w:vertAlign w:val="baseline"/>
                <w:lang w:val="en-US" w:eastAsia="zh-CN"/>
              </w:rPr>
            </w:pPr>
            <w:r>
              <w:rPr>
                <w:rFonts w:hint="eastAsia" w:eastAsia="仿宋"/>
                <w:color w:val="000000"/>
                <w:kern w:val="0"/>
                <w:sz w:val="24"/>
                <w:szCs w:val="24"/>
                <w:highlight w:val="none"/>
                <w:vertAlign w:val="baseline"/>
                <w:lang w:val="en-US" w:eastAsia="zh-CN"/>
              </w:rPr>
              <w:t>基本支出</w:t>
            </w:r>
          </w:p>
        </w:tc>
        <w:tc>
          <w:tcPr>
            <w:tcW w:w="1714" w:type="dxa"/>
            <w:vAlign w:val="center"/>
          </w:tcPr>
          <w:p w14:paraId="0B1E353E">
            <w:pPr>
              <w:widowControl/>
              <w:spacing w:line="520" w:lineRule="exact"/>
              <w:jc w:val="center"/>
              <w:rPr>
                <w:rFonts w:hint="eastAsia" w:eastAsia="仿宋"/>
                <w:color w:val="000000"/>
                <w:kern w:val="0"/>
                <w:sz w:val="24"/>
                <w:szCs w:val="24"/>
                <w:highlight w:val="none"/>
                <w:vertAlign w:val="baseline"/>
              </w:rPr>
            </w:pPr>
            <w:r>
              <w:rPr>
                <w:rFonts w:hint="eastAsia" w:eastAsia="仿宋"/>
                <w:color w:val="000000"/>
                <w:kern w:val="0"/>
                <w:sz w:val="24"/>
                <w:szCs w:val="24"/>
                <w:highlight w:val="none"/>
                <w:lang w:val="en-US" w:eastAsia="zh-CN"/>
              </w:rPr>
              <w:t>4776100</w:t>
            </w:r>
          </w:p>
        </w:tc>
        <w:tc>
          <w:tcPr>
            <w:tcW w:w="1714" w:type="dxa"/>
            <w:vAlign w:val="center"/>
          </w:tcPr>
          <w:p w14:paraId="7C4382C1">
            <w:pPr>
              <w:widowControl/>
              <w:spacing w:line="520" w:lineRule="exact"/>
              <w:jc w:val="center"/>
              <w:rPr>
                <w:rFonts w:hint="eastAsia" w:eastAsia="仿宋"/>
                <w:color w:val="000000"/>
                <w:kern w:val="0"/>
                <w:sz w:val="24"/>
                <w:szCs w:val="24"/>
                <w:highlight w:val="none"/>
                <w:vertAlign w:val="baseline"/>
              </w:rPr>
            </w:pPr>
            <w:r>
              <w:rPr>
                <w:rFonts w:hint="eastAsia" w:eastAsia="仿宋"/>
                <w:color w:val="000000"/>
                <w:kern w:val="0"/>
                <w:sz w:val="24"/>
                <w:szCs w:val="24"/>
                <w:highlight w:val="none"/>
                <w:lang w:val="en-US" w:eastAsia="zh-CN"/>
              </w:rPr>
              <w:t>5355800</w:t>
            </w:r>
          </w:p>
        </w:tc>
        <w:tc>
          <w:tcPr>
            <w:tcW w:w="1753" w:type="dxa"/>
            <w:vAlign w:val="center"/>
          </w:tcPr>
          <w:p w14:paraId="09C3D249">
            <w:pPr>
              <w:widowControl/>
              <w:spacing w:line="520" w:lineRule="exact"/>
              <w:jc w:val="center"/>
              <w:rPr>
                <w:rFonts w:hint="eastAsia" w:eastAsia="仿宋"/>
                <w:color w:val="000000"/>
                <w:kern w:val="0"/>
                <w:sz w:val="24"/>
                <w:szCs w:val="24"/>
                <w:highlight w:val="none"/>
                <w:vertAlign w:val="baseline"/>
              </w:rPr>
            </w:pPr>
            <w:r>
              <w:rPr>
                <w:rFonts w:hint="eastAsia" w:eastAsia="仿宋"/>
                <w:color w:val="000000"/>
                <w:kern w:val="0"/>
                <w:sz w:val="24"/>
                <w:szCs w:val="24"/>
                <w:highlight w:val="none"/>
                <w:lang w:val="en-US" w:eastAsia="zh-CN"/>
              </w:rPr>
              <w:t>5045733.38</w:t>
            </w:r>
          </w:p>
        </w:tc>
        <w:tc>
          <w:tcPr>
            <w:tcW w:w="1703" w:type="dxa"/>
            <w:vAlign w:val="center"/>
          </w:tcPr>
          <w:p w14:paraId="0B2038A0">
            <w:pPr>
              <w:widowControl/>
              <w:spacing w:line="520" w:lineRule="exact"/>
              <w:jc w:val="center"/>
              <w:rPr>
                <w:rFonts w:hint="eastAsia" w:eastAsia="仿宋"/>
                <w:color w:val="000000"/>
                <w:kern w:val="0"/>
                <w:sz w:val="24"/>
                <w:szCs w:val="24"/>
                <w:highlight w:val="none"/>
                <w:vertAlign w:val="baseline"/>
              </w:rPr>
            </w:pPr>
            <w:r>
              <w:rPr>
                <w:rFonts w:hint="eastAsia" w:eastAsia="仿宋"/>
                <w:color w:val="000000"/>
                <w:kern w:val="0"/>
                <w:sz w:val="24"/>
                <w:szCs w:val="24"/>
                <w:highlight w:val="none"/>
                <w:lang w:val="en-US" w:eastAsia="zh-CN"/>
              </w:rPr>
              <w:t>94.21</w:t>
            </w:r>
            <w:r>
              <w:rPr>
                <w:rFonts w:hint="eastAsia" w:eastAsia="仿宋"/>
                <w:color w:val="000000"/>
                <w:kern w:val="0"/>
                <w:sz w:val="24"/>
                <w:szCs w:val="24"/>
                <w:highlight w:val="none"/>
              </w:rPr>
              <w:t>%</w:t>
            </w:r>
          </w:p>
        </w:tc>
      </w:tr>
      <w:tr w14:paraId="068B9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8" w:type="dxa"/>
            <w:vAlign w:val="center"/>
          </w:tcPr>
          <w:p w14:paraId="4B91A256">
            <w:pPr>
              <w:widowControl/>
              <w:spacing w:line="520" w:lineRule="exact"/>
              <w:jc w:val="center"/>
              <w:rPr>
                <w:rFonts w:hint="eastAsia" w:eastAsia="仿宋"/>
                <w:color w:val="000000"/>
                <w:kern w:val="0"/>
                <w:sz w:val="24"/>
                <w:szCs w:val="24"/>
                <w:highlight w:val="none"/>
                <w:vertAlign w:val="baseline"/>
                <w:lang w:val="en-US" w:eastAsia="zh-CN"/>
              </w:rPr>
            </w:pPr>
            <w:r>
              <w:rPr>
                <w:rFonts w:hint="eastAsia" w:eastAsia="仿宋"/>
                <w:color w:val="000000"/>
                <w:kern w:val="0"/>
                <w:sz w:val="24"/>
                <w:szCs w:val="24"/>
                <w:highlight w:val="none"/>
                <w:vertAlign w:val="baseline"/>
                <w:lang w:val="en-US" w:eastAsia="zh-CN"/>
              </w:rPr>
              <w:t>项目支出</w:t>
            </w:r>
          </w:p>
        </w:tc>
        <w:tc>
          <w:tcPr>
            <w:tcW w:w="1714" w:type="dxa"/>
            <w:vAlign w:val="center"/>
          </w:tcPr>
          <w:p w14:paraId="1CAC48B8">
            <w:pPr>
              <w:widowControl/>
              <w:spacing w:line="520" w:lineRule="exact"/>
              <w:jc w:val="center"/>
              <w:rPr>
                <w:rFonts w:hint="eastAsia" w:eastAsia="仿宋"/>
                <w:color w:val="000000"/>
                <w:kern w:val="0"/>
                <w:sz w:val="24"/>
                <w:szCs w:val="24"/>
                <w:highlight w:val="none"/>
                <w:vertAlign w:val="baseline"/>
              </w:rPr>
            </w:pPr>
            <w:r>
              <w:rPr>
                <w:rFonts w:hint="eastAsia" w:eastAsia="仿宋"/>
                <w:color w:val="000000"/>
                <w:kern w:val="0"/>
                <w:sz w:val="24"/>
                <w:szCs w:val="24"/>
                <w:highlight w:val="none"/>
                <w:lang w:val="en-US" w:eastAsia="zh-CN"/>
              </w:rPr>
              <w:t>57000</w:t>
            </w:r>
          </w:p>
        </w:tc>
        <w:tc>
          <w:tcPr>
            <w:tcW w:w="1714" w:type="dxa"/>
            <w:vAlign w:val="center"/>
          </w:tcPr>
          <w:p w14:paraId="2691487B">
            <w:pPr>
              <w:widowControl/>
              <w:spacing w:line="520" w:lineRule="exact"/>
              <w:jc w:val="center"/>
              <w:rPr>
                <w:rFonts w:hint="eastAsia" w:eastAsia="仿宋"/>
                <w:color w:val="000000"/>
                <w:kern w:val="0"/>
                <w:sz w:val="24"/>
                <w:szCs w:val="24"/>
                <w:highlight w:val="none"/>
                <w:vertAlign w:val="baseline"/>
              </w:rPr>
            </w:pPr>
            <w:r>
              <w:rPr>
                <w:rFonts w:hint="eastAsia" w:eastAsia="仿宋"/>
                <w:color w:val="000000"/>
                <w:kern w:val="0"/>
                <w:sz w:val="24"/>
                <w:szCs w:val="24"/>
                <w:highlight w:val="none"/>
                <w:lang w:val="en-US" w:eastAsia="zh-CN"/>
              </w:rPr>
              <w:t>517000</w:t>
            </w:r>
          </w:p>
        </w:tc>
        <w:tc>
          <w:tcPr>
            <w:tcW w:w="1753" w:type="dxa"/>
            <w:vAlign w:val="center"/>
          </w:tcPr>
          <w:p w14:paraId="61584A5F">
            <w:pPr>
              <w:widowControl/>
              <w:spacing w:line="520" w:lineRule="exact"/>
              <w:jc w:val="center"/>
              <w:rPr>
                <w:rFonts w:hint="eastAsia" w:eastAsia="仿宋"/>
                <w:color w:val="000000"/>
                <w:kern w:val="0"/>
                <w:sz w:val="24"/>
                <w:szCs w:val="24"/>
                <w:highlight w:val="none"/>
                <w:vertAlign w:val="baseline"/>
              </w:rPr>
            </w:pPr>
            <w:r>
              <w:rPr>
                <w:rFonts w:hint="eastAsia" w:eastAsia="仿宋"/>
                <w:color w:val="000000"/>
                <w:kern w:val="0"/>
                <w:sz w:val="24"/>
                <w:szCs w:val="24"/>
                <w:highlight w:val="none"/>
                <w:lang w:val="en-US" w:eastAsia="zh-CN"/>
              </w:rPr>
              <w:t>280451.7</w:t>
            </w:r>
          </w:p>
        </w:tc>
        <w:tc>
          <w:tcPr>
            <w:tcW w:w="1703" w:type="dxa"/>
            <w:vAlign w:val="center"/>
          </w:tcPr>
          <w:p w14:paraId="2C2D2523">
            <w:pPr>
              <w:widowControl/>
              <w:spacing w:line="520" w:lineRule="exact"/>
              <w:jc w:val="center"/>
              <w:rPr>
                <w:rFonts w:hint="eastAsia" w:eastAsia="仿宋"/>
                <w:color w:val="000000"/>
                <w:kern w:val="0"/>
                <w:sz w:val="24"/>
                <w:szCs w:val="24"/>
                <w:highlight w:val="none"/>
                <w:vertAlign w:val="baseline"/>
              </w:rPr>
            </w:pPr>
            <w:r>
              <w:rPr>
                <w:rFonts w:hint="eastAsia" w:eastAsia="仿宋"/>
                <w:color w:val="000000"/>
                <w:kern w:val="0"/>
                <w:sz w:val="24"/>
                <w:szCs w:val="24"/>
                <w:highlight w:val="none"/>
                <w:lang w:val="en-US" w:eastAsia="zh-CN"/>
              </w:rPr>
              <w:t>54.25</w:t>
            </w:r>
            <w:r>
              <w:rPr>
                <w:rFonts w:hint="eastAsia" w:eastAsia="仿宋"/>
                <w:color w:val="000000"/>
                <w:kern w:val="0"/>
                <w:sz w:val="24"/>
                <w:szCs w:val="24"/>
                <w:highlight w:val="none"/>
              </w:rPr>
              <w:t>%</w:t>
            </w:r>
          </w:p>
        </w:tc>
      </w:tr>
      <w:tr w14:paraId="14805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8" w:type="dxa"/>
            <w:vAlign w:val="center"/>
          </w:tcPr>
          <w:p w14:paraId="735A401E">
            <w:pPr>
              <w:widowControl/>
              <w:spacing w:line="520" w:lineRule="exact"/>
              <w:jc w:val="center"/>
              <w:rPr>
                <w:rFonts w:hint="eastAsia" w:eastAsia="仿宋"/>
                <w:color w:val="000000"/>
                <w:kern w:val="0"/>
                <w:sz w:val="24"/>
                <w:szCs w:val="24"/>
                <w:highlight w:val="none"/>
                <w:vertAlign w:val="baseline"/>
                <w:lang w:val="en-US" w:eastAsia="zh-CN"/>
              </w:rPr>
            </w:pPr>
            <w:r>
              <w:rPr>
                <w:rFonts w:hint="eastAsia" w:eastAsia="仿宋"/>
                <w:color w:val="000000"/>
                <w:kern w:val="0"/>
                <w:sz w:val="24"/>
                <w:szCs w:val="24"/>
                <w:highlight w:val="none"/>
                <w:vertAlign w:val="baseline"/>
                <w:lang w:val="en-US" w:eastAsia="zh-CN"/>
              </w:rPr>
              <w:t>合计</w:t>
            </w:r>
          </w:p>
        </w:tc>
        <w:tc>
          <w:tcPr>
            <w:tcW w:w="1714" w:type="dxa"/>
            <w:vAlign w:val="center"/>
          </w:tcPr>
          <w:p w14:paraId="5038CB7B">
            <w:pPr>
              <w:widowControl/>
              <w:spacing w:line="520" w:lineRule="exact"/>
              <w:jc w:val="center"/>
              <w:rPr>
                <w:rFonts w:hint="eastAsia" w:eastAsia="仿宋"/>
                <w:color w:val="000000"/>
                <w:kern w:val="0"/>
                <w:sz w:val="24"/>
                <w:szCs w:val="24"/>
                <w:highlight w:val="none"/>
                <w:vertAlign w:val="baseline"/>
              </w:rPr>
            </w:pPr>
            <w:r>
              <w:rPr>
                <w:rFonts w:hint="eastAsia" w:eastAsia="仿宋"/>
                <w:color w:val="000000"/>
                <w:kern w:val="0"/>
                <w:sz w:val="24"/>
                <w:szCs w:val="24"/>
                <w:highlight w:val="none"/>
                <w:lang w:val="en-US" w:eastAsia="zh-CN"/>
              </w:rPr>
              <w:t>4833100</w:t>
            </w:r>
          </w:p>
        </w:tc>
        <w:tc>
          <w:tcPr>
            <w:tcW w:w="1714" w:type="dxa"/>
            <w:vAlign w:val="center"/>
          </w:tcPr>
          <w:p w14:paraId="0FFB1D1F">
            <w:pPr>
              <w:widowControl/>
              <w:spacing w:line="520" w:lineRule="exact"/>
              <w:jc w:val="center"/>
              <w:rPr>
                <w:rFonts w:hint="eastAsia" w:eastAsia="仿宋"/>
                <w:color w:val="000000"/>
                <w:kern w:val="0"/>
                <w:sz w:val="24"/>
                <w:szCs w:val="24"/>
                <w:highlight w:val="none"/>
                <w:vertAlign w:val="baseline"/>
              </w:rPr>
            </w:pPr>
            <w:r>
              <w:rPr>
                <w:rFonts w:hint="eastAsia" w:eastAsia="仿宋"/>
                <w:color w:val="000000"/>
                <w:kern w:val="0"/>
                <w:sz w:val="24"/>
                <w:szCs w:val="24"/>
                <w:highlight w:val="none"/>
                <w:lang w:val="en-US" w:eastAsia="zh-CN"/>
              </w:rPr>
              <w:t>5872800</w:t>
            </w:r>
          </w:p>
        </w:tc>
        <w:tc>
          <w:tcPr>
            <w:tcW w:w="1753" w:type="dxa"/>
            <w:vAlign w:val="center"/>
          </w:tcPr>
          <w:p w14:paraId="77B12783">
            <w:pPr>
              <w:widowControl/>
              <w:spacing w:line="520" w:lineRule="exact"/>
              <w:jc w:val="center"/>
              <w:rPr>
                <w:rFonts w:hint="eastAsia" w:eastAsia="仿宋"/>
                <w:color w:val="000000"/>
                <w:kern w:val="0"/>
                <w:sz w:val="24"/>
                <w:szCs w:val="24"/>
                <w:highlight w:val="none"/>
                <w:vertAlign w:val="baseline"/>
              </w:rPr>
            </w:pPr>
            <w:r>
              <w:rPr>
                <w:rFonts w:hint="eastAsia" w:eastAsia="仿宋"/>
                <w:color w:val="000000"/>
                <w:kern w:val="0"/>
                <w:sz w:val="24"/>
                <w:szCs w:val="24"/>
                <w:highlight w:val="none"/>
                <w:lang w:val="en-US" w:eastAsia="zh-CN"/>
              </w:rPr>
              <w:t>5326185.08</w:t>
            </w:r>
          </w:p>
        </w:tc>
        <w:tc>
          <w:tcPr>
            <w:tcW w:w="1703" w:type="dxa"/>
            <w:vAlign w:val="center"/>
          </w:tcPr>
          <w:p w14:paraId="4B24658C">
            <w:pPr>
              <w:widowControl/>
              <w:spacing w:line="520" w:lineRule="exact"/>
              <w:jc w:val="center"/>
              <w:rPr>
                <w:rFonts w:hint="eastAsia" w:eastAsia="仿宋"/>
                <w:color w:val="000000"/>
                <w:kern w:val="0"/>
                <w:sz w:val="24"/>
                <w:szCs w:val="24"/>
                <w:highlight w:val="none"/>
                <w:vertAlign w:val="baseline"/>
              </w:rPr>
            </w:pPr>
            <w:r>
              <w:rPr>
                <w:rFonts w:hint="eastAsia" w:eastAsia="仿宋"/>
                <w:color w:val="000000"/>
                <w:kern w:val="0"/>
                <w:sz w:val="24"/>
                <w:szCs w:val="24"/>
                <w:highlight w:val="none"/>
                <w:lang w:val="en-US" w:eastAsia="zh-CN"/>
              </w:rPr>
              <w:t>90.69</w:t>
            </w:r>
            <w:r>
              <w:rPr>
                <w:rFonts w:hint="eastAsia" w:eastAsia="仿宋"/>
                <w:color w:val="000000"/>
                <w:kern w:val="0"/>
                <w:sz w:val="24"/>
                <w:szCs w:val="24"/>
                <w:highlight w:val="none"/>
              </w:rPr>
              <w:t>%</w:t>
            </w:r>
          </w:p>
        </w:tc>
      </w:tr>
    </w:tbl>
    <w:p w14:paraId="73C63CD3">
      <w:pPr>
        <w:widowControl/>
        <w:spacing w:line="520" w:lineRule="exact"/>
        <w:ind w:firstLine="640" w:firstLineChars="200"/>
        <w:jc w:val="left"/>
        <w:rPr>
          <w:rFonts w:hint="eastAsia" w:eastAsia="仿宋"/>
          <w:color w:val="000000"/>
          <w:kern w:val="0"/>
          <w:sz w:val="32"/>
          <w:szCs w:val="32"/>
          <w:highlight w:val="none"/>
          <w:lang w:val="en-US" w:eastAsia="zh-CN"/>
        </w:rPr>
      </w:pPr>
      <w:r>
        <w:rPr>
          <w:rFonts w:hint="eastAsia" w:eastAsia="仿宋"/>
          <w:color w:val="000000"/>
          <w:kern w:val="0"/>
          <w:sz w:val="32"/>
          <w:szCs w:val="32"/>
        </w:rPr>
        <w:t>2．</w:t>
      </w:r>
      <w:r>
        <w:rPr>
          <w:rFonts w:hint="eastAsia" w:eastAsia="仿宋"/>
          <w:color w:val="000000"/>
          <w:kern w:val="0"/>
          <w:sz w:val="32"/>
          <w:szCs w:val="32"/>
          <w:highlight w:val="none"/>
          <w:lang w:val="en-US" w:eastAsia="zh-CN"/>
        </w:rPr>
        <w:t>三公经费情况</w:t>
      </w:r>
    </w:p>
    <w:p w14:paraId="7F9416B9">
      <w:pPr>
        <w:widowControl/>
        <w:spacing w:line="520" w:lineRule="exact"/>
        <w:ind w:firstLine="640" w:firstLineChars="200"/>
        <w:jc w:val="left"/>
        <w:rPr>
          <w:rFonts w:hint="default" w:eastAsia="仿宋"/>
          <w:color w:val="000000"/>
          <w:kern w:val="0"/>
          <w:sz w:val="32"/>
          <w:szCs w:val="32"/>
          <w:highlight w:val="none"/>
          <w:lang w:val="en-US" w:eastAsia="zh-CN"/>
        </w:rPr>
      </w:pPr>
      <w:r>
        <w:rPr>
          <w:rFonts w:hint="eastAsia" w:eastAsia="仿宋"/>
          <w:color w:val="000000"/>
          <w:kern w:val="0"/>
          <w:sz w:val="32"/>
          <w:szCs w:val="32"/>
          <w:highlight w:val="none"/>
          <w:lang w:val="en-US" w:eastAsia="zh-CN"/>
        </w:rPr>
        <w:t>南京市农村合作经济经营管理站2025年度无因公出国（境）费；公务用车运行维护费预算安排数22400元，预算未调整，决算支出数为22345.15元，预算执行率为99.76%；公务接待费预算安排数5000元，预算未调整，决算支出数为1724元，预算执行率为34.48%。</w:t>
      </w:r>
    </w:p>
    <w:p w14:paraId="640CEECA">
      <w:pPr>
        <w:spacing w:line="520" w:lineRule="exact"/>
        <w:ind w:firstLine="640" w:firstLineChars="200"/>
        <w:rPr>
          <w:rFonts w:eastAsia="仿宋"/>
          <w:color w:val="000000"/>
          <w:kern w:val="0"/>
          <w:sz w:val="32"/>
          <w:szCs w:val="32"/>
          <w:highlight w:val="none"/>
        </w:rPr>
      </w:pPr>
      <w:r>
        <w:rPr>
          <w:rFonts w:eastAsia="仿宋"/>
          <w:color w:val="000000"/>
          <w:kern w:val="0"/>
          <w:sz w:val="32"/>
          <w:szCs w:val="32"/>
          <w:highlight w:val="none"/>
        </w:rPr>
        <w:t>（三）单位绩效目标</w:t>
      </w:r>
    </w:p>
    <w:p w14:paraId="18B74BC2">
      <w:pPr>
        <w:widowControl/>
        <w:spacing w:line="520" w:lineRule="exact"/>
        <w:ind w:firstLine="640" w:firstLineChars="200"/>
        <w:jc w:val="both"/>
        <w:rPr>
          <w:rFonts w:hint="eastAsia" w:eastAsia="仿宋"/>
          <w:color w:val="000000"/>
          <w:kern w:val="0"/>
          <w:sz w:val="32"/>
          <w:szCs w:val="32"/>
          <w:highlight w:val="none"/>
          <w:lang w:val="en-US" w:eastAsia="zh-CN"/>
        </w:rPr>
      </w:pPr>
      <w:r>
        <w:rPr>
          <w:rFonts w:hint="eastAsia" w:eastAsia="仿宋"/>
          <w:color w:val="000000"/>
          <w:kern w:val="0"/>
          <w:sz w:val="32"/>
          <w:szCs w:val="32"/>
          <w:highlight w:val="none"/>
        </w:rPr>
        <w:t>我单位中长期目标为：</w:t>
      </w:r>
      <w:r>
        <w:rPr>
          <w:rFonts w:hint="eastAsia" w:eastAsia="仿宋"/>
          <w:color w:val="000000"/>
          <w:kern w:val="0"/>
          <w:sz w:val="32"/>
          <w:szCs w:val="32"/>
          <w:highlight w:val="none"/>
          <w:lang w:val="en-US" w:eastAsia="zh-CN"/>
        </w:rPr>
        <w:t>力争2023-2027年形成完善的农村集体三资监管体系；推进农经系统人员培训、村级会计核算、财务公开模式三位一体的发展目标。</w:t>
      </w:r>
      <w:r>
        <w:rPr>
          <w:rFonts w:hint="eastAsia" w:eastAsia="仿宋"/>
          <w:color w:val="000000"/>
          <w:kern w:val="0"/>
          <w:sz w:val="32"/>
          <w:szCs w:val="32"/>
          <w:highlight w:val="none"/>
          <w:lang w:val="en-US" w:eastAsia="zh-CN"/>
        </w:rPr>
        <w:tab/>
      </w:r>
      <w:r>
        <w:rPr>
          <w:rFonts w:hint="eastAsia" w:eastAsia="仿宋"/>
          <w:color w:val="000000"/>
          <w:kern w:val="0"/>
          <w:sz w:val="32"/>
          <w:szCs w:val="32"/>
          <w:highlight w:val="none"/>
          <w:lang w:val="en-US" w:eastAsia="zh-CN"/>
        </w:rPr>
        <w:tab/>
      </w:r>
    </w:p>
    <w:p w14:paraId="2E378790">
      <w:pPr>
        <w:widowControl/>
        <w:spacing w:line="520" w:lineRule="exact"/>
        <w:ind w:firstLine="640" w:firstLineChars="200"/>
        <w:jc w:val="left"/>
        <w:rPr>
          <w:rFonts w:hint="eastAsia" w:eastAsia="仿宋"/>
          <w:color w:val="000000"/>
          <w:kern w:val="0"/>
          <w:sz w:val="32"/>
          <w:szCs w:val="32"/>
          <w:highlight w:val="none"/>
        </w:rPr>
      </w:pPr>
      <w:r>
        <w:rPr>
          <w:rFonts w:hint="eastAsia" w:eastAsia="仿宋"/>
          <w:color w:val="000000"/>
          <w:kern w:val="0"/>
          <w:sz w:val="32"/>
          <w:szCs w:val="32"/>
          <w:highlight w:val="none"/>
        </w:rPr>
        <w:t>我单位20</w:t>
      </w:r>
      <w:r>
        <w:rPr>
          <w:rFonts w:hint="eastAsia" w:eastAsia="仿宋"/>
          <w:color w:val="000000"/>
          <w:kern w:val="0"/>
          <w:sz w:val="32"/>
          <w:szCs w:val="32"/>
          <w:highlight w:val="none"/>
          <w:lang w:val="en-US" w:eastAsia="zh-CN"/>
        </w:rPr>
        <w:t>25</w:t>
      </w:r>
      <w:r>
        <w:rPr>
          <w:rFonts w:hint="eastAsia" w:eastAsia="仿宋"/>
          <w:color w:val="000000"/>
          <w:kern w:val="0"/>
          <w:sz w:val="32"/>
          <w:szCs w:val="32"/>
          <w:highlight w:val="none"/>
        </w:rPr>
        <w:t>年年度目标为：1、开展农村财务抽审</w:t>
      </w:r>
      <w:r>
        <w:rPr>
          <w:rFonts w:hint="eastAsia" w:eastAsia="仿宋"/>
          <w:color w:val="000000"/>
          <w:kern w:val="0"/>
          <w:sz w:val="32"/>
          <w:szCs w:val="32"/>
          <w:highlight w:val="none"/>
          <w:lang w:eastAsia="zh-CN"/>
        </w:rPr>
        <w:t>。</w:t>
      </w:r>
      <w:r>
        <w:rPr>
          <w:rFonts w:hint="eastAsia" w:eastAsia="仿宋"/>
          <w:color w:val="000000"/>
          <w:kern w:val="0"/>
          <w:sz w:val="32"/>
          <w:szCs w:val="32"/>
          <w:highlight w:val="none"/>
        </w:rPr>
        <w:t>2、完善“苏智农经”平台。</w:t>
      </w:r>
    </w:p>
    <w:p w14:paraId="6A6B083F">
      <w:pPr>
        <w:widowControl/>
        <w:spacing w:line="520" w:lineRule="exact"/>
        <w:ind w:firstLine="640" w:firstLineChars="200"/>
        <w:jc w:val="left"/>
        <w:rPr>
          <w:rFonts w:eastAsia="黑体"/>
          <w:kern w:val="0"/>
          <w:sz w:val="24"/>
          <w:highlight w:val="none"/>
        </w:rPr>
      </w:pPr>
      <w:r>
        <w:rPr>
          <w:rFonts w:eastAsia="黑体"/>
          <w:color w:val="000000"/>
          <w:kern w:val="0"/>
          <w:sz w:val="32"/>
          <w:szCs w:val="32"/>
          <w:highlight w:val="none"/>
        </w:rPr>
        <w:t>二、评价结论</w:t>
      </w:r>
    </w:p>
    <w:p w14:paraId="0C5ECB37">
      <w:pPr>
        <w:widowControl/>
        <w:spacing w:line="520" w:lineRule="exact"/>
        <w:ind w:firstLine="640" w:firstLineChars="200"/>
        <w:jc w:val="left"/>
        <w:rPr>
          <w:rFonts w:hint="eastAsia" w:eastAsia="仿宋"/>
          <w:color w:val="000000"/>
          <w:kern w:val="0"/>
          <w:sz w:val="32"/>
          <w:szCs w:val="32"/>
          <w:highlight w:val="none"/>
        </w:rPr>
      </w:pPr>
      <w:r>
        <w:rPr>
          <w:rFonts w:hint="eastAsia" w:eastAsia="仿宋"/>
          <w:color w:val="000000"/>
          <w:kern w:val="0"/>
          <w:sz w:val="32"/>
          <w:szCs w:val="32"/>
          <w:highlight w:val="none"/>
        </w:rPr>
        <w:t>（一）评价对象和范围</w:t>
      </w:r>
    </w:p>
    <w:p w14:paraId="6EC3F4DF">
      <w:pPr>
        <w:widowControl/>
        <w:spacing w:line="520" w:lineRule="exact"/>
        <w:ind w:firstLine="640" w:firstLineChars="200"/>
        <w:jc w:val="left"/>
        <w:rPr>
          <w:rFonts w:hint="eastAsia" w:eastAsia="仿宋"/>
          <w:color w:val="000000"/>
          <w:kern w:val="0"/>
          <w:sz w:val="32"/>
          <w:szCs w:val="32"/>
        </w:rPr>
      </w:pPr>
      <w:r>
        <w:rPr>
          <w:rFonts w:hint="eastAsia" w:eastAsia="仿宋"/>
          <w:color w:val="000000"/>
          <w:kern w:val="0"/>
          <w:sz w:val="32"/>
          <w:szCs w:val="32"/>
          <w:highlight w:val="none"/>
        </w:rPr>
        <w:t>本次202</w:t>
      </w:r>
      <w:r>
        <w:rPr>
          <w:rFonts w:hint="eastAsia" w:eastAsia="仿宋"/>
          <w:color w:val="000000"/>
          <w:kern w:val="0"/>
          <w:sz w:val="32"/>
          <w:szCs w:val="32"/>
          <w:highlight w:val="none"/>
          <w:lang w:val="en-US" w:eastAsia="zh-CN"/>
        </w:rPr>
        <w:t>5</w:t>
      </w:r>
      <w:r>
        <w:rPr>
          <w:rFonts w:hint="eastAsia" w:eastAsia="仿宋"/>
          <w:color w:val="000000"/>
          <w:kern w:val="0"/>
          <w:sz w:val="32"/>
          <w:szCs w:val="32"/>
          <w:highlight w:val="none"/>
        </w:rPr>
        <w:t>年度单位整体绩效评价重点评价的对象是南京市农村合作经济经营管理站</w:t>
      </w:r>
      <w:r>
        <w:rPr>
          <w:rFonts w:hint="eastAsia" w:eastAsia="仿宋"/>
          <w:color w:val="000000"/>
          <w:kern w:val="0"/>
          <w:sz w:val="32"/>
          <w:szCs w:val="32"/>
          <w:highlight w:val="none"/>
          <w:lang w:val="en-US" w:eastAsia="zh-CN"/>
        </w:rPr>
        <w:t>部门整体资金4833100元</w:t>
      </w:r>
      <w:r>
        <w:rPr>
          <w:rFonts w:hint="eastAsia" w:eastAsia="仿宋"/>
          <w:color w:val="000000"/>
          <w:kern w:val="0"/>
          <w:sz w:val="32"/>
          <w:szCs w:val="32"/>
          <w:highlight w:val="none"/>
        </w:rPr>
        <w:t>，评价范围包括202</w:t>
      </w:r>
      <w:r>
        <w:rPr>
          <w:rFonts w:hint="eastAsia" w:eastAsia="仿宋"/>
          <w:color w:val="000000"/>
          <w:kern w:val="0"/>
          <w:sz w:val="32"/>
          <w:szCs w:val="32"/>
          <w:highlight w:val="none"/>
          <w:lang w:val="en-US" w:eastAsia="zh-CN"/>
        </w:rPr>
        <w:t>5</w:t>
      </w:r>
      <w:r>
        <w:rPr>
          <w:rFonts w:hint="eastAsia" w:eastAsia="仿宋"/>
          <w:color w:val="000000"/>
          <w:kern w:val="0"/>
          <w:sz w:val="32"/>
          <w:szCs w:val="32"/>
          <w:highlight w:val="none"/>
        </w:rPr>
        <w:t>年度基本支出和部门专项</w:t>
      </w:r>
      <w:r>
        <w:rPr>
          <w:rFonts w:hint="eastAsia" w:eastAsia="仿宋"/>
          <w:color w:val="000000"/>
          <w:kern w:val="0"/>
          <w:sz w:val="32"/>
          <w:szCs w:val="32"/>
        </w:rPr>
        <w:t>支出。评价时段为</w:t>
      </w:r>
      <w:r>
        <w:rPr>
          <w:rFonts w:hint="eastAsia" w:eastAsia="仿宋"/>
          <w:color w:val="000000"/>
          <w:kern w:val="0"/>
          <w:sz w:val="32"/>
          <w:szCs w:val="32"/>
          <w:lang w:val="en-US" w:eastAsia="zh-CN"/>
        </w:rPr>
        <w:t>2025</w:t>
      </w:r>
      <w:r>
        <w:rPr>
          <w:rFonts w:hint="eastAsia" w:eastAsia="仿宋"/>
          <w:color w:val="000000"/>
          <w:kern w:val="0"/>
          <w:sz w:val="32"/>
          <w:szCs w:val="32"/>
        </w:rPr>
        <w:t>年</w:t>
      </w:r>
      <w:r>
        <w:rPr>
          <w:rFonts w:hint="eastAsia" w:eastAsia="仿宋"/>
          <w:color w:val="000000"/>
          <w:kern w:val="0"/>
          <w:sz w:val="32"/>
          <w:szCs w:val="32"/>
          <w:lang w:val="en-US" w:eastAsia="zh-CN"/>
        </w:rPr>
        <w:t>1</w:t>
      </w:r>
      <w:r>
        <w:rPr>
          <w:rFonts w:hint="eastAsia" w:eastAsia="仿宋"/>
          <w:color w:val="000000"/>
          <w:kern w:val="0"/>
          <w:sz w:val="32"/>
          <w:szCs w:val="32"/>
        </w:rPr>
        <w:t>月</w:t>
      </w:r>
      <w:r>
        <w:rPr>
          <w:rFonts w:hint="eastAsia" w:eastAsia="仿宋"/>
          <w:color w:val="000000"/>
          <w:kern w:val="0"/>
          <w:sz w:val="32"/>
          <w:szCs w:val="32"/>
          <w:lang w:val="en-US" w:eastAsia="zh-CN"/>
        </w:rPr>
        <w:t>1</w:t>
      </w:r>
      <w:r>
        <w:rPr>
          <w:rFonts w:hint="eastAsia" w:eastAsia="仿宋"/>
          <w:color w:val="000000"/>
          <w:kern w:val="0"/>
          <w:sz w:val="32"/>
          <w:szCs w:val="32"/>
        </w:rPr>
        <w:t>日至</w:t>
      </w:r>
      <w:r>
        <w:rPr>
          <w:rFonts w:hint="eastAsia" w:eastAsia="仿宋"/>
          <w:color w:val="000000"/>
          <w:kern w:val="0"/>
          <w:sz w:val="32"/>
          <w:szCs w:val="32"/>
          <w:lang w:val="en-US" w:eastAsia="zh-CN"/>
        </w:rPr>
        <w:t>12</w:t>
      </w:r>
      <w:r>
        <w:rPr>
          <w:rFonts w:hint="eastAsia" w:eastAsia="仿宋"/>
          <w:color w:val="000000"/>
          <w:kern w:val="0"/>
          <w:sz w:val="32"/>
          <w:szCs w:val="32"/>
        </w:rPr>
        <w:t>月</w:t>
      </w:r>
      <w:r>
        <w:rPr>
          <w:rFonts w:hint="eastAsia" w:eastAsia="仿宋"/>
          <w:color w:val="000000"/>
          <w:kern w:val="0"/>
          <w:sz w:val="32"/>
          <w:szCs w:val="32"/>
          <w:lang w:val="en-US" w:eastAsia="zh-CN"/>
        </w:rPr>
        <w:t>31</w:t>
      </w:r>
      <w:r>
        <w:rPr>
          <w:rFonts w:hint="eastAsia" w:eastAsia="仿宋"/>
          <w:color w:val="000000"/>
          <w:kern w:val="0"/>
          <w:sz w:val="32"/>
          <w:szCs w:val="32"/>
        </w:rPr>
        <w:t>日。</w:t>
      </w:r>
    </w:p>
    <w:p w14:paraId="3D8AE7D4">
      <w:pPr>
        <w:widowControl/>
        <w:spacing w:line="520" w:lineRule="exact"/>
        <w:ind w:firstLine="640" w:firstLineChars="200"/>
        <w:jc w:val="left"/>
        <w:rPr>
          <w:rFonts w:hint="eastAsia" w:eastAsia="仿宋"/>
          <w:color w:val="000000"/>
          <w:kern w:val="0"/>
          <w:sz w:val="32"/>
          <w:szCs w:val="32"/>
        </w:rPr>
      </w:pPr>
      <w:r>
        <w:rPr>
          <w:rFonts w:hint="eastAsia" w:eastAsia="仿宋"/>
          <w:color w:val="000000"/>
          <w:kern w:val="0"/>
          <w:sz w:val="32"/>
          <w:szCs w:val="32"/>
        </w:rPr>
        <w:t>（二）评价结论</w:t>
      </w:r>
    </w:p>
    <w:p w14:paraId="1A56E96E">
      <w:pPr>
        <w:widowControl/>
        <w:spacing w:line="520" w:lineRule="exact"/>
        <w:ind w:firstLine="640" w:firstLineChars="200"/>
        <w:jc w:val="both"/>
        <w:rPr>
          <w:rFonts w:hint="eastAsia" w:eastAsia="仿宋"/>
          <w:color w:val="000000"/>
          <w:kern w:val="0"/>
          <w:sz w:val="32"/>
          <w:szCs w:val="32"/>
          <w:highlight w:val="none"/>
        </w:rPr>
      </w:pPr>
      <w:r>
        <w:rPr>
          <w:rFonts w:hint="eastAsia" w:eastAsia="仿宋"/>
          <w:color w:val="000000"/>
          <w:kern w:val="0"/>
          <w:sz w:val="32"/>
          <w:szCs w:val="32"/>
          <w:highlight w:val="none"/>
        </w:rPr>
        <w:t>经综合评价，2025 年度南京市</w:t>
      </w:r>
      <w:r>
        <w:rPr>
          <w:rFonts w:hint="eastAsia" w:eastAsia="仿宋"/>
          <w:color w:val="000000"/>
          <w:kern w:val="0"/>
          <w:sz w:val="32"/>
          <w:szCs w:val="32"/>
          <w:highlight w:val="none"/>
          <w:lang w:val="en-US" w:eastAsia="zh-CN"/>
        </w:rPr>
        <w:t>农村合作经济经营管理站</w:t>
      </w:r>
      <w:r>
        <w:rPr>
          <w:rFonts w:hint="eastAsia" w:eastAsia="仿宋"/>
          <w:color w:val="000000"/>
          <w:kern w:val="0"/>
          <w:sz w:val="32"/>
          <w:szCs w:val="32"/>
          <w:highlight w:val="none"/>
        </w:rPr>
        <w:t>整体绩效评价得分</w:t>
      </w:r>
      <w:r>
        <w:rPr>
          <w:rFonts w:hint="eastAsia" w:eastAsia="仿宋"/>
          <w:color w:val="000000"/>
          <w:kern w:val="0"/>
          <w:sz w:val="32"/>
          <w:szCs w:val="32"/>
          <w:highlight w:val="none"/>
          <w:lang w:val="en-US" w:eastAsia="zh-CN"/>
        </w:rPr>
        <w:t>100</w:t>
      </w:r>
      <w:r>
        <w:rPr>
          <w:rFonts w:hint="eastAsia" w:eastAsia="仿宋"/>
          <w:color w:val="000000"/>
          <w:kern w:val="0"/>
          <w:sz w:val="32"/>
          <w:szCs w:val="32"/>
          <w:highlight w:val="none"/>
        </w:rPr>
        <w:t>分，等级为“</w:t>
      </w:r>
      <w:r>
        <w:rPr>
          <w:rFonts w:hint="eastAsia" w:eastAsia="仿宋"/>
          <w:color w:val="000000"/>
          <w:kern w:val="0"/>
          <w:sz w:val="32"/>
          <w:szCs w:val="32"/>
          <w:highlight w:val="none"/>
          <w:lang w:val="en-US" w:eastAsia="zh-CN"/>
        </w:rPr>
        <w:t>优</w:t>
      </w:r>
      <w:r>
        <w:rPr>
          <w:rFonts w:hint="eastAsia" w:eastAsia="仿宋"/>
          <w:color w:val="000000"/>
          <w:kern w:val="0"/>
          <w:sz w:val="32"/>
          <w:szCs w:val="32"/>
          <w:highlight w:val="none"/>
        </w:rPr>
        <w:t>”。整体而言，2025年度南京市</w:t>
      </w:r>
      <w:r>
        <w:rPr>
          <w:rFonts w:hint="eastAsia" w:eastAsia="仿宋"/>
          <w:color w:val="000000"/>
          <w:kern w:val="0"/>
          <w:sz w:val="32"/>
          <w:szCs w:val="32"/>
          <w:highlight w:val="none"/>
          <w:lang w:val="en-US" w:eastAsia="zh-CN"/>
        </w:rPr>
        <w:t>农村合作经济经营管理站</w:t>
      </w:r>
      <w:r>
        <w:rPr>
          <w:rFonts w:hint="eastAsia" w:eastAsia="仿宋"/>
          <w:color w:val="000000"/>
          <w:kern w:val="0"/>
          <w:sz w:val="32"/>
          <w:szCs w:val="32"/>
          <w:highlight w:val="none"/>
        </w:rPr>
        <w:t>紧扣资金绩效目标与重点任务，扎实推进农村集体“三资”管理突出问题</w:t>
      </w:r>
      <w:r>
        <w:rPr>
          <w:rFonts w:hint="eastAsia" w:eastAsia="仿宋"/>
          <w:color w:val="000000"/>
          <w:kern w:val="0"/>
          <w:sz w:val="32"/>
          <w:szCs w:val="32"/>
          <w:highlight w:val="none"/>
          <w:lang w:val="en-US" w:eastAsia="zh-CN"/>
        </w:rPr>
        <w:t>整治</w:t>
      </w:r>
      <w:r>
        <w:rPr>
          <w:rFonts w:hint="eastAsia" w:eastAsia="仿宋"/>
          <w:color w:val="000000"/>
          <w:kern w:val="0"/>
          <w:sz w:val="32"/>
          <w:szCs w:val="32"/>
          <w:highlight w:val="none"/>
        </w:rPr>
        <w:t>，累计完成省台账问题整改2810个，清减村级负债30.6亿元；“三资”大起底新增资产21.56亿元，规范民主监督并强化集体经济组织建设，专项审计整改完成率达95%，同时健全“七项制度”监管体系，履职成效较为显著。但也存在年度内经济功能科目使用调整，以及部门整体绩效评价</w:t>
      </w:r>
      <w:r>
        <w:rPr>
          <w:rFonts w:hint="eastAsia" w:eastAsia="仿宋"/>
          <w:color w:val="000000"/>
          <w:kern w:val="0"/>
          <w:sz w:val="32"/>
          <w:szCs w:val="32"/>
          <w:highlight w:val="none"/>
          <w:lang w:val="en-US" w:eastAsia="zh-CN"/>
        </w:rPr>
        <w:t>因</w:t>
      </w:r>
      <w:r>
        <w:rPr>
          <w:rFonts w:hint="eastAsia" w:eastAsia="仿宋"/>
          <w:color w:val="000000"/>
          <w:kern w:val="0"/>
          <w:sz w:val="32"/>
          <w:szCs w:val="32"/>
          <w:highlight w:val="none"/>
        </w:rPr>
        <w:t>单位规模较小分析不够深入等问题。建议进一步优化绩效指标评价体系，增强指标的科学性与合理性，同时加强预算编制、执行与绩效管理的业务培训，健全财务与业务协同机制，切实提升资金使用效益和管理规范化水平。</w:t>
      </w:r>
    </w:p>
    <w:p w14:paraId="325EE7C3">
      <w:pPr>
        <w:widowControl/>
        <w:spacing w:line="520" w:lineRule="exact"/>
        <w:ind w:firstLine="640" w:firstLineChars="200"/>
        <w:jc w:val="left"/>
        <w:rPr>
          <w:rFonts w:hint="eastAsia" w:eastAsia="仿宋"/>
          <w:color w:val="000000"/>
          <w:kern w:val="0"/>
          <w:sz w:val="32"/>
          <w:szCs w:val="32"/>
        </w:rPr>
      </w:pPr>
      <w:r>
        <w:rPr>
          <w:rFonts w:hint="eastAsia" w:eastAsia="仿宋"/>
          <w:color w:val="000000"/>
          <w:kern w:val="0"/>
          <w:sz w:val="32"/>
          <w:szCs w:val="32"/>
        </w:rPr>
        <w:t>1．基本支出资金绩效评价</w:t>
      </w:r>
    </w:p>
    <w:p w14:paraId="61F2BA40">
      <w:pPr>
        <w:widowControl/>
        <w:spacing w:line="520" w:lineRule="exact"/>
        <w:ind w:firstLine="640" w:firstLineChars="200"/>
        <w:jc w:val="left"/>
        <w:rPr>
          <w:rFonts w:hint="eastAsia" w:eastAsia="仿宋"/>
          <w:color w:val="000000"/>
          <w:kern w:val="0"/>
          <w:sz w:val="32"/>
          <w:szCs w:val="32"/>
        </w:rPr>
      </w:pPr>
      <w:r>
        <w:rPr>
          <w:rFonts w:hint="eastAsia" w:eastAsia="仿宋"/>
          <w:color w:val="000000"/>
          <w:kern w:val="0"/>
          <w:sz w:val="32"/>
          <w:szCs w:val="32"/>
        </w:rPr>
        <w:t>202</w:t>
      </w:r>
      <w:r>
        <w:rPr>
          <w:rFonts w:hint="eastAsia" w:eastAsia="仿宋"/>
          <w:color w:val="000000"/>
          <w:kern w:val="0"/>
          <w:sz w:val="32"/>
          <w:szCs w:val="32"/>
          <w:lang w:val="en-US" w:eastAsia="zh-CN"/>
        </w:rPr>
        <w:t>5</w:t>
      </w:r>
      <w:r>
        <w:rPr>
          <w:rFonts w:hint="eastAsia" w:eastAsia="仿宋"/>
          <w:color w:val="000000"/>
          <w:kern w:val="0"/>
          <w:sz w:val="32"/>
          <w:szCs w:val="32"/>
        </w:rPr>
        <w:t>年基本支出按照资金进度有序安排，完成部门预算绩效制定的目标，预算资金本着节约使用的目的，略有节余，由财政收回统一管理使用。</w:t>
      </w:r>
    </w:p>
    <w:p w14:paraId="38828066">
      <w:pPr>
        <w:widowControl/>
        <w:spacing w:line="520" w:lineRule="exact"/>
        <w:ind w:firstLine="640" w:firstLineChars="200"/>
        <w:jc w:val="left"/>
        <w:rPr>
          <w:rFonts w:hint="eastAsia" w:eastAsia="仿宋"/>
          <w:color w:val="000000"/>
          <w:kern w:val="0"/>
          <w:sz w:val="32"/>
          <w:szCs w:val="32"/>
        </w:rPr>
      </w:pPr>
      <w:r>
        <w:rPr>
          <w:rFonts w:hint="eastAsia" w:eastAsia="仿宋"/>
          <w:color w:val="000000"/>
          <w:kern w:val="0"/>
          <w:sz w:val="32"/>
          <w:szCs w:val="32"/>
        </w:rPr>
        <w:t>2．部门专项资金绩效评价</w:t>
      </w:r>
    </w:p>
    <w:p w14:paraId="3B5ED88A">
      <w:pPr>
        <w:widowControl/>
        <w:spacing w:line="520" w:lineRule="exact"/>
        <w:ind w:firstLine="640" w:firstLineChars="200"/>
        <w:jc w:val="left"/>
        <w:rPr>
          <w:rFonts w:hint="eastAsia" w:eastAsia="仿宋"/>
          <w:color w:val="000000"/>
          <w:kern w:val="0"/>
          <w:sz w:val="32"/>
          <w:szCs w:val="32"/>
        </w:rPr>
      </w:pPr>
      <w:r>
        <w:rPr>
          <w:rFonts w:hint="eastAsia" w:eastAsia="仿宋"/>
          <w:color w:val="000000"/>
          <w:kern w:val="0"/>
          <w:sz w:val="32"/>
          <w:szCs w:val="32"/>
        </w:rPr>
        <w:t>202</w:t>
      </w:r>
      <w:r>
        <w:rPr>
          <w:rFonts w:hint="eastAsia" w:eastAsia="仿宋"/>
          <w:color w:val="000000"/>
          <w:kern w:val="0"/>
          <w:sz w:val="32"/>
          <w:szCs w:val="32"/>
          <w:lang w:val="en-US" w:eastAsia="zh-CN"/>
        </w:rPr>
        <w:t>5</w:t>
      </w:r>
      <w:r>
        <w:rPr>
          <w:rFonts w:hint="eastAsia" w:eastAsia="仿宋"/>
          <w:color w:val="000000"/>
          <w:kern w:val="0"/>
          <w:sz w:val="32"/>
          <w:szCs w:val="32"/>
        </w:rPr>
        <w:t>年我单位的部门预算专项</w:t>
      </w:r>
      <w:r>
        <w:rPr>
          <w:rFonts w:hint="eastAsia" w:eastAsia="仿宋"/>
          <w:color w:val="000000"/>
          <w:kern w:val="0"/>
          <w:sz w:val="32"/>
          <w:szCs w:val="32"/>
          <w:lang w:val="en-US" w:eastAsia="zh-CN"/>
        </w:rPr>
        <w:t>为“2025办公设备购置”项目32000元和“2025办公设备购置（信创）”项目25000元，具体情况如下：</w:t>
      </w:r>
    </w:p>
    <w:p w14:paraId="5078F487">
      <w:pPr>
        <w:widowControl/>
        <w:spacing w:line="520" w:lineRule="exact"/>
        <w:ind w:firstLine="640" w:firstLineChars="200"/>
        <w:jc w:val="left"/>
        <w:rPr>
          <w:rFonts w:hint="eastAsia" w:eastAsia="仿宋"/>
          <w:color w:val="auto"/>
          <w:kern w:val="0"/>
          <w:sz w:val="32"/>
          <w:szCs w:val="32"/>
        </w:rPr>
      </w:pPr>
      <w:r>
        <w:rPr>
          <w:rFonts w:hint="eastAsia" w:eastAsia="仿宋"/>
          <w:color w:val="000000"/>
          <w:kern w:val="0"/>
          <w:sz w:val="32"/>
          <w:szCs w:val="32"/>
          <w:lang w:val="en-US" w:eastAsia="zh-CN"/>
        </w:rPr>
        <w:t>（1）2025办公设备购置项目：购置办公椅7把共3465元；购置安全软件6套共660元；购置投影仪1台共计14995元。</w:t>
      </w:r>
    </w:p>
    <w:p w14:paraId="03FF04C6">
      <w:pPr>
        <w:widowControl/>
        <w:numPr>
          <w:ilvl w:val="0"/>
          <w:numId w:val="0"/>
        </w:numPr>
        <w:spacing w:line="520" w:lineRule="exact"/>
        <w:jc w:val="left"/>
        <w:rPr>
          <w:rFonts w:hint="default" w:eastAsia="仿宋"/>
          <w:color w:val="auto"/>
          <w:kern w:val="0"/>
          <w:sz w:val="32"/>
          <w:szCs w:val="32"/>
          <w:lang w:val="en-US" w:eastAsia="zh-CN"/>
        </w:rPr>
      </w:pPr>
      <w:r>
        <w:rPr>
          <w:rFonts w:hint="eastAsia" w:eastAsia="仿宋"/>
          <w:color w:val="auto"/>
          <w:kern w:val="0"/>
          <w:sz w:val="32"/>
          <w:szCs w:val="32"/>
          <w:lang w:val="en-US" w:eastAsia="zh-CN"/>
        </w:rPr>
        <w:t xml:space="preserve">    （2）</w:t>
      </w:r>
      <w:r>
        <w:rPr>
          <w:rFonts w:hint="eastAsia" w:eastAsia="仿宋"/>
          <w:color w:val="000000"/>
          <w:kern w:val="0"/>
          <w:sz w:val="32"/>
          <w:szCs w:val="32"/>
          <w:lang w:val="en-US" w:eastAsia="zh-CN"/>
        </w:rPr>
        <w:t>2025办公设备购置（信创）项目：购置信创电脑5台共23950元。</w:t>
      </w:r>
    </w:p>
    <w:p w14:paraId="7EC9920F">
      <w:pPr>
        <w:widowControl/>
        <w:spacing w:line="520" w:lineRule="exact"/>
        <w:ind w:firstLine="640" w:firstLineChars="200"/>
        <w:jc w:val="left"/>
        <w:rPr>
          <w:rFonts w:eastAsia="黑体"/>
          <w:kern w:val="0"/>
          <w:sz w:val="24"/>
        </w:rPr>
      </w:pPr>
      <w:r>
        <w:rPr>
          <w:rFonts w:eastAsia="黑体"/>
          <w:color w:val="000000"/>
          <w:kern w:val="0"/>
          <w:sz w:val="32"/>
          <w:szCs w:val="32"/>
        </w:rPr>
        <w:t>三、部门履职成效</w:t>
      </w:r>
    </w:p>
    <w:p w14:paraId="212C5156">
      <w:pPr>
        <w:widowControl/>
        <w:spacing w:line="520" w:lineRule="exact"/>
        <w:ind w:firstLine="640" w:firstLineChars="200"/>
        <w:jc w:val="left"/>
        <w:rPr>
          <w:rFonts w:hint="eastAsia" w:eastAsia="仿宋"/>
          <w:color w:val="000000"/>
          <w:kern w:val="0"/>
          <w:sz w:val="32"/>
          <w:szCs w:val="32"/>
          <w:highlight w:val="none"/>
        </w:rPr>
      </w:pPr>
      <w:r>
        <w:rPr>
          <w:rFonts w:hint="eastAsia" w:eastAsia="仿宋"/>
          <w:color w:val="000000"/>
          <w:kern w:val="0"/>
          <w:sz w:val="32"/>
          <w:szCs w:val="32"/>
          <w:highlight w:val="none"/>
        </w:rPr>
        <w:t>1．动态攻坚问题整改。截至2025年底，报省台账累计发现问题2810个，已完成整改2810个。“四清三化”累计清减村级负债30.6亿元，负债率降至16.98%；清核2024年度主城区及城市社区集体资产48.34亿元，土地1.17万亩。</w:t>
      </w:r>
    </w:p>
    <w:p w14:paraId="5785DCA6">
      <w:pPr>
        <w:widowControl/>
        <w:spacing w:line="520" w:lineRule="exact"/>
        <w:ind w:firstLine="640" w:firstLineChars="200"/>
        <w:jc w:val="left"/>
        <w:rPr>
          <w:rFonts w:hint="eastAsia" w:eastAsia="仿宋"/>
          <w:color w:val="000000"/>
          <w:kern w:val="0"/>
          <w:sz w:val="32"/>
          <w:szCs w:val="32"/>
          <w:highlight w:val="none"/>
        </w:rPr>
      </w:pPr>
      <w:r>
        <w:rPr>
          <w:rFonts w:hint="eastAsia" w:eastAsia="仿宋"/>
          <w:color w:val="000000"/>
          <w:kern w:val="0"/>
          <w:sz w:val="32"/>
          <w:szCs w:val="32"/>
          <w:highlight w:val="none"/>
        </w:rPr>
        <w:t>2．全面开展农村集体“三资”大起底。5月底，全市八个涉农区清核集体资产511.89亿元，集体土地658.97万亩。10月底，按照省厅要求开展农村集体“三资”大起底，八个涉农区共计新增资产（含账外）21.56亿元，核减资源1784.57亩。</w:t>
      </w:r>
    </w:p>
    <w:p w14:paraId="7AB67BDD">
      <w:pPr>
        <w:widowControl/>
        <w:spacing w:line="520" w:lineRule="exact"/>
        <w:ind w:firstLine="640" w:firstLineChars="200"/>
        <w:jc w:val="left"/>
        <w:rPr>
          <w:rFonts w:hint="eastAsia" w:eastAsia="仿宋"/>
          <w:color w:val="000000"/>
          <w:kern w:val="0"/>
          <w:sz w:val="32"/>
          <w:szCs w:val="32"/>
          <w:highlight w:val="none"/>
        </w:rPr>
      </w:pPr>
      <w:r>
        <w:rPr>
          <w:rFonts w:hint="eastAsia" w:eastAsia="仿宋"/>
          <w:color w:val="000000"/>
          <w:kern w:val="0"/>
          <w:sz w:val="32"/>
          <w:szCs w:val="32"/>
          <w:highlight w:val="none"/>
        </w:rPr>
        <w:t>3．规范民主监督。印制张贴“苏智农经”微信小程序二维码10000张，运用线上公开村级财务。线下充分利用好现有设施资源，规范农村集体资金往来、资产出租、资源发包等重点内容公开。</w:t>
      </w:r>
    </w:p>
    <w:p w14:paraId="6C974EB9">
      <w:pPr>
        <w:widowControl/>
        <w:spacing w:line="520" w:lineRule="exact"/>
        <w:ind w:firstLine="640" w:firstLineChars="200"/>
        <w:jc w:val="left"/>
        <w:rPr>
          <w:rFonts w:hint="eastAsia" w:eastAsia="仿宋"/>
          <w:color w:val="000000"/>
          <w:kern w:val="0"/>
          <w:sz w:val="32"/>
          <w:szCs w:val="32"/>
          <w:highlight w:val="none"/>
        </w:rPr>
      </w:pPr>
      <w:r>
        <w:rPr>
          <w:rFonts w:hint="eastAsia" w:eastAsia="仿宋"/>
          <w:color w:val="000000"/>
          <w:kern w:val="0"/>
          <w:sz w:val="32"/>
          <w:szCs w:val="32"/>
          <w:highlight w:val="none"/>
        </w:rPr>
        <w:t>4．强化农村集体经济组织建设。6月8-9日，全市举办深化“三资”管理突出问题专项整治培训班，参训人员达200余人。培训班宣讲《农村集体经济组织法》《农村集体经济财务制度》《农村集体经济会计制度》，推动农村集体经济组织规范运行。</w:t>
      </w:r>
    </w:p>
    <w:p w14:paraId="189F8FC2">
      <w:pPr>
        <w:widowControl/>
        <w:spacing w:line="520" w:lineRule="exact"/>
        <w:ind w:firstLine="640" w:firstLineChars="200"/>
        <w:jc w:val="left"/>
        <w:rPr>
          <w:rFonts w:hint="eastAsia" w:eastAsia="仿宋"/>
          <w:color w:val="000000"/>
          <w:kern w:val="0"/>
          <w:sz w:val="32"/>
          <w:szCs w:val="32"/>
          <w:highlight w:val="none"/>
        </w:rPr>
      </w:pPr>
      <w:r>
        <w:rPr>
          <w:rFonts w:hint="eastAsia" w:eastAsia="仿宋"/>
          <w:color w:val="000000"/>
          <w:kern w:val="0"/>
          <w:sz w:val="32"/>
          <w:szCs w:val="32"/>
          <w:highlight w:val="none"/>
        </w:rPr>
        <w:t>5．深化农村集体经济组织审计监督。2025年，选取8个村（社区）开展专项审计，排查发现问题91个。扎实开展未完成整改问题“回头看”，截至2025年底，历年审计整改完成率达95%。</w:t>
      </w:r>
    </w:p>
    <w:p w14:paraId="1C178F8C">
      <w:pPr>
        <w:widowControl/>
        <w:spacing w:line="520" w:lineRule="exact"/>
        <w:ind w:firstLine="640" w:firstLineChars="200"/>
        <w:jc w:val="left"/>
        <w:rPr>
          <w:rFonts w:eastAsia="仿宋"/>
          <w:color w:val="000000"/>
          <w:kern w:val="0"/>
          <w:sz w:val="32"/>
          <w:szCs w:val="32"/>
          <w:highlight w:val="none"/>
        </w:rPr>
      </w:pPr>
      <w:r>
        <w:rPr>
          <w:rFonts w:hint="eastAsia" w:eastAsia="仿宋"/>
          <w:color w:val="000000"/>
          <w:kern w:val="0"/>
          <w:sz w:val="32"/>
          <w:szCs w:val="32"/>
          <w:highlight w:val="none"/>
        </w:rPr>
        <w:t>6．健全“七项制度”监管体系。印发《完善农村集体“三资”监管长效机制工作指引》，民主理财与财务公开“双公开、双监督”制度基本建立；村级财务预决算管理制度已在江宁区试点。此外，资产移交、债务管控、工程管理、采购管理、用工管理等五项制度正加快健全。</w:t>
      </w:r>
    </w:p>
    <w:p w14:paraId="6DCC8481">
      <w:pPr>
        <w:widowControl/>
        <w:numPr>
          <w:ilvl w:val="0"/>
          <w:numId w:val="2"/>
        </w:numPr>
        <w:spacing w:line="520" w:lineRule="exact"/>
        <w:ind w:firstLine="640" w:firstLineChars="200"/>
        <w:jc w:val="left"/>
        <w:rPr>
          <w:rFonts w:eastAsia="黑体"/>
          <w:color w:val="000000"/>
          <w:kern w:val="0"/>
          <w:sz w:val="32"/>
          <w:szCs w:val="32"/>
        </w:rPr>
      </w:pPr>
      <w:r>
        <w:rPr>
          <w:rFonts w:eastAsia="黑体"/>
          <w:color w:val="000000"/>
          <w:kern w:val="0"/>
          <w:sz w:val="32"/>
          <w:szCs w:val="32"/>
        </w:rPr>
        <w:t>存在问题及原因分析</w:t>
      </w:r>
    </w:p>
    <w:p w14:paraId="29FE75AD">
      <w:pPr>
        <w:widowControl/>
        <w:spacing w:line="520" w:lineRule="exact"/>
        <w:ind w:firstLine="640" w:firstLineChars="200"/>
        <w:jc w:val="left"/>
        <w:rPr>
          <w:rFonts w:hint="eastAsia" w:eastAsia="仿宋"/>
          <w:color w:val="000000"/>
          <w:kern w:val="0"/>
          <w:sz w:val="32"/>
          <w:szCs w:val="32"/>
        </w:rPr>
      </w:pPr>
      <w:r>
        <w:rPr>
          <w:rFonts w:hint="eastAsia" w:eastAsia="仿宋"/>
          <w:color w:val="000000"/>
          <w:kern w:val="0"/>
          <w:sz w:val="32"/>
          <w:szCs w:val="32"/>
        </w:rPr>
        <w:t>1</w:t>
      </w:r>
      <w:r>
        <w:rPr>
          <w:rFonts w:hint="eastAsia" w:eastAsia="仿宋"/>
          <w:color w:val="000000"/>
          <w:kern w:val="0"/>
          <w:sz w:val="32"/>
          <w:szCs w:val="32"/>
          <w:lang w:eastAsia="zh-CN"/>
        </w:rPr>
        <w:t>、</w:t>
      </w:r>
      <w:r>
        <w:rPr>
          <w:rFonts w:hint="eastAsia" w:eastAsia="仿宋"/>
          <w:color w:val="000000"/>
          <w:kern w:val="0"/>
          <w:sz w:val="32"/>
          <w:szCs w:val="32"/>
        </w:rPr>
        <w:t>前三个季度都能按规定科目使用预算安排经费，到了最后一个季度，各种工资计划、住房改革支出调整，经济功能科目规范使用受到影响，将在以后的工作中注意改进。</w:t>
      </w:r>
    </w:p>
    <w:p w14:paraId="1C09DEB9">
      <w:pPr>
        <w:widowControl/>
        <w:spacing w:line="520" w:lineRule="exact"/>
        <w:ind w:firstLine="640" w:firstLineChars="200"/>
        <w:jc w:val="left"/>
        <w:rPr>
          <w:rFonts w:hint="eastAsia" w:eastAsia="仿宋"/>
          <w:color w:val="000000"/>
          <w:kern w:val="0"/>
          <w:sz w:val="32"/>
          <w:szCs w:val="32"/>
        </w:rPr>
      </w:pPr>
      <w:r>
        <w:rPr>
          <w:rFonts w:hint="eastAsia" w:eastAsia="仿宋"/>
          <w:color w:val="000000"/>
          <w:kern w:val="0"/>
          <w:sz w:val="32"/>
          <w:szCs w:val="32"/>
          <w:lang w:val="en-US" w:eastAsia="zh-CN"/>
        </w:rPr>
        <w:t>2、</w:t>
      </w:r>
      <w:r>
        <w:rPr>
          <w:rFonts w:hint="eastAsia" w:eastAsia="仿宋"/>
          <w:color w:val="000000"/>
          <w:kern w:val="0"/>
          <w:sz w:val="32"/>
          <w:szCs w:val="32"/>
        </w:rPr>
        <w:t>事业单位规模较小，对部门整体绩效评价的评价分析做得不够。</w:t>
      </w:r>
    </w:p>
    <w:p w14:paraId="269BC833">
      <w:pPr>
        <w:spacing w:line="520" w:lineRule="exact"/>
        <w:ind w:firstLine="640" w:firstLineChars="200"/>
        <w:rPr>
          <w:rFonts w:eastAsia="黑体"/>
          <w:color w:val="000000"/>
          <w:kern w:val="0"/>
          <w:sz w:val="32"/>
          <w:szCs w:val="32"/>
        </w:rPr>
      </w:pPr>
      <w:r>
        <w:rPr>
          <w:rFonts w:eastAsia="黑体"/>
          <w:color w:val="000000"/>
          <w:kern w:val="0"/>
          <w:sz w:val="32"/>
          <w:szCs w:val="32"/>
        </w:rPr>
        <w:t>五、有关建议</w:t>
      </w:r>
    </w:p>
    <w:p w14:paraId="1E7AC80F">
      <w:pPr>
        <w:widowControl/>
        <w:spacing w:line="520" w:lineRule="exact"/>
        <w:ind w:firstLine="640" w:firstLineChars="200"/>
        <w:jc w:val="left"/>
        <w:rPr>
          <w:rFonts w:hint="default" w:eastAsia="仿宋"/>
          <w:color w:val="000000"/>
          <w:kern w:val="0"/>
          <w:sz w:val="32"/>
          <w:szCs w:val="32"/>
          <w:lang w:val="en-US" w:eastAsia="zh-CN"/>
        </w:rPr>
      </w:pPr>
      <w:bookmarkStart w:id="0" w:name="_GoBack"/>
      <w:bookmarkEnd w:id="0"/>
      <w:r>
        <w:rPr>
          <w:rFonts w:hint="eastAsia" w:eastAsia="仿宋"/>
          <w:color w:val="000000"/>
          <w:kern w:val="0"/>
          <w:sz w:val="32"/>
          <w:szCs w:val="32"/>
        </w:rPr>
        <w:t>1.</w:t>
      </w:r>
      <w:r>
        <w:rPr>
          <w:rFonts w:hint="eastAsia" w:eastAsia="仿宋"/>
          <w:color w:val="000000"/>
          <w:kern w:val="0"/>
          <w:sz w:val="32"/>
          <w:szCs w:val="32"/>
          <w:lang w:val="en-US" w:eastAsia="zh-CN"/>
        </w:rPr>
        <w:t>进一步优化绩效指标评价体系，提高评价指标科学性、合理性。</w:t>
      </w:r>
    </w:p>
    <w:p w14:paraId="4D460386">
      <w:pPr>
        <w:widowControl/>
        <w:spacing w:line="520" w:lineRule="exact"/>
        <w:ind w:firstLine="640" w:firstLineChars="200"/>
        <w:jc w:val="left"/>
        <w:rPr>
          <w:rFonts w:hint="eastAsia" w:eastAsia="仿宋"/>
          <w:color w:val="000000"/>
          <w:kern w:val="0"/>
          <w:sz w:val="32"/>
          <w:szCs w:val="32"/>
        </w:rPr>
      </w:pPr>
      <w:r>
        <w:rPr>
          <w:rFonts w:hint="eastAsia" w:eastAsia="仿宋"/>
          <w:color w:val="000000"/>
          <w:kern w:val="0"/>
          <w:sz w:val="32"/>
          <w:szCs w:val="32"/>
        </w:rPr>
        <w:t>2.加强</w:t>
      </w:r>
      <w:r>
        <w:rPr>
          <w:rFonts w:hint="eastAsia" w:eastAsia="仿宋"/>
          <w:color w:val="000000"/>
          <w:kern w:val="0"/>
          <w:sz w:val="32"/>
          <w:szCs w:val="32"/>
          <w:lang w:val="en-US" w:eastAsia="zh-CN"/>
        </w:rPr>
        <w:t>预算编制、执行、绩效管理等</w:t>
      </w:r>
      <w:r>
        <w:rPr>
          <w:rFonts w:hint="eastAsia" w:eastAsia="仿宋"/>
          <w:color w:val="000000"/>
          <w:kern w:val="0"/>
          <w:sz w:val="32"/>
          <w:szCs w:val="32"/>
        </w:rPr>
        <w:t>方面的培训，特别是业务人员，健全财务与业务的协同机制。</w:t>
      </w:r>
    </w:p>
    <w:p w14:paraId="1021595D">
      <w:pPr>
        <w:widowControl/>
        <w:spacing w:line="520" w:lineRule="exact"/>
        <w:ind w:firstLine="640" w:firstLineChars="200"/>
        <w:jc w:val="left"/>
        <w:rPr>
          <w:rFonts w:hint="eastAsia" w:eastAsia="仿宋"/>
          <w:color w:val="000000"/>
          <w:kern w:val="0"/>
          <w:sz w:val="32"/>
          <w:szCs w:val="32"/>
        </w:rPr>
      </w:pPr>
    </w:p>
    <w:p w14:paraId="1F70841E">
      <w:pPr>
        <w:widowControl/>
        <w:spacing w:line="520" w:lineRule="exact"/>
        <w:ind w:firstLine="640" w:firstLineChars="200"/>
        <w:jc w:val="left"/>
        <w:rPr>
          <w:rFonts w:hint="eastAsia" w:eastAsia="仿宋"/>
          <w:color w:val="000000"/>
          <w:kern w:val="0"/>
          <w:sz w:val="32"/>
          <w:szCs w:val="32"/>
        </w:rPr>
      </w:pPr>
    </w:p>
    <w:p w14:paraId="2B6C0923">
      <w:pPr>
        <w:spacing w:line="520" w:lineRule="exact"/>
        <w:ind w:firstLine="640" w:firstLineChars="200"/>
        <w:rPr>
          <w:rFonts w:hint="default" w:eastAsia="仿宋"/>
          <w:color w:val="000000"/>
          <w:kern w:val="0"/>
          <w:sz w:val="32"/>
          <w:szCs w:val="32"/>
          <w:lang w:val="en-US" w:eastAsia="zh-CN"/>
        </w:rPr>
      </w:pPr>
      <w:r>
        <w:rPr>
          <w:rFonts w:eastAsia="仿宋"/>
          <w:color w:val="000000"/>
          <w:kern w:val="0"/>
          <w:sz w:val="32"/>
          <w:szCs w:val="32"/>
        </w:rPr>
        <w:t>附件：1.</w:t>
      </w:r>
      <w:r>
        <w:rPr>
          <w:rFonts w:hint="eastAsia" w:eastAsia="仿宋"/>
          <w:color w:val="000000"/>
          <w:kern w:val="0"/>
          <w:sz w:val="32"/>
          <w:szCs w:val="32"/>
          <w:lang w:val="en-US" w:eastAsia="zh-CN"/>
        </w:rPr>
        <w:t>部门整体绩效评价自评表</w:t>
      </w:r>
    </w:p>
    <w:p w14:paraId="0F2CCF6C">
      <w:pPr>
        <w:bidi w:val="0"/>
        <w:rPr>
          <w:lang w:val="en-US" w:eastAsia="zh-CN"/>
        </w:rPr>
      </w:pPr>
    </w:p>
    <w:p w14:paraId="2BBF8C6F">
      <w:pPr>
        <w:bidi w:val="0"/>
        <w:rPr>
          <w:lang w:val="en-US" w:eastAsia="zh-CN"/>
        </w:rPr>
      </w:pPr>
    </w:p>
    <w:p w14:paraId="26A1944B">
      <w:pPr>
        <w:bidi w:val="0"/>
        <w:rPr>
          <w:lang w:val="en-US" w:eastAsia="zh-CN"/>
        </w:rPr>
      </w:pPr>
    </w:p>
    <w:p w14:paraId="70BD03D6">
      <w:pPr>
        <w:spacing w:line="520" w:lineRule="exact"/>
        <w:ind w:firstLine="640" w:firstLineChars="200"/>
        <w:jc w:val="right"/>
        <w:rPr>
          <w:rFonts w:eastAsia="仿宋"/>
          <w:b w:val="0"/>
          <w:bCs w:val="0"/>
          <w:i w:val="0"/>
          <w:iCs w:val="0"/>
          <w:color w:val="000000"/>
          <w:kern w:val="0"/>
          <w:sz w:val="32"/>
          <w:szCs w:val="32"/>
          <w:u w:val="none"/>
        </w:rPr>
      </w:pPr>
      <w:r>
        <w:rPr>
          <w:rFonts w:eastAsia="仿宋"/>
          <w:b w:val="0"/>
          <w:bCs w:val="0"/>
          <w:i w:val="0"/>
          <w:iCs w:val="0"/>
          <w:color w:val="000000"/>
          <w:kern w:val="0"/>
          <w:sz w:val="32"/>
          <w:szCs w:val="32"/>
          <w:u w:val="none"/>
        </w:rPr>
        <w:t>南京市农村合作经济经营管理站</w:t>
      </w:r>
    </w:p>
    <w:p w14:paraId="0CB63B31">
      <w:pPr>
        <w:spacing w:line="520" w:lineRule="exact"/>
        <w:ind w:firstLine="640" w:firstLineChars="200"/>
        <w:jc w:val="center"/>
        <w:rPr>
          <w:rFonts w:hint="eastAsia"/>
          <w:lang w:val="en-US" w:eastAsia="zh-CN"/>
        </w:rPr>
      </w:pPr>
      <w:r>
        <w:rPr>
          <w:rFonts w:hint="eastAsia" w:eastAsia="仿宋"/>
          <w:b w:val="0"/>
          <w:bCs w:val="0"/>
          <w:i w:val="0"/>
          <w:iCs w:val="0"/>
          <w:color w:val="000000"/>
          <w:kern w:val="0"/>
          <w:sz w:val="32"/>
          <w:szCs w:val="32"/>
          <w:u w:val="none"/>
          <w:lang w:val="en-US" w:eastAsia="zh-CN"/>
        </w:rPr>
        <w:t xml:space="preserve">                    </w:t>
      </w:r>
      <w:r>
        <w:rPr>
          <w:rFonts w:eastAsia="仿宋"/>
          <w:b w:val="0"/>
          <w:bCs w:val="0"/>
          <w:i w:val="0"/>
          <w:iCs w:val="0"/>
          <w:color w:val="000000"/>
          <w:kern w:val="0"/>
          <w:sz w:val="32"/>
          <w:szCs w:val="32"/>
          <w:u w:val="none"/>
        </w:rPr>
        <w:t>202</w:t>
      </w:r>
      <w:r>
        <w:rPr>
          <w:rFonts w:hint="eastAsia" w:eastAsia="仿宋"/>
          <w:b w:val="0"/>
          <w:bCs w:val="0"/>
          <w:i w:val="0"/>
          <w:iCs w:val="0"/>
          <w:color w:val="000000"/>
          <w:kern w:val="0"/>
          <w:sz w:val="32"/>
          <w:szCs w:val="32"/>
          <w:u w:val="none"/>
          <w:lang w:val="en-US" w:eastAsia="zh-CN"/>
        </w:rPr>
        <w:t>6</w:t>
      </w:r>
      <w:r>
        <w:rPr>
          <w:rFonts w:eastAsia="仿宋"/>
          <w:b w:val="0"/>
          <w:bCs w:val="0"/>
          <w:i w:val="0"/>
          <w:iCs w:val="0"/>
          <w:color w:val="000000"/>
          <w:kern w:val="0"/>
          <w:sz w:val="32"/>
          <w:szCs w:val="32"/>
          <w:u w:val="none"/>
        </w:rPr>
        <w:t>年</w:t>
      </w:r>
      <w:r>
        <w:rPr>
          <w:rFonts w:hint="eastAsia" w:eastAsia="仿宋"/>
          <w:b w:val="0"/>
          <w:bCs w:val="0"/>
          <w:i w:val="0"/>
          <w:iCs w:val="0"/>
          <w:color w:val="000000"/>
          <w:kern w:val="0"/>
          <w:sz w:val="32"/>
          <w:szCs w:val="32"/>
          <w:u w:val="none"/>
          <w:lang w:val="en-US" w:eastAsia="zh-CN"/>
        </w:rPr>
        <w:t>6</w:t>
      </w:r>
      <w:r>
        <w:rPr>
          <w:rFonts w:eastAsia="仿宋"/>
          <w:b w:val="0"/>
          <w:bCs w:val="0"/>
          <w:i w:val="0"/>
          <w:iCs w:val="0"/>
          <w:color w:val="000000"/>
          <w:kern w:val="0"/>
          <w:sz w:val="32"/>
          <w:szCs w:val="32"/>
          <w:u w:val="none"/>
        </w:rPr>
        <w:t>月</w:t>
      </w:r>
      <w:r>
        <w:rPr>
          <w:rFonts w:hint="eastAsia" w:eastAsia="仿宋"/>
          <w:b w:val="0"/>
          <w:bCs w:val="0"/>
          <w:i w:val="0"/>
          <w:iCs w:val="0"/>
          <w:color w:val="000000"/>
          <w:kern w:val="0"/>
          <w:sz w:val="32"/>
          <w:szCs w:val="32"/>
          <w:u w:val="none"/>
          <w:lang w:val="en-US" w:eastAsia="zh-CN"/>
        </w:rPr>
        <w:t>24</w:t>
      </w:r>
      <w:r>
        <w:rPr>
          <w:rFonts w:eastAsia="仿宋"/>
          <w:b w:val="0"/>
          <w:bCs w:val="0"/>
          <w:i w:val="0"/>
          <w:iCs w:val="0"/>
          <w:color w:val="000000"/>
          <w:kern w:val="0"/>
          <w:sz w:val="32"/>
          <w:szCs w:val="32"/>
          <w:u w:val="none"/>
        </w:rPr>
        <w:t>日</w:t>
      </w:r>
      <w:r>
        <w:rPr>
          <w:rFonts w:hint="eastAsia"/>
          <w:lang w:val="en-US" w:eastAsia="zh-CN"/>
        </w:rPr>
        <w:tab/>
      </w:r>
    </w:p>
    <w:p w14:paraId="3DBEAA59">
      <w:pPr>
        <w:ind w:firstLine="198" w:firstLineChars="71"/>
        <w:rPr>
          <w:rFonts w:eastAsia="仿宋"/>
          <w:sz w:val="28"/>
        </w:rPr>
        <w:sectPr>
          <w:footerReference r:id="rId3" w:type="default"/>
          <w:pgSz w:w="11906" w:h="16838"/>
          <w:pgMar w:top="1440" w:right="1800" w:bottom="1440" w:left="1800" w:header="851" w:footer="992" w:gutter="0"/>
          <w:pgNumType w:fmt="decimal"/>
          <w:cols w:space="425" w:num="1"/>
          <w:docGrid w:type="lines" w:linePitch="312" w:charSpace="0"/>
        </w:sectPr>
      </w:pPr>
    </w:p>
    <w:p w14:paraId="5E2CBD27">
      <w:pPr>
        <w:ind w:firstLine="198" w:firstLineChars="71"/>
        <w:rPr>
          <w:rFonts w:hint="eastAsia" w:eastAsia="仿宋"/>
          <w:sz w:val="28"/>
          <w:lang w:eastAsia="zh-CN"/>
        </w:rPr>
      </w:pPr>
      <w:r>
        <w:rPr>
          <w:rFonts w:eastAsia="仿宋"/>
          <w:sz w:val="28"/>
        </w:rPr>
        <w:t>附件1：部门整体绩效评价</w:t>
      </w:r>
      <w:r>
        <w:rPr>
          <w:rFonts w:hint="eastAsia" w:eastAsia="仿宋"/>
          <w:sz w:val="28"/>
          <w:lang w:val="en-US" w:eastAsia="zh-CN"/>
        </w:rPr>
        <w:t>自评表</w:t>
      </w:r>
    </w:p>
    <w:tbl>
      <w:tblPr>
        <w:tblStyle w:val="6"/>
        <w:tblW w:w="14163" w:type="dxa"/>
        <w:tblInd w:w="0" w:type="dxa"/>
        <w:tblLayout w:type="fixed"/>
        <w:tblCellMar>
          <w:top w:w="0" w:type="dxa"/>
          <w:left w:w="108" w:type="dxa"/>
          <w:bottom w:w="0" w:type="dxa"/>
          <w:right w:w="108" w:type="dxa"/>
        </w:tblCellMar>
      </w:tblPr>
      <w:tblGrid>
        <w:gridCol w:w="1153"/>
        <w:gridCol w:w="1267"/>
        <w:gridCol w:w="3760"/>
        <w:gridCol w:w="2939"/>
        <w:gridCol w:w="2069"/>
        <w:gridCol w:w="799"/>
        <w:gridCol w:w="2176"/>
      </w:tblGrid>
      <w:tr w14:paraId="744C5FE7">
        <w:tblPrEx>
          <w:tblCellMar>
            <w:top w:w="0" w:type="dxa"/>
            <w:left w:w="108" w:type="dxa"/>
            <w:bottom w:w="0" w:type="dxa"/>
            <w:right w:w="108" w:type="dxa"/>
          </w:tblCellMar>
        </w:tblPrEx>
        <w:trPr>
          <w:trHeight w:val="459" w:hRule="atLeast"/>
          <w:tblHeader/>
        </w:trPr>
        <w:tc>
          <w:tcPr>
            <w:tcW w:w="1153" w:type="dxa"/>
            <w:tcBorders>
              <w:top w:val="single" w:color="auto" w:sz="8" w:space="0"/>
              <w:left w:val="single" w:color="auto" w:sz="8" w:space="0"/>
              <w:bottom w:val="single" w:color="auto" w:sz="8" w:space="0"/>
              <w:right w:val="single" w:color="auto" w:sz="8" w:space="0"/>
            </w:tcBorders>
            <w:shd w:val="clear" w:color="auto" w:fill="auto"/>
            <w:vAlign w:val="center"/>
          </w:tcPr>
          <w:p w14:paraId="1C11659A">
            <w:pPr>
              <w:widowControl/>
              <w:jc w:val="center"/>
              <w:rPr>
                <w:rFonts w:eastAsia="仿宋"/>
                <w:b/>
                <w:bCs/>
                <w:color w:val="000000"/>
                <w:kern w:val="0"/>
                <w:sz w:val="24"/>
              </w:rPr>
            </w:pPr>
            <w:r>
              <w:rPr>
                <w:rFonts w:eastAsia="仿宋"/>
                <w:b/>
                <w:bCs/>
                <w:color w:val="000000"/>
                <w:kern w:val="0"/>
                <w:sz w:val="24"/>
              </w:rPr>
              <w:t>一级指标</w:t>
            </w:r>
          </w:p>
        </w:tc>
        <w:tc>
          <w:tcPr>
            <w:tcW w:w="1267" w:type="dxa"/>
            <w:tcBorders>
              <w:top w:val="single" w:color="auto" w:sz="8" w:space="0"/>
              <w:left w:val="nil"/>
              <w:bottom w:val="single" w:color="auto" w:sz="8" w:space="0"/>
              <w:right w:val="single" w:color="auto" w:sz="8" w:space="0"/>
            </w:tcBorders>
            <w:shd w:val="clear" w:color="auto" w:fill="auto"/>
            <w:vAlign w:val="center"/>
          </w:tcPr>
          <w:p w14:paraId="076FA5BE">
            <w:pPr>
              <w:widowControl/>
              <w:jc w:val="center"/>
              <w:rPr>
                <w:rFonts w:eastAsia="仿宋"/>
                <w:b/>
                <w:bCs/>
                <w:color w:val="000000"/>
                <w:kern w:val="0"/>
                <w:sz w:val="24"/>
              </w:rPr>
            </w:pPr>
            <w:r>
              <w:rPr>
                <w:rFonts w:eastAsia="仿宋"/>
                <w:b/>
                <w:bCs/>
                <w:color w:val="000000"/>
                <w:kern w:val="0"/>
                <w:sz w:val="24"/>
              </w:rPr>
              <w:t>二级指标</w:t>
            </w:r>
          </w:p>
        </w:tc>
        <w:tc>
          <w:tcPr>
            <w:tcW w:w="3760" w:type="dxa"/>
            <w:tcBorders>
              <w:top w:val="single" w:color="auto" w:sz="8" w:space="0"/>
              <w:left w:val="nil"/>
              <w:bottom w:val="single" w:color="auto" w:sz="8" w:space="0"/>
              <w:right w:val="single" w:color="auto" w:sz="8" w:space="0"/>
            </w:tcBorders>
            <w:shd w:val="clear" w:color="auto" w:fill="auto"/>
            <w:vAlign w:val="center"/>
          </w:tcPr>
          <w:p w14:paraId="2FC10203">
            <w:pPr>
              <w:widowControl/>
              <w:jc w:val="center"/>
              <w:rPr>
                <w:rFonts w:eastAsia="仿宋"/>
                <w:b/>
                <w:bCs/>
                <w:color w:val="000000"/>
                <w:kern w:val="0"/>
                <w:sz w:val="24"/>
              </w:rPr>
            </w:pPr>
            <w:r>
              <w:rPr>
                <w:rFonts w:eastAsia="仿宋"/>
                <w:b/>
                <w:bCs/>
                <w:color w:val="000000"/>
                <w:kern w:val="0"/>
                <w:sz w:val="24"/>
              </w:rPr>
              <w:t>三级指标（参考）</w:t>
            </w:r>
          </w:p>
        </w:tc>
        <w:tc>
          <w:tcPr>
            <w:tcW w:w="2939" w:type="dxa"/>
            <w:tcBorders>
              <w:top w:val="single" w:color="auto" w:sz="8" w:space="0"/>
              <w:left w:val="nil"/>
              <w:bottom w:val="single" w:color="auto" w:sz="8" w:space="0"/>
              <w:right w:val="single" w:color="auto" w:sz="8" w:space="0"/>
            </w:tcBorders>
            <w:shd w:val="clear" w:color="auto" w:fill="auto"/>
            <w:vAlign w:val="center"/>
          </w:tcPr>
          <w:p w14:paraId="1C309928">
            <w:pPr>
              <w:widowControl/>
              <w:jc w:val="center"/>
              <w:rPr>
                <w:rFonts w:eastAsia="仿宋"/>
                <w:b/>
                <w:bCs/>
                <w:color w:val="000000"/>
                <w:kern w:val="0"/>
                <w:sz w:val="24"/>
              </w:rPr>
            </w:pPr>
            <w:r>
              <w:rPr>
                <w:rFonts w:eastAsia="仿宋"/>
                <w:b/>
                <w:bCs/>
                <w:color w:val="000000"/>
                <w:kern w:val="0"/>
                <w:sz w:val="24"/>
              </w:rPr>
              <w:t>指标说明</w:t>
            </w:r>
          </w:p>
        </w:tc>
        <w:tc>
          <w:tcPr>
            <w:tcW w:w="2069" w:type="dxa"/>
            <w:tcBorders>
              <w:top w:val="single" w:color="auto" w:sz="8" w:space="0"/>
              <w:left w:val="nil"/>
              <w:bottom w:val="single" w:color="auto" w:sz="8" w:space="0"/>
              <w:right w:val="single" w:color="auto" w:sz="4" w:space="0"/>
            </w:tcBorders>
            <w:vAlign w:val="center"/>
          </w:tcPr>
          <w:p w14:paraId="6DD12AFD">
            <w:pPr>
              <w:widowControl/>
              <w:jc w:val="center"/>
              <w:rPr>
                <w:rFonts w:eastAsia="仿宋"/>
                <w:b/>
                <w:bCs/>
                <w:color w:val="000000"/>
                <w:kern w:val="0"/>
                <w:sz w:val="24"/>
              </w:rPr>
            </w:pPr>
            <w:r>
              <w:rPr>
                <w:rFonts w:eastAsia="仿宋"/>
                <w:b/>
                <w:bCs/>
                <w:color w:val="000000"/>
                <w:kern w:val="0"/>
                <w:sz w:val="24"/>
              </w:rPr>
              <w:t>评价要点</w:t>
            </w:r>
          </w:p>
        </w:tc>
        <w:tc>
          <w:tcPr>
            <w:tcW w:w="799" w:type="dxa"/>
            <w:tcBorders>
              <w:top w:val="single" w:color="auto" w:sz="8" w:space="0"/>
              <w:left w:val="single" w:color="auto" w:sz="4" w:space="0"/>
              <w:bottom w:val="single" w:color="auto" w:sz="8" w:space="0"/>
              <w:right w:val="single" w:color="auto" w:sz="8" w:space="0"/>
            </w:tcBorders>
            <w:shd w:val="clear" w:color="auto" w:fill="auto"/>
            <w:vAlign w:val="center"/>
          </w:tcPr>
          <w:p w14:paraId="1420DDCE">
            <w:pPr>
              <w:widowControl/>
              <w:jc w:val="center"/>
              <w:rPr>
                <w:rFonts w:eastAsia="仿宋"/>
                <w:b/>
                <w:bCs/>
                <w:color w:val="000000"/>
                <w:kern w:val="0"/>
                <w:sz w:val="24"/>
              </w:rPr>
            </w:pPr>
            <w:r>
              <w:rPr>
                <w:rFonts w:eastAsia="仿宋"/>
                <w:b/>
                <w:bCs/>
                <w:color w:val="000000"/>
                <w:kern w:val="0"/>
                <w:sz w:val="24"/>
              </w:rPr>
              <w:t>自评得分</w:t>
            </w:r>
          </w:p>
        </w:tc>
        <w:tc>
          <w:tcPr>
            <w:tcW w:w="2176" w:type="dxa"/>
            <w:tcBorders>
              <w:top w:val="single" w:color="auto" w:sz="8" w:space="0"/>
              <w:left w:val="single" w:color="auto" w:sz="4" w:space="0"/>
              <w:bottom w:val="single" w:color="auto" w:sz="8" w:space="0"/>
              <w:right w:val="single" w:color="auto" w:sz="8" w:space="0"/>
            </w:tcBorders>
            <w:shd w:val="clear" w:color="auto" w:fill="auto"/>
            <w:vAlign w:val="center"/>
          </w:tcPr>
          <w:p w14:paraId="52674F79">
            <w:pPr>
              <w:widowControl/>
              <w:jc w:val="center"/>
              <w:rPr>
                <w:rFonts w:hint="default" w:eastAsia="仿宋"/>
                <w:b/>
                <w:bCs/>
                <w:color w:val="000000"/>
                <w:kern w:val="0"/>
                <w:sz w:val="24"/>
                <w:lang w:val="en-US" w:eastAsia="zh-CN"/>
              </w:rPr>
            </w:pPr>
            <w:r>
              <w:rPr>
                <w:rFonts w:hint="eastAsia" w:eastAsia="仿宋"/>
                <w:b/>
                <w:bCs/>
                <w:color w:val="000000"/>
                <w:kern w:val="0"/>
                <w:sz w:val="24"/>
                <w:lang w:val="en-US" w:eastAsia="zh-CN"/>
              </w:rPr>
              <w:t>未完成指标原因</w:t>
            </w:r>
          </w:p>
        </w:tc>
      </w:tr>
      <w:tr w14:paraId="13687668">
        <w:tblPrEx>
          <w:tblCellMar>
            <w:top w:w="0" w:type="dxa"/>
            <w:left w:w="108" w:type="dxa"/>
            <w:bottom w:w="0" w:type="dxa"/>
            <w:right w:w="108" w:type="dxa"/>
          </w:tblCellMar>
        </w:tblPrEx>
        <w:trPr>
          <w:trHeight w:val="600" w:hRule="atLeast"/>
        </w:trPr>
        <w:tc>
          <w:tcPr>
            <w:tcW w:w="1153" w:type="dxa"/>
            <w:vMerge w:val="restart"/>
            <w:tcBorders>
              <w:top w:val="nil"/>
              <w:left w:val="single" w:color="auto" w:sz="8" w:space="0"/>
              <w:bottom w:val="single" w:color="000000" w:sz="8" w:space="0"/>
              <w:right w:val="single" w:color="auto" w:sz="8" w:space="0"/>
            </w:tcBorders>
            <w:shd w:val="clear" w:color="auto" w:fill="auto"/>
            <w:vAlign w:val="center"/>
          </w:tcPr>
          <w:p w14:paraId="50CBA66D">
            <w:pPr>
              <w:widowControl/>
              <w:jc w:val="left"/>
              <w:rPr>
                <w:rFonts w:eastAsia="仿宋"/>
                <w:color w:val="000000"/>
                <w:kern w:val="0"/>
                <w:sz w:val="24"/>
              </w:rPr>
            </w:pPr>
            <w:r>
              <w:rPr>
                <w:rFonts w:eastAsia="仿宋"/>
                <w:color w:val="000000"/>
                <w:kern w:val="0"/>
                <w:sz w:val="24"/>
              </w:rPr>
              <w:t>A单位决策（15分）</w:t>
            </w:r>
          </w:p>
        </w:tc>
        <w:tc>
          <w:tcPr>
            <w:tcW w:w="1267" w:type="dxa"/>
            <w:vMerge w:val="restart"/>
            <w:tcBorders>
              <w:top w:val="nil"/>
              <w:left w:val="single" w:color="auto" w:sz="8" w:space="0"/>
              <w:bottom w:val="single" w:color="000000" w:sz="8" w:space="0"/>
              <w:right w:val="single" w:color="auto" w:sz="8" w:space="0"/>
            </w:tcBorders>
            <w:shd w:val="clear" w:color="auto" w:fill="auto"/>
            <w:vAlign w:val="center"/>
          </w:tcPr>
          <w:p w14:paraId="1F72C647">
            <w:pPr>
              <w:widowControl/>
              <w:jc w:val="left"/>
              <w:rPr>
                <w:rFonts w:eastAsia="仿宋"/>
                <w:color w:val="000000"/>
                <w:kern w:val="0"/>
                <w:sz w:val="24"/>
              </w:rPr>
            </w:pPr>
            <w:r>
              <w:rPr>
                <w:rFonts w:eastAsia="仿宋"/>
                <w:color w:val="000000"/>
                <w:kern w:val="0"/>
                <w:sz w:val="24"/>
              </w:rPr>
              <w:t>A1决策机制（5分）</w:t>
            </w:r>
          </w:p>
        </w:tc>
        <w:tc>
          <w:tcPr>
            <w:tcW w:w="3760" w:type="dxa"/>
            <w:tcBorders>
              <w:top w:val="nil"/>
              <w:left w:val="nil"/>
              <w:bottom w:val="single" w:color="auto" w:sz="8" w:space="0"/>
              <w:right w:val="single" w:color="auto" w:sz="8" w:space="0"/>
            </w:tcBorders>
            <w:shd w:val="clear" w:color="auto" w:fill="auto"/>
            <w:vAlign w:val="center"/>
          </w:tcPr>
          <w:p w14:paraId="17C5107A">
            <w:pPr>
              <w:widowControl/>
              <w:jc w:val="left"/>
              <w:rPr>
                <w:rFonts w:eastAsia="仿宋"/>
                <w:color w:val="000000"/>
                <w:kern w:val="0"/>
                <w:sz w:val="24"/>
              </w:rPr>
            </w:pPr>
            <w:r>
              <w:rPr>
                <w:rFonts w:eastAsia="仿宋"/>
                <w:color w:val="000000"/>
                <w:kern w:val="0"/>
                <w:sz w:val="24"/>
              </w:rPr>
              <w:t>A11决策制度的规范性（1分）</w:t>
            </w:r>
          </w:p>
        </w:tc>
        <w:tc>
          <w:tcPr>
            <w:tcW w:w="2939" w:type="dxa"/>
            <w:tcBorders>
              <w:top w:val="nil"/>
              <w:left w:val="nil"/>
              <w:bottom w:val="single" w:color="auto" w:sz="8" w:space="0"/>
              <w:right w:val="single" w:color="auto" w:sz="8" w:space="0"/>
            </w:tcBorders>
            <w:shd w:val="clear" w:color="auto" w:fill="auto"/>
            <w:vAlign w:val="center"/>
          </w:tcPr>
          <w:p w14:paraId="4729C982">
            <w:pPr>
              <w:widowControl/>
              <w:jc w:val="left"/>
              <w:rPr>
                <w:rFonts w:eastAsia="仿宋"/>
                <w:b/>
                <w:bCs/>
                <w:color w:val="000000"/>
                <w:kern w:val="0"/>
                <w:sz w:val="24"/>
              </w:rPr>
            </w:pPr>
            <w:r>
              <w:rPr>
                <w:rFonts w:eastAsia="仿宋"/>
                <w:color w:val="000000"/>
                <w:kern w:val="0"/>
                <w:sz w:val="24"/>
              </w:rPr>
              <w:t>“规范”衡量流程执行</w:t>
            </w:r>
          </w:p>
        </w:tc>
        <w:tc>
          <w:tcPr>
            <w:tcW w:w="2069" w:type="dxa"/>
            <w:tcBorders>
              <w:top w:val="nil"/>
              <w:left w:val="nil"/>
              <w:bottom w:val="single" w:color="auto" w:sz="8" w:space="0"/>
              <w:right w:val="single" w:color="auto" w:sz="4" w:space="0"/>
            </w:tcBorders>
          </w:tcPr>
          <w:p w14:paraId="04E2DCEF">
            <w:pPr>
              <w:widowControl/>
              <w:jc w:val="left"/>
              <w:rPr>
                <w:rFonts w:eastAsia="仿宋"/>
                <w:bCs/>
                <w:color w:val="000000"/>
                <w:kern w:val="0"/>
                <w:sz w:val="24"/>
              </w:rPr>
            </w:pPr>
            <w:r>
              <w:rPr>
                <w:rFonts w:eastAsia="仿宋"/>
                <w:bCs/>
                <w:color w:val="000000"/>
                <w:kern w:val="0"/>
                <w:sz w:val="24"/>
              </w:rPr>
              <w:t>决策制度有相关的流程图</w:t>
            </w:r>
          </w:p>
        </w:tc>
        <w:tc>
          <w:tcPr>
            <w:tcW w:w="799" w:type="dxa"/>
            <w:tcBorders>
              <w:top w:val="nil"/>
              <w:left w:val="single" w:color="auto" w:sz="4" w:space="0"/>
              <w:bottom w:val="single" w:color="auto" w:sz="8" w:space="0"/>
              <w:right w:val="single" w:color="auto" w:sz="8" w:space="0"/>
            </w:tcBorders>
            <w:shd w:val="clear" w:color="auto" w:fill="auto"/>
            <w:vAlign w:val="center"/>
          </w:tcPr>
          <w:p w14:paraId="53F52163">
            <w:pPr>
              <w:widowControl/>
              <w:jc w:val="left"/>
              <w:rPr>
                <w:rFonts w:eastAsia="仿宋"/>
                <w:bCs/>
                <w:color w:val="000000"/>
                <w:kern w:val="0"/>
                <w:sz w:val="24"/>
              </w:rPr>
            </w:pPr>
            <w:r>
              <w:rPr>
                <w:rFonts w:eastAsia="仿宋"/>
                <w:b/>
                <w:bCs/>
                <w:color w:val="000000"/>
                <w:kern w:val="0"/>
                <w:sz w:val="24"/>
              </w:rPr>
              <w:t>　</w:t>
            </w:r>
            <w:r>
              <w:rPr>
                <w:rFonts w:eastAsia="仿宋"/>
                <w:bCs/>
                <w:color w:val="000000"/>
                <w:kern w:val="0"/>
                <w:sz w:val="24"/>
              </w:rPr>
              <w:t>1</w:t>
            </w:r>
          </w:p>
        </w:tc>
        <w:tc>
          <w:tcPr>
            <w:tcW w:w="2176" w:type="dxa"/>
            <w:tcBorders>
              <w:top w:val="nil"/>
              <w:left w:val="single" w:color="auto" w:sz="4" w:space="0"/>
              <w:bottom w:val="single" w:color="auto" w:sz="8" w:space="0"/>
              <w:right w:val="single" w:color="auto" w:sz="8" w:space="0"/>
            </w:tcBorders>
            <w:shd w:val="clear" w:color="auto" w:fill="auto"/>
            <w:vAlign w:val="center"/>
          </w:tcPr>
          <w:p w14:paraId="66C47673">
            <w:pPr>
              <w:widowControl/>
              <w:jc w:val="left"/>
              <w:rPr>
                <w:rFonts w:hint="eastAsia" w:eastAsia="仿宋"/>
                <w:b/>
                <w:bCs/>
                <w:color w:val="000000"/>
                <w:kern w:val="0"/>
                <w:sz w:val="24"/>
                <w:lang w:val="en-US" w:eastAsia="zh-CN"/>
              </w:rPr>
            </w:pPr>
            <w:r>
              <w:rPr>
                <w:rFonts w:hint="eastAsia" w:eastAsia="仿宋"/>
                <w:bCs/>
                <w:color w:val="000000"/>
                <w:kern w:val="0"/>
                <w:sz w:val="24"/>
                <w:lang w:val="en-US" w:eastAsia="zh-CN"/>
              </w:rPr>
              <w:t>已完成</w:t>
            </w:r>
          </w:p>
        </w:tc>
      </w:tr>
      <w:tr w14:paraId="7967FC8E">
        <w:tblPrEx>
          <w:tblCellMar>
            <w:top w:w="0" w:type="dxa"/>
            <w:left w:w="108" w:type="dxa"/>
            <w:bottom w:w="0" w:type="dxa"/>
            <w:right w:w="108" w:type="dxa"/>
          </w:tblCellMar>
        </w:tblPrEx>
        <w:trPr>
          <w:trHeight w:val="600" w:hRule="atLeast"/>
        </w:trPr>
        <w:tc>
          <w:tcPr>
            <w:tcW w:w="1153" w:type="dxa"/>
            <w:vMerge w:val="continue"/>
            <w:tcBorders>
              <w:top w:val="nil"/>
              <w:left w:val="single" w:color="auto" w:sz="8" w:space="0"/>
              <w:bottom w:val="single" w:color="000000" w:sz="8" w:space="0"/>
              <w:right w:val="single" w:color="auto" w:sz="8" w:space="0"/>
            </w:tcBorders>
            <w:vAlign w:val="center"/>
          </w:tcPr>
          <w:p w14:paraId="06C3C5C1">
            <w:pPr>
              <w:widowControl/>
              <w:jc w:val="left"/>
              <w:rPr>
                <w:rFonts w:eastAsia="仿宋"/>
                <w:color w:val="000000"/>
                <w:kern w:val="0"/>
                <w:sz w:val="24"/>
              </w:rPr>
            </w:pPr>
          </w:p>
        </w:tc>
        <w:tc>
          <w:tcPr>
            <w:tcW w:w="1267" w:type="dxa"/>
            <w:vMerge w:val="continue"/>
            <w:tcBorders>
              <w:top w:val="nil"/>
              <w:left w:val="single" w:color="auto" w:sz="8" w:space="0"/>
              <w:bottom w:val="single" w:color="000000" w:sz="8" w:space="0"/>
              <w:right w:val="single" w:color="auto" w:sz="8" w:space="0"/>
            </w:tcBorders>
            <w:vAlign w:val="center"/>
          </w:tcPr>
          <w:p w14:paraId="4FE5024D">
            <w:pPr>
              <w:widowControl/>
              <w:jc w:val="left"/>
              <w:rPr>
                <w:rFonts w:eastAsia="仿宋"/>
                <w:color w:val="000000"/>
                <w:kern w:val="0"/>
                <w:sz w:val="24"/>
              </w:rPr>
            </w:pPr>
          </w:p>
        </w:tc>
        <w:tc>
          <w:tcPr>
            <w:tcW w:w="3760" w:type="dxa"/>
            <w:tcBorders>
              <w:top w:val="nil"/>
              <w:left w:val="nil"/>
              <w:bottom w:val="single" w:color="auto" w:sz="8" w:space="0"/>
              <w:right w:val="single" w:color="auto" w:sz="8" w:space="0"/>
            </w:tcBorders>
            <w:shd w:val="clear" w:color="auto" w:fill="auto"/>
            <w:vAlign w:val="center"/>
          </w:tcPr>
          <w:p w14:paraId="5AB31D54">
            <w:pPr>
              <w:widowControl/>
              <w:jc w:val="left"/>
              <w:rPr>
                <w:rFonts w:eastAsia="仿宋"/>
                <w:color w:val="000000"/>
                <w:kern w:val="0"/>
                <w:sz w:val="24"/>
              </w:rPr>
            </w:pPr>
            <w:r>
              <w:rPr>
                <w:rFonts w:eastAsia="仿宋"/>
                <w:color w:val="000000"/>
                <w:kern w:val="0"/>
                <w:sz w:val="24"/>
              </w:rPr>
              <w:t>A12决策流程的科学性（2分）</w:t>
            </w:r>
          </w:p>
        </w:tc>
        <w:tc>
          <w:tcPr>
            <w:tcW w:w="2939" w:type="dxa"/>
            <w:tcBorders>
              <w:top w:val="nil"/>
              <w:left w:val="nil"/>
              <w:bottom w:val="single" w:color="auto" w:sz="8" w:space="0"/>
              <w:right w:val="single" w:color="auto" w:sz="8" w:space="0"/>
            </w:tcBorders>
            <w:shd w:val="clear" w:color="auto" w:fill="auto"/>
            <w:vAlign w:val="center"/>
          </w:tcPr>
          <w:p w14:paraId="44988077">
            <w:pPr>
              <w:widowControl/>
              <w:jc w:val="left"/>
              <w:rPr>
                <w:rFonts w:eastAsia="仿宋"/>
                <w:color w:val="000000"/>
                <w:kern w:val="0"/>
                <w:sz w:val="24"/>
              </w:rPr>
            </w:pPr>
            <w:r>
              <w:rPr>
                <w:rFonts w:eastAsia="仿宋"/>
                <w:color w:val="000000"/>
                <w:kern w:val="0"/>
                <w:sz w:val="24"/>
              </w:rPr>
              <w:t>“科学”衡量流程的设计</w:t>
            </w:r>
          </w:p>
        </w:tc>
        <w:tc>
          <w:tcPr>
            <w:tcW w:w="2069" w:type="dxa"/>
            <w:tcBorders>
              <w:top w:val="nil"/>
              <w:left w:val="nil"/>
              <w:bottom w:val="single" w:color="auto" w:sz="8" w:space="0"/>
              <w:right w:val="single" w:color="auto" w:sz="4" w:space="0"/>
            </w:tcBorders>
          </w:tcPr>
          <w:p w14:paraId="70040C4E">
            <w:pPr>
              <w:widowControl/>
              <w:jc w:val="left"/>
              <w:rPr>
                <w:rFonts w:eastAsia="仿宋"/>
                <w:color w:val="000000"/>
                <w:kern w:val="0"/>
                <w:sz w:val="24"/>
              </w:rPr>
            </w:pPr>
            <w:r>
              <w:rPr>
                <w:rFonts w:eastAsia="仿宋"/>
                <w:color w:val="000000"/>
                <w:kern w:val="0"/>
                <w:sz w:val="24"/>
              </w:rPr>
              <w:t>流程设计科学合理</w:t>
            </w:r>
          </w:p>
        </w:tc>
        <w:tc>
          <w:tcPr>
            <w:tcW w:w="799" w:type="dxa"/>
            <w:tcBorders>
              <w:top w:val="nil"/>
              <w:left w:val="single" w:color="auto" w:sz="4" w:space="0"/>
              <w:bottom w:val="single" w:color="auto" w:sz="8" w:space="0"/>
              <w:right w:val="single" w:color="auto" w:sz="8" w:space="0"/>
            </w:tcBorders>
            <w:shd w:val="clear" w:color="auto" w:fill="auto"/>
            <w:vAlign w:val="center"/>
          </w:tcPr>
          <w:p w14:paraId="4653F1E7">
            <w:pPr>
              <w:widowControl/>
              <w:jc w:val="left"/>
              <w:rPr>
                <w:rFonts w:eastAsia="仿宋"/>
                <w:color w:val="000000"/>
                <w:kern w:val="0"/>
                <w:sz w:val="24"/>
              </w:rPr>
            </w:pPr>
            <w:r>
              <w:rPr>
                <w:rFonts w:eastAsia="仿宋"/>
                <w:color w:val="000000"/>
                <w:kern w:val="0"/>
                <w:sz w:val="24"/>
              </w:rPr>
              <w:t>　2</w:t>
            </w:r>
          </w:p>
        </w:tc>
        <w:tc>
          <w:tcPr>
            <w:tcW w:w="2176" w:type="dxa"/>
            <w:tcBorders>
              <w:top w:val="nil"/>
              <w:left w:val="single" w:color="auto" w:sz="4" w:space="0"/>
              <w:bottom w:val="single" w:color="auto" w:sz="8" w:space="0"/>
              <w:right w:val="single" w:color="auto" w:sz="8" w:space="0"/>
            </w:tcBorders>
            <w:shd w:val="clear" w:color="auto" w:fill="auto"/>
            <w:vAlign w:val="center"/>
          </w:tcPr>
          <w:p w14:paraId="499E7FB3">
            <w:pPr>
              <w:widowControl/>
              <w:jc w:val="left"/>
              <w:rPr>
                <w:rFonts w:eastAsia="仿宋"/>
                <w:color w:val="000000"/>
                <w:kern w:val="0"/>
                <w:sz w:val="24"/>
              </w:rPr>
            </w:pPr>
            <w:r>
              <w:rPr>
                <w:rFonts w:hint="eastAsia" w:eastAsia="仿宋"/>
                <w:bCs/>
                <w:color w:val="000000"/>
                <w:kern w:val="0"/>
                <w:sz w:val="24"/>
                <w:lang w:val="en-US" w:eastAsia="zh-CN"/>
              </w:rPr>
              <w:t>已完成</w:t>
            </w:r>
          </w:p>
        </w:tc>
      </w:tr>
      <w:tr w14:paraId="2FF62478">
        <w:tblPrEx>
          <w:tblCellMar>
            <w:top w:w="0" w:type="dxa"/>
            <w:left w:w="108" w:type="dxa"/>
            <w:bottom w:w="0" w:type="dxa"/>
            <w:right w:w="108" w:type="dxa"/>
          </w:tblCellMar>
        </w:tblPrEx>
        <w:trPr>
          <w:trHeight w:val="600" w:hRule="atLeast"/>
        </w:trPr>
        <w:tc>
          <w:tcPr>
            <w:tcW w:w="1153" w:type="dxa"/>
            <w:vMerge w:val="continue"/>
            <w:tcBorders>
              <w:top w:val="nil"/>
              <w:left w:val="single" w:color="auto" w:sz="8" w:space="0"/>
              <w:bottom w:val="single" w:color="000000" w:sz="8" w:space="0"/>
              <w:right w:val="single" w:color="auto" w:sz="8" w:space="0"/>
            </w:tcBorders>
            <w:vAlign w:val="center"/>
          </w:tcPr>
          <w:p w14:paraId="52C09BBF">
            <w:pPr>
              <w:widowControl/>
              <w:jc w:val="left"/>
              <w:rPr>
                <w:rFonts w:eastAsia="仿宋"/>
                <w:color w:val="000000"/>
                <w:kern w:val="0"/>
                <w:sz w:val="24"/>
              </w:rPr>
            </w:pPr>
          </w:p>
        </w:tc>
        <w:tc>
          <w:tcPr>
            <w:tcW w:w="1267" w:type="dxa"/>
            <w:vMerge w:val="continue"/>
            <w:tcBorders>
              <w:top w:val="nil"/>
              <w:left w:val="single" w:color="auto" w:sz="8" w:space="0"/>
              <w:bottom w:val="single" w:color="000000" w:sz="8" w:space="0"/>
              <w:right w:val="single" w:color="auto" w:sz="8" w:space="0"/>
            </w:tcBorders>
            <w:vAlign w:val="center"/>
          </w:tcPr>
          <w:p w14:paraId="7F37C34F">
            <w:pPr>
              <w:widowControl/>
              <w:jc w:val="left"/>
              <w:rPr>
                <w:rFonts w:eastAsia="仿宋"/>
                <w:color w:val="000000"/>
                <w:kern w:val="0"/>
                <w:sz w:val="24"/>
              </w:rPr>
            </w:pPr>
          </w:p>
        </w:tc>
        <w:tc>
          <w:tcPr>
            <w:tcW w:w="3760" w:type="dxa"/>
            <w:tcBorders>
              <w:top w:val="nil"/>
              <w:left w:val="nil"/>
              <w:bottom w:val="single" w:color="auto" w:sz="8" w:space="0"/>
              <w:right w:val="single" w:color="auto" w:sz="8" w:space="0"/>
            </w:tcBorders>
            <w:shd w:val="clear" w:color="auto" w:fill="auto"/>
            <w:vAlign w:val="center"/>
          </w:tcPr>
          <w:p w14:paraId="68D8EECF">
            <w:pPr>
              <w:widowControl/>
              <w:jc w:val="left"/>
              <w:rPr>
                <w:rFonts w:eastAsia="仿宋"/>
                <w:color w:val="000000"/>
                <w:kern w:val="0"/>
                <w:sz w:val="24"/>
              </w:rPr>
            </w:pPr>
            <w:r>
              <w:rPr>
                <w:rFonts w:eastAsia="仿宋"/>
                <w:color w:val="000000"/>
                <w:kern w:val="0"/>
                <w:sz w:val="24"/>
              </w:rPr>
              <w:t>A13决策执行监督制衡机制（2分）</w:t>
            </w:r>
          </w:p>
        </w:tc>
        <w:tc>
          <w:tcPr>
            <w:tcW w:w="2939" w:type="dxa"/>
            <w:tcBorders>
              <w:top w:val="nil"/>
              <w:left w:val="nil"/>
              <w:bottom w:val="single" w:color="auto" w:sz="8" w:space="0"/>
              <w:right w:val="single" w:color="auto" w:sz="8" w:space="0"/>
            </w:tcBorders>
            <w:shd w:val="clear" w:color="auto" w:fill="auto"/>
            <w:vAlign w:val="center"/>
          </w:tcPr>
          <w:p w14:paraId="357A4C7D">
            <w:pPr>
              <w:widowControl/>
              <w:jc w:val="left"/>
              <w:rPr>
                <w:rFonts w:eastAsia="仿宋"/>
                <w:color w:val="000000"/>
                <w:kern w:val="0"/>
                <w:sz w:val="24"/>
              </w:rPr>
            </w:pPr>
            <w:r>
              <w:rPr>
                <w:rFonts w:eastAsia="仿宋"/>
                <w:color w:val="000000"/>
                <w:kern w:val="0"/>
                <w:sz w:val="24"/>
              </w:rPr>
              <w:t>监督制衡机制的设置与运行</w:t>
            </w:r>
          </w:p>
        </w:tc>
        <w:tc>
          <w:tcPr>
            <w:tcW w:w="2069" w:type="dxa"/>
            <w:tcBorders>
              <w:top w:val="nil"/>
              <w:left w:val="nil"/>
              <w:bottom w:val="single" w:color="auto" w:sz="8" w:space="0"/>
              <w:right w:val="single" w:color="auto" w:sz="4" w:space="0"/>
            </w:tcBorders>
          </w:tcPr>
          <w:p w14:paraId="4D3DB1AB">
            <w:pPr>
              <w:widowControl/>
              <w:jc w:val="left"/>
              <w:rPr>
                <w:rFonts w:eastAsia="仿宋"/>
                <w:color w:val="000000"/>
                <w:kern w:val="0"/>
                <w:sz w:val="22"/>
              </w:rPr>
            </w:pPr>
            <w:r>
              <w:rPr>
                <w:rFonts w:eastAsia="仿宋"/>
                <w:color w:val="000000"/>
                <w:kern w:val="0"/>
                <w:sz w:val="22"/>
              </w:rPr>
              <w:t>监督制衡机制设置有效且正常运行</w:t>
            </w:r>
          </w:p>
        </w:tc>
        <w:tc>
          <w:tcPr>
            <w:tcW w:w="799" w:type="dxa"/>
            <w:tcBorders>
              <w:top w:val="nil"/>
              <w:left w:val="single" w:color="auto" w:sz="4" w:space="0"/>
              <w:bottom w:val="single" w:color="auto" w:sz="8" w:space="0"/>
              <w:right w:val="single" w:color="auto" w:sz="8" w:space="0"/>
            </w:tcBorders>
            <w:shd w:val="clear" w:color="auto" w:fill="auto"/>
            <w:vAlign w:val="center"/>
          </w:tcPr>
          <w:p w14:paraId="235132E5">
            <w:pPr>
              <w:widowControl/>
              <w:jc w:val="left"/>
              <w:rPr>
                <w:rFonts w:eastAsia="仿宋"/>
                <w:color w:val="000000"/>
                <w:kern w:val="0"/>
                <w:sz w:val="22"/>
              </w:rPr>
            </w:pPr>
            <w:r>
              <w:rPr>
                <w:rFonts w:eastAsia="仿宋"/>
                <w:color w:val="000000"/>
                <w:kern w:val="0"/>
                <w:sz w:val="22"/>
              </w:rPr>
              <w:t>　2</w:t>
            </w:r>
          </w:p>
        </w:tc>
        <w:tc>
          <w:tcPr>
            <w:tcW w:w="2176" w:type="dxa"/>
            <w:tcBorders>
              <w:top w:val="nil"/>
              <w:left w:val="single" w:color="auto" w:sz="4" w:space="0"/>
              <w:bottom w:val="single" w:color="auto" w:sz="8" w:space="0"/>
              <w:right w:val="single" w:color="auto" w:sz="8" w:space="0"/>
            </w:tcBorders>
            <w:shd w:val="clear" w:color="auto" w:fill="auto"/>
            <w:vAlign w:val="center"/>
          </w:tcPr>
          <w:p w14:paraId="2642C1D6">
            <w:pPr>
              <w:widowControl/>
              <w:jc w:val="left"/>
              <w:rPr>
                <w:rFonts w:eastAsia="仿宋"/>
                <w:color w:val="000000"/>
                <w:kern w:val="0"/>
                <w:sz w:val="22"/>
              </w:rPr>
            </w:pPr>
            <w:r>
              <w:rPr>
                <w:rFonts w:hint="eastAsia" w:eastAsia="仿宋"/>
                <w:bCs/>
                <w:color w:val="000000"/>
                <w:kern w:val="0"/>
                <w:sz w:val="24"/>
                <w:lang w:val="en-US" w:eastAsia="zh-CN"/>
              </w:rPr>
              <w:t>已完成</w:t>
            </w:r>
          </w:p>
        </w:tc>
      </w:tr>
      <w:tr w14:paraId="6211E38E">
        <w:tblPrEx>
          <w:tblCellMar>
            <w:top w:w="0" w:type="dxa"/>
            <w:left w:w="108" w:type="dxa"/>
            <w:bottom w:w="0" w:type="dxa"/>
            <w:right w:w="108" w:type="dxa"/>
          </w:tblCellMar>
        </w:tblPrEx>
        <w:trPr>
          <w:trHeight w:val="600" w:hRule="atLeast"/>
        </w:trPr>
        <w:tc>
          <w:tcPr>
            <w:tcW w:w="1153" w:type="dxa"/>
            <w:vMerge w:val="continue"/>
            <w:tcBorders>
              <w:top w:val="nil"/>
              <w:left w:val="single" w:color="auto" w:sz="8" w:space="0"/>
              <w:bottom w:val="single" w:color="000000" w:sz="8" w:space="0"/>
              <w:right w:val="single" w:color="auto" w:sz="8" w:space="0"/>
            </w:tcBorders>
            <w:vAlign w:val="center"/>
          </w:tcPr>
          <w:p w14:paraId="46867E26">
            <w:pPr>
              <w:widowControl/>
              <w:jc w:val="left"/>
              <w:rPr>
                <w:rFonts w:eastAsia="仿宋"/>
                <w:color w:val="000000"/>
                <w:kern w:val="0"/>
                <w:sz w:val="24"/>
              </w:rPr>
            </w:pPr>
          </w:p>
        </w:tc>
        <w:tc>
          <w:tcPr>
            <w:tcW w:w="1267" w:type="dxa"/>
            <w:vMerge w:val="restart"/>
            <w:tcBorders>
              <w:top w:val="nil"/>
              <w:left w:val="single" w:color="auto" w:sz="8" w:space="0"/>
              <w:bottom w:val="single" w:color="auto" w:sz="8" w:space="0"/>
              <w:right w:val="single" w:color="auto" w:sz="8" w:space="0"/>
            </w:tcBorders>
            <w:shd w:val="clear" w:color="auto" w:fill="auto"/>
            <w:vAlign w:val="center"/>
          </w:tcPr>
          <w:p w14:paraId="54F7F6D2">
            <w:pPr>
              <w:widowControl/>
              <w:jc w:val="left"/>
              <w:rPr>
                <w:rFonts w:eastAsia="仿宋"/>
                <w:color w:val="000000"/>
                <w:kern w:val="0"/>
                <w:sz w:val="24"/>
              </w:rPr>
            </w:pPr>
            <w:r>
              <w:rPr>
                <w:rFonts w:eastAsia="仿宋"/>
                <w:color w:val="000000"/>
                <w:kern w:val="0"/>
                <w:sz w:val="24"/>
              </w:rPr>
              <w:t>A2中长期规划（3分）</w:t>
            </w:r>
          </w:p>
        </w:tc>
        <w:tc>
          <w:tcPr>
            <w:tcW w:w="3760" w:type="dxa"/>
            <w:tcBorders>
              <w:top w:val="nil"/>
              <w:left w:val="nil"/>
              <w:bottom w:val="single" w:color="auto" w:sz="8" w:space="0"/>
              <w:right w:val="single" w:color="auto" w:sz="8" w:space="0"/>
            </w:tcBorders>
            <w:shd w:val="clear" w:color="auto" w:fill="auto"/>
            <w:vAlign w:val="center"/>
          </w:tcPr>
          <w:p w14:paraId="7297AE8B">
            <w:pPr>
              <w:widowControl/>
              <w:jc w:val="left"/>
              <w:rPr>
                <w:rFonts w:eastAsia="仿宋"/>
                <w:color w:val="000000"/>
                <w:kern w:val="0"/>
                <w:sz w:val="24"/>
              </w:rPr>
            </w:pPr>
            <w:r>
              <w:rPr>
                <w:rFonts w:eastAsia="仿宋"/>
                <w:color w:val="000000"/>
                <w:kern w:val="0"/>
                <w:sz w:val="24"/>
              </w:rPr>
              <w:t>A21中长期规划明确性（2分）</w:t>
            </w:r>
          </w:p>
        </w:tc>
        <w:tc>
          <w:tcPr>
            <w:tcW w:w="2939" w:type="dxa"/>
            <w:tcBorders>
              <w:top w:val="nil"/>
              <w:left w:val="nil"/>
              <w:bottom w:val="single" w:color="auto" w:sz="8" w:space="0"/>
              <w:right w:val="single" w:color="auto" w:sz="8" w:space="0"/>
            </w:tcBorders>
            <w:shd w:val="clear" w:color="auto" w:fill="auto"/>
            <w:vAlign w:val="center"/>
          </w:tcPr>
          <w:p w14:paraId="64A5C0F7">
            <w:pPr>
              <w:widowControl/>
              <w:jc w:val="left"/>
              <w:rPr>
                <w:rFonts w:eastAsia="仿宋"/>
                <w:color w:val="000000"/>
                <w:kern w:val="0"/>
                <w:sz w:val="24"/>
              </w:rPr>
            </w:pPr>
            <w:r>
              <w:rPr>
                <w:rFonts w:eastAsia="仿宋"/>
                <w:color w:val="000000"/>
                <w:kern w:val="0"/>
                <w:sz w:val="24"/>
              </w:rPr>
              <w:t>符合国家法律法规、国民经济和社会发展规划要求</w:t>
            </w:r>
          </w:p>
        </w:tc>
        <w:tc>
          <w:tcPr>
            <w:tcW w:w="2069" w:type="dxa"/>
            <w:tcBorders>
              <w:top w:val="nil"/>
              <w:left w:val="nil"/>
              <w:bottom w:val="single" w:color="auto" w:sz="8" w:space="0"/>
              <w:right w:val="single" w:color="auto" w:sz="4" w:space="0"/>
            </w:tcBorders>
          </w:tcPr>
          <w:p w14:paraId="448016D4">
            <w:pPr>
              <w:widowControl/>
              <w:jc w:val="left"/>
              <w:rPr>
                <w:rFonts w:eastAsia="仿宋"/>
                <w:color w:val="000000"/>
                <w:kern w:val="0"/>
                <w:sz w:val="24"/>
              </w:rPr>
            </w:pPr>
            <w:r>
              <w:rPr>
                <w:rFonts w:eastAsia="仿宋"/>
                <w:color w:val="000000"/>
                <w:kern w:val="0"/>
                <w:sz w:val="24"/>
              </w:rPr>
              <w:t>具体明确可执行</w:t>
            </w:r>
          </w:p>
        </w:tc>
        <w:tc>
          <w:tcPr>
            <w:tcW w:w="799" w:type="dxa"/>
            <w:tcBorders>
              <w:top w:val="nil"/>
              <w:left w:val="single" w:color="auto" w:sz="4" w:space="0"/>
              <w:bottom w:val="single" w:color="auto" w:sz="8" w:space="0"/>
              <w:right w:val="single" w:color="auto" w:sz="8" w:space="0"/>
            </w:tcBorders>
            <w:shd w:val="clear" w:color="auto" w:fill="auto"/>
            <w:vAlign w:val="center"/>
          </w:tcPr>
          <w:p w14:paraId="31368D62">
            <w:pPr>
              <w:widowControl/>
              <w:jc w:val="left"/>
              <w:rPr>
                <w:rFonts w:hint="eastAsia" w:eastAsia="仿宋"/>
                <w:color w:val="000000"/>
                <w:kern w:val="0"/>
                <w:sz w:val="24"/>
                <w:lang w:eastAsia="zh-CN"/>
              </w:rPr>
            </w:pPr>
            <w:r>
              <w:rPr>
                <w:rFonts w:eastAsia="仿宋"/>
                <w:color w:val="000000"/>
                <w:kern w:val="0"/>
                <w:sz w:val="24"/>
              </w:rPr>
              <w:t>　</w:t>
            </w:r>
            <w:r>
              <w:rPr>
                <w:rFonts w:hint="eastAsia" w:eastAsia="仿宋"/>
                <w:color w:val="auto"/>
                <w:kern w:val="0"/>
                <w:sz w:val="24"/>
                <w:lang w:val="en-US" w:eastAsia="zh-CN"/>
              </w:rPr>
              <w:t>2</w:t>
            </w:r>
          </w:p>
        </w:tc>
        <w:tc>
          <w:tcPr>
            <w:tcW w:w="2176" w:type="dxa"/>
            <w:tcBorders>
              <w:top w:val="nil"/>
              <w:left w:val="single" w:color="auto" w:sz="4" w:space="0"/>
              <w:bottom w:val="single" w:color="auto" w:sz="8" w:space="0"/>
              <w:right w:val="single" w:color="auto" w:sz="8" w:space="0"/>
            </w:tcBorders>
            <w:shd w:val="clear" w:color="auto" w:fill="auto"/>
            <w:vAlign w:val="center"/>
          </w:tcPr>
          <w:p w14:paraId="088FFA80">
            <w:pPr>
              <w:widowControl/>
              <w:jc w:val="left"/>
              <w:rPr>
                <w:rFonts w:eastAsia="仿宋"/>
                <w:color w:val="000000"/>
                <w:kern w:val="0"/>
                <w:sz w:val="24"/>
              </w:rPr>
            </w:pPr>
            <w:r>
              <w:rPr>
                <w:rFonts w:hint="eastAsia" w:eastAsia="仿宋"/>
                <w:bCs/>
                <w:color w:val="000000"/>
                <w:kern w:val="0"/>
                <w:sz w:val="24"/>
                <w:lang w:val="en-US" w:eastAsia="zh-CN"/>
              </w:rPr>
              <w:t>已完成</w:t>
            </w:r>
          </w:p>
        </w:tc>
      </w:tr>
      <w:tr w14:paraId="433B6A2B">
        <w:tblPrEx>
          <w:tblCellMar>
            <w:top w:w="0" w:type="dxa"/>
            <w:left w:w="108" w:type="dxa"/>
            <w:bottom w:w="0" w:type="dxa"/>
            <w:right w:w="108" w:type="dxa"/>
          </w:tblCellMar>
        </w:tblPrEx>
        <w:trPr>
          <w:trHeight w:val="600" w:hRule="atLeast"/>
        </w:trPr>
        <w:tc>
          <w:tcPr>
            <w:tcW w:w="1153" w:type="dxa"/>
            <w:vMerge w:val="continue"/>
            <w:tcBorders>
              <w:top w:val="nil"/>
              <w:left w:val="single" w:color="auto" w:sz="8" w:space="0"/>
              <w:bottom w:val="single" w:color="000000" w:sz="8" w:space="0"/>
              <w:right w:val="single" w:color="auto" w:sz="8" w:space="0"/>
            </w:tcBorders>
            <w:vAlign w:val="center"/>
          </w:tcPr>
          <w:p w14:paraId="57DC932B">
            <w:pPr>
              <w:widowControl/>
              <w:jc w:val="left"/>
              <w:rPr>
                <w:rFonts w:eastAsia="仿宋"/>
                <w:color w:val="000000"/>
                <w:kern w:val="0"/>
                <w:sz w:val="24"/>
              </w:rPr>
            </w:pPr>
          </w:p>
        </w:tc>
        <w:tc>
          <w:tcPr>
            <w:tcW w:w="1267" w:type="dxa"/>
            <w:vMerge w:val="continue"/>
            <w:tcBorders>
              <w:top w:val="nil"/>
              <w:left w:val="single" w:color="auto" w:sz="8" w:space="0"/>
              <w:bottom w:val="single" w:color="auto" w:sz="8" w:space="0"/>
              <w:right w:val="single" w:color="auto" w:sz="8" w:space="0"/>
            </w:tcBorders>
            <w:vAlign w:val="center"/>
          </w:tcPr>
          <w:p w14:paraId="4A64D8FF">
            <w:pPr>
              <w:widowControl/>
              <w:jc w:val="left"/>
              <w:rPr>
                <w:rFonts w:eastAsia="仿宋"/>
                <w:color w:val="000000"/>
                <w:kern w:val="0"/>
                <w:sz w:val="24"/>
              </w:rPr>
            </w:pPr>
          </w:p>
        </w:tc>
        <w:tc>
          <w:tcPr>
            <w:tcW w:w="3760" w:type="dxa"/>
            <w:tcBorders>
              <w:top w:val="nil"/>
              <w:left w:val="nil"/>
              <w:bottom w:val="single" w:color="auto" w:sz="8" w:space="0"/>
              <w:right w:val="single" w:color="auto" w:sz="8" w:space="0"/>
            </w:tcBorders>
            <w:shd w:val="clear" w:color="auto" w:fill="auto"/>
            <w:vAlign w:val="center"/>
          </w:tcPr>
          <w:p w14:paraId="66453195">
            <w:pPr>
              <w:widowControl/>
              <w:jc w:val="left"/>
              <w:rPr>
                <w:rFonts w:eastAsia="仿宋"/>
                <w:color w:val="000000"/>
                <w:kern w:val="0"/>
                <w:sz w:val="24"/>
              </w:rPr>
            </w:pPr>
            <w:r>
              <w:rPr>
                <w:rFonts w:eastAsia="仿宋"/>
                <w:color w:val="000000"/>
                <w:kern w:val="0"/>
                <w:sz w:val="24"/>
              </w:rPr>
              <w:t>A22中长期规划与部门职能的匹配性（1分）</w:t>
            </w:r>
          </w:p>
        </w:tc>
        <w:tc>
          <w:tcPr>
            <w:tcW w:w="2939" w:type="dxa"/>
            <w:tcBorders>
              <w:top w:val="nil"/>
              <w:left w:val="nil"/>
              <w:bottom w:val="single" w:color="auto" w:sz="8" w:space="0"/>
              <w:right w:val="single" w:color="auto" w:sz="8" w:space="0"/>
            </w:tcBorders>
            <w:shd w:val="clear" w:color="auto" w:fill="auto"/>
            <w:vAlign w:val="center"/>
          </w:tcPr>
          <w:p w14:paraId="1CD24387">
            <w:pPr>
              <w:widowControl/>
              <w:jc w:val="left"/>
              <w:rPr>
                <w:rFonts w:eastAsia="仿宋"/>
                <w:color w:val="000000"/>
                <w:kern w:val="0"/>
                <w:sz w:val="24"/>
              </w:rPr>
            </w:pPr>
            <w:r>
              <w:rPr>
                <w:rFonts w:eastAsia="仿宋"/>
                <w:color w:val="000000"/>
                <w:kern w:val="0"/>
                <w:sz w:val="24"/>
              </w:rPr>
              <w:t>与单位职能、发展规划和工作计划密切相关</w:t>
            </w:r>
          </w:p>
        </w:tc>
        <w:tc>
          <w:tcPr>
            <w:tcW w:w="2069" w:type="dxa"/>
            <w:tcBorders>
              <w:top w:val="nil"/>
              <w:left w:val="nil"/>
              <w:bottom w:val="single" w:color="auto" w:sz="8" w:space="0"/>
              <w:right w:val="single" w:color="auto" w:sz="4" w:space="0"/>
            </w:tcBorders>
          </w:tcPr>
          <w:p w14:paraId="17D2A994">
            <w:pPr>
              <w:widowControl/>
              <w:jc w:val="left"/>
              <w:rPr>
                <w:rFonts w:eastAsia="仿宋"/>
                <w:color w:val="000000"/>
                <w:kern w:val="0"/>
                <w:sz w:val="24"/>
              </w:rPr>
            </w:pPr>
            <w:r>
              <w:rPr>
                <w:rFonts w:eastAsia="仿宋"/>
                <w:color w:val="000000"/>
                <w:kern w:val="0"/>
                <w:sz w:val="24"/>
              </w:rPr>
              <w:t>部门职能相匹配</w:t>
            </w:r>
          </w:p>
        </w:tc>
        <w:tc>
          <w:tcPr>
            <w:tcW w:w="799" w:type="dxa"/>
            <w:tcBorders>
              <w:top w:val="nil"/>
              <w:left w:val="single" w:color="auto" w:sz="4" w:space="0"/>
              <w:bottom w:val="single" w:color="auto" w:sz="8" w:space="0"/>
              <w:right w:val="single" w:color="auto" w:sz="8" w:space="0"/>
            </w:tcBorders>
            <w:shd w:val="clear" w:color="auto" w:fill="auto"/>
            <w:vAlign w:val="center"/>
          </w:tcPr>
          <w:p w14:paraId="0721F2A3">
            <w:pPr>
              <w:widowControl/>
              <w:jc w:val="left"/>
              <w:rPr>
                <w:rFonts w:hint="eastAsia" w:eastAsia="仿宋"/>
                <w:color w:val="000000"/>
                <w:kern w:val="0"/>
                <w:sz w:val="24"/>
                <w:lang w:eastAsia="zh-CN"/>
              </w:rPr>
            </w:pPr>
            <w:r>
              <w:rPr>
                <w:rFonts w:eastAsia="仿宋"/>
                <w:color w:val="000000"/>
                <w:kern w:val="0"/>
                <w:sz w:val="24"/>
              </w:rPr>
              <w:t>　</w:t>
            </w:r>
            <w:r>
              <w:rPr>
                <w:rFonts w:hint="eastAsia" w:eastAsia="仿宋"/>
                <w:color w:val="000000"/>
                <w:kern w:val="0"/>
                <w:sz w:val="24"/>
                <w:lang w:val="en-US" w:eastAsia="zh-CN"/>
              </w:rPr>
              <w:t>1</w:t>
            </w:r>
          </w:p>
        </w:tc>
        <w:tc>
          <w:tcPr>
            <w:tcW w:w="2176" w:type="dxa"/>
            <w:tcBorders>
              <w:top w:val="nil"/>
              <w:left w:val="single" w:color="auto" w:sz="4" w:space="0"/>
              <w:bottom w:val="single" w:color="auto" w:sz="8" w:space="0"/>
              <w:right w:val="single" w:color="auto" w:sz="8" w:space="0"/>
            </w:tcBorders>
            <w:shd w:val="clear" w:color="auto" w:fill="auto"/>
            <w:vAlign w:val="center"/>
          </w:tcPr>
          <w:p w14:paraId="128FE8C3">
            <w:pPr>
              <w:widowControl/>
              <w:jc w:val="left"/>
              <w:rPr>
                <w:rFonts w:eastAsia="仿宋"/>
                <w:color w:val="000000"/>
                <w:kern w:val="0"/>
                <w:sz w:val="24"/>
              </w:rPr>
            </w:pPr>
            <w:r>
              <w:rPr>
                <w:rFonts w:hint="eastAsia" w:eastAsia="仿宋"/>
                <w:bCs/>
                <w:color w:val="000000"/>
                <w:kern w:val="0"/>
                <w:sz w:val="24"/>
                <w:lang w:val="en-US" w:eastAsia="zh-CN"/>
              </w:rPr>
              <w:t>已完成</w:t>
            </w:r>
          </w:p>
        </w:tc>
      </w:tr>
      <w:tr w14:paraId="0FC58E6C">
        <w:tblPrEx>
          <w:tblCellMar>
            <w:top w:w="0" w:type="dxa"/>
            <w:left w:w="108" w:type="dxa"/>
            <w:bottom w:w="0" w:type="dxa"/>
            <w:right w:w="108" w:type="dxa"/>
          </w:tblCellMar>
        </w:tblPrEx>
        <w:trPr>
          <w:trHeight w:val="600" w:hRule="atLeast"/>
        </w:trPr>
        <w:tc>
          <w:tcPr>
            <w:tcW w:w="1153" w:type="dxa"/>
            <w:vMerge w:val="continue"/>
            <w:tcBorders>
              <w:top w:val="nil"/>
              <w:left w:val="single" w:color="auto" w:sz="8" w:space="0"/>
              <w:bottom w:val="single" w:color="000000" w:sz="8" w:space="0"/>
              <w:right w:val="single" w:color="auto" w:sz="8" w:space="0"/>
            </w:tcBorders>
            <w:vAlign w:val="center"/>
          </w:tcPr>
          <w:p w14:paraId="68E7EED7">
            <w:pPr>
              <w:widowControl/>
              <w:jc w:val="left"/>
              <w:rPr>
                <w:rFonts w:eastAsia="仿宋"/>
                <w:color w:val="000000"/>
                <w:kern w:val="0"/>
                <w:sz w:val="24"/>
              </w:rPr>
            </w:pPr>
          </w:p>
        </w:tc>
        <w:tc>
          <w:tcPr>
            <w:tcW w:w="1267" w:type="dxa"/>
            <w:vMerge w:val="restart"/>
            <w:tcBorders>
              <w:top w:val="nil"/>
              <w:left w:val="single" w:color="auto" w:sz="8" w:space="0"/>
              <w:bottom w:val="single" w:color="auto" w:sz="8" w:space="0"/>
              <w:right w:val="single" w:color="auto" w:sz="8" w:space="0"/>
            </w:tcBorders>
            <w:shd w:val="clear" w:color="auto" w:fill="auto"/>
            <w:vAlign w:val="center"/>
          </w:tcPr>
          <w:p w14:paraId="192A8ABA">
            <w:pPr>
              <w:widowControl/>
              <w:jc w:val="left"/>
              <w:rPr>
                <w:rFonts w:eastAsia="仿宋"/>
                <w:color w:val="000000"/>
                <w:kern w:val="0"/>
                <w:sz w:val="24"/>
              </w:rPr>
            </w:pPr>
            <w:r>
              <w:rPr>
                <w:rFonts w:eastAsia="仿宋"/>
                <w:color w:val="000000"/>
                <w:kern w:val="0"/>
                <w:sz w:val="24"/>
              </w:rPr>
              <w:t>A3年度工作计划（3分）</w:t>
            </w:r>
          </w:p>
        </w:tc>
        <w:tc>
          <w:tcPr>
            <w:tcW w:w="3760" w:type="dxa"/>
            <w:tcBorders>
              <w:top w:val="nil"/>
              <w:left w:val="nil"/>
              <w:bottom w:val="single" w:color="auto" w:sz="8" w:space="0"/>
              <w:right w:val="single" w:color="auto" w:sz="8" w:space="0"/>
            </w:tcBorders>
            <w:shd w:val="clear" w:color="auto" w:fill="auto"/>
            <w:vAlign w:val="center"/>
          </w:tcPr>
          <w:p w14:paraId="605487F7">
            <w:pPr>
              <w:widowControl/>
              <w:jc w:val="left"/>
              <w:rPr>
                <w:rFonts w:eastAsia="仿宋"/>
                <w:color w:val="000000"/>
                <w:kern w:val="0"/>
                <w:sz w:val="24"/>
              </w:rPr>
            </w:pPr>
            <w:r>
              <w:rPr>
                <w:rFonts w:eastAsia="仿宋"/>
                <w:color w:val="000000"/>
                <w:kern w:val="0"/>
                <w:sz w:val="24"/>
              </w:rPr>
              <w:t>A31年度工作计划明确性（2分）</w:t>
            </w:r>
          </w:p>
        </w:tc>
        <w:tc>
          <w:tcPr>
            <w:tcW w:w="2939" w:type="dxa"/>
            <w:tcBorders>
              <w:top w:val="nil"/>
              <w:left w:val="nil"/>
              <w:bottom w:val="single" w:color="auto" w:sz="8" w:space="0"/>
              <w:right w:val="single" w:color="auto" w:sz="8" w:space="0"/>
            </w:tcBorders>
            <w:shd w:val="clear" w:color="auto" w:fill="auto"/>
            <w:vAlign w:val="center"/>
          </w:tcPr>
          <w:p w14:paraId="7F89984A">
            <w:pPr>
              <w:widowControl/>
              <w:jc w:val="left"/>
              <w:rPr>
                <w:rFonts w:eastAsia="仿宋"/>
                <w:color w:val="000000"/>
                <w:kern w:val="0"/>
                <w:sz w:val="24"/>
              </w:rPr>
            </w:pPr>
            <w:r>
              <w:rPr>
                <w:rFonts w:eastAsia="仿宋"/>
                <w:color w:val="000000"/>
                <w:kern w:val="0"/>
                <w:sz w:val="24"/>
              </w:rPr>
              <w:t>年度工作计划明确可行</w:t>
            </w:r>
          </w:p>
        </w:tc>
        <w:tc>
          <w:tcPr>
            <w:tcW w:w="2069" w:type="dxa"/>
            <w:tcBorders>
              <w:top w:val="nil"/>
              <w:left w:val="nil"/>
              <w:bottom w:val="single" w:color="auto" w:sz="8" w:space="0"/>
              <w:right w:val="single" w:color="auto" w:sz="4" w:space="0"/>
            </w:tcBorders>
          </w:tcPr>
          <w:p w14:paraId="643306DD">
            <w:pPr>
              <w:widowControl/>
              <w:jc w:val="left"/>
              <w:rPr>
                <w:rFonts w:eastAsia="仿宋"/>
                <w:color w:val="000000"/>
                <w:kern w:val="0"/>
                <w:sz w:val="24"/>
              </w:rPr>
            </w:pPr>
            <w:r>
              <w:rPr>
                <w:rFonts w:eastAsia="仿宋"/>
                <w:color w:val="000000"/>
                <w:kern w:val="0"/>
                <w:sz w:val="24"/>
              </w:rPr>
              <w:t>评价年度工作计划是否明确可执行</w:t>
            </w:r>
          </w:p>
        </w:tc>
        <w:tc>
          <w:tcPr>
            <w:tcW w:w="799" w:type="dxa"/>
            <w:tcBorders>
              <w:top w:val="nil"/>
              <w:left w:val="single" w:color="auto" w:sz="4" w:space="0"/>
              <w:bottom w:val="single" w:color="auto" w:sz="8" w:space="0"/>
              <w:right w:val="single" w:color="auto" w:sz="8" w:space="0"/>
            </w:tcBorders>
            <w:shd w:val="clear" w:color="auto" w:fill="auto"/>
            <w:vAlign w:val="center"/>
          </w:tcPr>
          <w:p w14:paraId="114F696E">
            <w:pPr>
              <w:widowControl/>
              <w:ind w:firstLine="240" w:firstLineChars="100"/>
              <w:jc w:val="left"/>
              <w:rPr>
                <w:rFonts w:eastAsia="仿宋"/>
                <w:color w:val="000000"/>
                <w:kern w:val="0"/>
                <w:sz w:val="24"/>
              </w:rPr>
            </w:pPr>
            <w:r>
              <w:rPr>
                <w:rFonts w:eastAsia="仿宋"/>
                <w:color w:val="000000"/>
                <w:kern w:val="0"/>
                <w:sz w:val="24"/>
              </w:rPr>
              <w:t>2</w:t>
            </w:r>
          </w:p>
        </w:tc>
        <w:tc>
          <w:tcPr>
            <w:tcW w:w="2176" w:type="dxa"/>
            <w:tcBorders>
              <w:top w:val="nil"/>
              <w:left w:val="single" w:color="auto" w:sz="4" w:space="0"/>
              <w:bottom w:val="single" w:color="auto" w:sz="8" w:space="0"/>
              <w:right w:val="single" w:color="auto" w:sz="8" w:space="0"/>
            </w:tcBorders>
            <w:shd w:val="clear" w:color="auto" w:fill="auto"/>
            <w:vAlign w:val="center"/>
          </w:tcPr>
          <w:p w14:paraId="154321AC">
            <w:pPr>
              <w:widowControl/>
              <w:jc w:val="left"/>
              <w:rPr>
                <w:rFonts w:eastAsia="仿宋"/>
                <w:color w:val="000000"/>
                <w:kern w:val="0"/>
                <w:sz w:val="24"/>
              </w:rPr>
            </w:pPr>
            <w:r>
              <w:rPr>
                <w:rFonts w:hint="eastAsia" w:eastAsia="仿宋"/>
                <w:bCs/>
                <w:color w:val="000000"/>
                <w:kern w:val="0"/>
                <w:sz w:val="24"/>
                <w:lang w:val="en-US" w:eastAsia="zh-CN"/>
              </w:rPr>
              <w:t>已完成</w:t>
            </w:r>
          </w:p>
        </w:tc>
      </w:tr>
      <w:tr w14:paraId="7637C478">
        <w:tblPrEx>
          <w:tblCellMar>
            <w:top w:w="0" w:type="dxa"/>
            <w:left w:w="108" w:type="dxa"/>
            <w:bottom w:w="0" w:type="dxa"/>
            <w:right w:w="108" w:type="dxa"/>
          </w:tblCellMar>
        </w:tblPrEx>
        <w:trPr>
          <w:trHeight w:val="600" w:hRule="atLeast"/>
        </w:trPr>
        <w:tc>
          <w:tcPr>
            <w:tcW w:w="1153" w:type="dxa"/>
            <w:vMerge w:val="continue"/>
            <w:tcBorders>
              <w:top w:val="nil"/>
              <w:left w:val="single" w:color="auto" w:sz="8" w:space="0"/>
              <w:bottom w:val="single" w:color="000000" w:sz="8" w:space="0"/>
              <w:right w:val="single" w:color="auto" w:sz="8" w:space="0"/>
            </w:tcBorders>
            <w:vAlign w:val="center"/>
          </w:tcPr>
          <w:p w14:paraId="3B53C6D9">
            <w:pPr>
              <w:widowControl/>
              <w:jc w:val="left"/>
              <w:rPr>
                <w:rFonts w:eastAsia="仿宋"/>
                <w:color w:val="000000"/>
                <w:kern w:val="0"/>
                <w:sz w:val="24"/>
              </w:rPr>
            </w:pPr>
          </w:p>
        </w:tc>
        <w:tc>
          <w:tcPr>
            <w:tcW w:w="1267" w:type="dxa"/>
            <w:vMerge w:val="continue"/>
            <w:tcBorders>
              <w:top w:val="nil"/>
              <w:left w:val="single" w:color="auto" w:sz="8" w:space="0"/>
              <w:bottom w:val="single" w:color="auto" w:sz="8" w:space="0"/>
              <w:right w:val="single" w:color="auto" w:sz="8" w:space="0"/>
            </w:tcBorders>
            <w:vAlign w:val="center"/>
          </w:tcPr>
          <w:p w14:paraId="56541517">
            <w:pPr>
              <w:widowControl/>
              <w:jc w:val="left"/>
              <w:rPr>
                <w:rFonts w:eastAsia="仿宋"/>
                <w:color w:val="000000"/>
                <w:kern w:val="0"/>
                <w:sz w:val="24"/>
              </w:rPr>
            </w:pPr>
          </w:p>
        </w:tc>
        <w:tc>
          <w:tcPr>
            <w:tcW w:w="3760" w:type="dxa"/>
            <w:tcBorders>
              <w:top w:val="nil"/>
              <w:left w:val="nil"/>
              <w:bottom w:val="single" w:color="auto" w:sz="8" w:space="0"/>
              <w:right w:val="single" w:color="auto" w:sz="8" w:space="0"/>
            </w:tcBorders>
            <w:shd w:val="clear" w:color="auto" w:fill="auto"/>
            <w:vAlign w:val="center"/>
          </w:tcPr>
          <w:p w14:paraId="0F70A9EE">
            <w:pPr>
              <w:widowControl/>
              <w:jc w:val="left"/>
              <w:rPr>
                <w:rFonts w:eastAsia="仿宋"/>
                <w:color w:val="000000"/>
                <w:kern w:val="0"/>
                <w:sz w:val="24"/>
              </w:rPr>
            </w:pPr>
            <w:r>
              <w:rPr>
                <w:rFonts w:eastAsia="仿宋"/>
                <w:color w:val="000000"/>
                <w:kern w:val="0"/>
                <w:sz w:val="24"/>
              </w:rPr>
              <w:t>A32年度工作计划与部门职能的匹配性（1分）</w:t>
            </w:r>
          </w:p>
        </w:tc>
        <w:tc>
          <w:tcPr>
            <w:tcW w:w="2939" w:type="dxa"/>
            <w:tcBorders>
              <w:top w:val="nil"/>
              <w:left w:val="nil"/>
              <w:bottom w:val="single" w:color="auto" w:sz="8" w:space="0"/>
              <w:right w:val="single" w:color="auto" w:sz="8" w:space="0"/>
            </w:tcBorders>
            <w:shd w:val="clear" w:color="auto" w:fill="auto"/>
            <w:vAlign w:val="center"/>
          </w:tcPr>
          <w:p w14:paraId="1CA090FF">
            <w:pPr>
              <w:widowControl/>
              <w:jc w:val="left"/>
              <w:rPr>
                <w:rFonts w:eastAsia="仿宋"/>
                <w:color w:val="000000"/>
                <w:kern w:val="0"/>
                <w:sz w:val="24"/>
              </w:rPr>
            </w:pPr>
            <w:r>
              <w:rPr>
                <w:rFonts w:eastAsia="仿宋"/>
                <w:color w:val="000000"/>
                <w:kern w:val="0"/>
                <w:sz w:val="24"/>
              </w:rPr>
              <w:t>与部门职能密切相关</w:t>
            </w:r>
          </w:p>
        </w:tc>
        <w:tc>
          <w:tcPr>
            <w:tcW w:w="2069" w:type="dxa"/>
            <w:tcBorders>
              <w:top w:val="nil"/>
              <w:left w:val="nil"/>
              <w:bottom w:val="single" w:color="auto" w:sz="8" w:space="0"/>
              <w:right w:val="single" w:color="auto" w:sz="4" w:space="0"/>
            </w:tcBorders>
          </w:tcPr>
          <w:p w14:paraId="1BEF5B27">
            <w:pPr>
              <w:widowControl/>
              <w:jc w:val="left"/>
              <w:rPr>
                <w:rFonts w:eastAsia="仿宋"/>
                <w:color w:val="000000"/>
                <w:kern w:val="0"/>
                <w:sz w:val="24"/>
              </w:rPr>
            </w:pPr>
            <w:r>
              <w:rPr>
                <w:rFonts w:eastAsia="仿宋"/>
                <w:color w:val="000000"/>
                <w:kern w:val="0"/>
                <w:sz w:val="24"/>
              </w:rPr>
              <w:t>评价其与部门职能相匹配</w:t>
            </w:r>
          </w:p>
        </w:tc>
        <w:tc>
          <w:tcPr>
            <w:tcW w:w="799" w:type="dxa"/>
            <w:tcBorders>
              <w:top w:val="nil"/>
              <w:left w:val="single" w:color="auto" w:sz="4" w:space="0"/>
              <w:bottom w:val="single" w:color="auto" w:sz="8" w:space="0"/>
              <w:right w:val="single" w:color="auto" w:sz="8" w:space="0"/>
            </w:tcBorders>
            <w:shd w:val="clear" w:color="auto" w:fill="auto"/>
            <w:vAlign w:val="center"/>
          </w:tcPr>
          <w:p w14:paraId="79E900A9">
            <w:pPr>
              <w:widowControl/>
              <w:jc w:val="left"/>
              <w:rPr>
                <w:rFonts w:eastAsia="仿宋"/>
                <w:color w:val="000000"/>
                <w:kern w:val="0"/>
                <w:sz w:val="24"/>
              </w:rPr>
            </w:pPr>
            <w:r>
              <w:rPr>
                <w:rFonts w:eastAsia="仿宋"/>
                <w:color w:val="000000"/>
                <w:kern w:val="0"/>
                <w:sz w:val="24"/>
              </w:rPr>
              <w:t>　1</w:t>
            </w:r>
          </w:p>
        </w:tc>
        <w:tc>
          <w:tcPr>
            <w:tcW w:w="2176" w:type="dxa"/>
            <w:tcBorders>
              <w:top w:val="nil"/>
              <w:left w:val="single" w:color="auto" w:sz="4" w:space="0"/>
              <w:bottom w:val="single" w:color="auto" w:sz="8" w:space="0"/>
              <w:right w:val="single" w:color="auto" w:sz="8" w:space="0"/>
            </w:tcBorders>
            <w:shd w:val="clear" w:color="auto" w:fill="auto"/>
            <w:vAlign w:val="center"/>
          </w:tcPr>
          <w:p w14:paraId="17D3341B">
            <w:pPr>
              <w:widowControl/>
              <w:jc w:val="left"/>
              <w:rPr>
                <w:rFonts w:eastAsia="仿宋"/>
                <w:color w:val="000000"/>
                <w:kern w:val="0"/>
                <w:sz w:val="24"/>
              </w:rPr>
            </w:pPr>
            <w:r>
              <w:rPr>
                <w:rFonts w:hint="eastAsia" w:eastAsia="仿宋"/>
                <w:bCs/>
                <w:color w:val="000000"/>
                <w:kern w:val="0"/>
                <w:sz w:val="24"/>
                <w:lang w:val="en-US" w:eastAsia="zh-CN"/>
              </w:rPr>
              <w:t>已完成</w:t>
            </w:r>
          </w:p>
        </w:tc>
      </w:tr>
      <w:tr w14:paraId="31055FD2">
        <w:tblPrEx>
          <w:tblCellMar>
            <w:top w:w="0" w:type="dxa"/>
            <w:left w:w="108" w:type="dxa"/>
            <w:bottom w:w="0" w:type="dxa"/>
            <w:right w:w="108" w:type="dxa"/>
          </w:tblCellMar>
        </w:tblPrEx>
        <w:trPr>
          <w:trHeight w:val="600" w:hRule="atLeast"/>
        </w:trPr>
        <w:tc>
          <w:tcPr>
            <w:tcW w:w="1153" w:type="dxa"/>
            <w:vMerge w:val="continue"/>
            <w:tcBorders>
              <w:top w:val="nil"/>
              <w:left w:val="single" w:color="auto" w:sz="8" w:space="0"/>
              <w:bottom w:val="single" w:color="000000" w:sz="8" w:space="0"/>
              <w:right w:val="single" w:color="auto" w:sz="8" w:space="0"/>
            </w:tcBorders>
            <w:vAlign w:val="center"/>
          </w:tcPr>
          <w:p w14:paraId="24076CD9">
            <w:pPr>
              <w:widowControl/>
              <w:jc w:val="left"/>
              <w:rPr>
                <w:rFonts w:eastAsia="仿宋"/>
                <w:color w:val="000000"/>
                <w:kern w:val="0"/>
                <w:sz w:val="24"/>
              </w:rPr>
            </w:pPr>
          </w:p>
        </w:tc>
        <w:tc>
          <w:tcPr>
            <w:tcW w:w="1267" w:type="dxa"/>
            <w:vMerge w:val="restart"/>
            <w:tcBorders>
              <w:top w:val="nil"/>
              <w:left w:val="single" w:color="auto" w:sz="8" w:space="0"/>
              <w:bottom w:val="single" w:color="auto" w:sz="8" w:space="0"/>
              <w:right w:val="single" w:color="auto" w:sz="8" w:space="0"/>
            </w:tcBorders>
            <w:shd w:val="clear" w:color="auto" w:fill="auto"/>
            <w:vAlign w:val="center"/>
          </w:tcPr>
          <w:p w14:paraId="2B011695">
            <w:pPr>
              <w:widowControl/>
              <w:jc w:val="left"/>
              <w:rPr>
                <w:rFonts w:eastAsia="仿宋"/>
                <w:color w:val="000000"/>
                <w:kern w:val="0"/>
                <w:sz w:val="24"/>
              </w:rPr>
            </w:pPr>
            <w:r>
              <w:rPr>
                <w:rFonts w:eastAsia="仿宋"/>
                <w:color w:val="000000"/>
                <w:kern w:val="0"/>
                <w:sz w:val="24"/>
              </w:rPr>
              <w:t>A4部门预算编制（4分）</w:t>
            </w:r>
          </w:p>
        </w:tc>
        <w:tc>
          <w:tcPr>
            <w:tcW w:w="3760" w:type="dxa"/>
            <w:tcBorders>
              <w:top w:val="nil"/>
              <w:left w:val="nil"/>
              <w:bottom w:val="single" w:color="auto" w:sz="8" w:space="0"/>
              <w:right w:val="single" w:color="auto" w:sz="8" w:space="0"/>
            </w:tcBorders>
            <w:shd w:val="clear" w:color="auto" w:fill="auto"/>
            <w:vAlign w:val="center"/>
          </w:tcPr>
          <w:p w14:paraId="732D16E2">
            <w:pPr>
              <w:widowControl/>
              <w:jc w:val="left"/>
              <w:rPr>
                <w:rFonts w:eastAsia="仿宋"/>
                <w:color w:val="000000"/>
                <w:kern w:val="0"/>
                <w:sz w:val="24"/>
              </w:rPr>
            </w:pPr>
            <w:r>
              <w:rPr>
                <w:rFonts w:eastAsia="仿宋"/>
                <w:color w:val="000000"/>
                <w:kern w:val="0"/>
                <w:sz w:val="24"/>
              </w:rPr>
              <w:t>A41预算编制科学规范（2分）</w:t>
            </w:r>
          </w:p>
        </w:tc>
        <w:tc>
          <w:tcPr>
            <w:tcW w:w="2939" w:type="dxa"/>
            <w:tcBorders>
              <w:top w:val="nil"/>
              <w:left w:val="nil"/>
              <w:bottom w:val="single" w:color="auto" w:sz="8" w:space="0"/>
              <w:right w:val="single" w:color="auto" w:sz="8" w:space="0"/>
            </w:tcBorders>
            <w:shd w:val="clear" w:color="auto" w:fill="auto"/>
            <w:vAlign w:val="center"/>
          </w:tcPr>
          <w:p w14:paraId="1F6AC801">
            <w:pPr>
              <w:widowControl/>
              <w:jc w:val="left"/>
              <w:rPr>
                <w:rFonts w:eastAsia="仿宋"/>
                <w:color w:val="000000"/>
                <w:kern w:val="0"/>
                <w:sz w:val="24"/>
              </w:rPr>
            </w:pPr>
            <w:r>
              <w:rPr>
                <w:rFonts w:eastAsia="仿宋"/>
                <w:color w:val="000000"/>
                <w:kern w:val="0"/>
                <w:sz w:val="24"/>
              </w:rPr>
              <w:t>预算编制指“内部预算编制”，“科学”衡量制度设计，“规范”衡量流程执行</w:t>
            </w:r>
          </w:p>
        </w:tc>
        <w:tc>
          <w:tcPr>
            <w:tcW w:w="2069" w:type="dxa"/>
            <w:tcBorders>
              <w:top w:val="nil"/>
              <w:left w:val="nil"/>
              <w:bottom w:val="single" w:color="auto" w:sz="8" w:space="0"/>
              <w:right w:val="single" w:color="auto" w:sz="4" w:space="0"/>
            </w:tcBorders>
          </w:tcPr>
          <w:p w14:paraId="4BAF5654">
            <w:pPr>
              <w:widowControl/>
              <w:jc w:val="left"/>
              <w:rPr>
                <w:rFonts w:eastAsia="仿宋"/>
                <w:color w:val="000000"/>
                <w:kern w:val="0"/>
                <w:sz w:val="24"/>
              </w:rPr>
            </w:pPr>
            <w:r>
              <w:rPr>
                <w:rFonts w:eastAsia="仿宋"/>
                <w:color w:val="000000"/>
                <w:kern w:val="0"/>
                <w:sz w:val="24"/>
              </w:rPr>
              <w:t>检查相关的预算制度文件</w:t>
            </w:r>
          </w:p>
        </w:tc>
        <w:tc>
          <w:tcPr>
            <w:tcW w:w="799" w:type="dxa"/>
            <w:tcBorders>
              <w:top w:val="nil"/>
              <w:left w:val="single" w:color="auto" w:sz="4" w:space="0"/>
              <w:bottom w:val="single" w:color="auto" w:sz="8" w:space="0"/>
              <w:right w:val="single" w:color="auto" w:sz="8" w:space="0"/>
            </w:tcBorders>
            <w:shd w:val="clear" w:color="auto" w:fill="auto"/>
            <w:vAlign w:val="center"/>
          </w:tcPr>
          <w:p w14:paraId="1A86B45E">
            <w:pPr>
              <w:widowControl/>
              <w:jc w:val="left"/>
              <w:rPr>
                <w:rFonts w:eastAsia="仿宋"/>
                <w:color w:val="000000"/>
                <w:kern w:val="0"/>
                <w:sz w:val="24"/>
              </w:rPr>
            </w:pPr>
            <w:r>
              <w:rPr>
                <w:rFonts w:eastAsia="仿宋"/>
                <w:color w:val="000000"/>
                <w:kern w:val="0"/>
                <w:sz w:val="24"/>
              </w:rPr>
              <w:t>　2</w:t>
            </w:r>
          </w:p>
        </w:tc>
        <w:tc>
          <w:tcPr>
            <w:tcW w:w="2176" w:type="dxa"/>
            <w:tcBorders>
              <w:top w:val="nil"/>
              <w:left w:val="single" w:color="auto" w:sz="4" w:space="0"/>
              <w:bottom w:val="single" w:color="auto" w:sz="8" w:space="0"/>
              <w:right w:val="single" w:color="auto" w:sz="8" w:space="0"/>
            </w:tcBorders>
            <w:shd w:val="clear" w:color="auto" w:fill="auto"/>
            <w:vAlign w:val="center"/>
          </w:tcPr>
          <w:p w14:paraId="534DF666">
            <w:pPr>
              <w:widowControl/>
              <w:jc w:val="left"/>
              <w:rPr>
                <w:rFonts w:eastAsia="仿宋"/>
                <w:color w:val="000000"/>
                <w:kern w:val="0"/>
                <w:sz w:val="24"/>
              </w:rPr>
            </w:pPr>
            <w:r>
              <w:rPr>
                <w:rFonts w:hint="eastAsia" w:eastAsia="仿宋"/>
                <w:bCs/>
                <w:color w:val="000000"/>
                <w:kern w:val="0"/>
                <w:sz w:val="24"/>
                <w:lang w:val="en-US" w:eastAsia="zh-CN"/>
              </w:rPr>
              <w:t>已完成</w:t>
            </w:r>
          </w:p>
        </w:tc>
      </w:tr>
      <w:tr w14:paraId="3D7A8236">
        <w:tblPrEx>
          <w:tblCellMar>
            <w:top w:w="0" w:type="dxa"/>
            <w:left w:w="108" w:type="dxa"/>
            <w:bottom w:w="0" w:type="dxa"/>
            <w:right w:w="108" w:type="dxa"/>
          </w:tblCellMar>
        </w:tblPrEx>
        <w:trPr>
          <w:trHeight w:val="600" w:hRule="atLeast"/>
        </w:trPr>
        <w:tc>
          <w:tcPr>
            <w:tcW w:w="1153" w:type="dxa"/>
            <w:vMerge w:val="continue"/>
            <w:tcBorders>
              <w:top w:val="nil"/>
              <w:left w:val="single" w:color="auto" w:sz="8" w:space="0"/>
              <w:bottom w:val="single" w:color="000000" w:sz="8" w:space="0"/>
              <w:right w:val="single" w:color="auto" w:sz="8" w:space="0"/>
            </w:tcBorders>
            <w:vAlign w:val="center"/>
          </w:tcPr>
          <w:p w14:paraId="76101AE4">
            <w:pPr>
              <w:widowControl/>
              <w:jc w:val="left"/>
              <w:rPr>
                <w:rFonts w:eastAsia="仿宋"/>
                <w:color w:val="000000"/>
                <w:kern w:val="0"/>
                <w:sz w:val="24"/>
              </w:rPr>
            </w:pPr>
          </w:p>
        </w:tc>
        <w:tc>
          <w:tcPr>
            <w:tcW w:w="1267" w:type="dxa"/>
            <w:vMerge w:val="continue"/>
            <w:tcBorders>
              <w:top w:val="nil"/>
              <w:left w:val="single" w:color="auto" w:sz="8" w:space="0"/>
              <w:bottom w:val="single" w:color="auto" w:sz="8" w:space="0"/>
              <w:right w:val="single" w:color="auto" w:sz="8" w:space="0"/>
            </w:tcBorders>
            <w:vAlign w:val="center"/>
          </w:tcPr>
          <w:p w14:paraId="2005A342">
            <w:pPr>
              <w:widowControl/>
              <w:jc w:val="left"/>
              <w:rPr>
                <w:rFonts w:eastAsia="仿宋"/>
                <w:color w:val="000000"/>
                <w:kern w:val="0"/>
                <w:sz w:val="24"/>
              </w:rPr>
            </w:pPr>
          </w:p>
        </w:tc>
        <w:tc>
          <w:tcPr>
            <w:tcW w:w="3760" w:type="dxa"/>
            <w:tcBorders>
              <w:top w:val="nil"/>
              <w:left w:val="nil"/>
              <w:bottom w:val="single" w:color="auto" w:sz="8" w:space="0"/>
              <w:right w:val="single" w:color="auto" w:sz="8" w:space="0"/>
            </w:tcBorders>
            <w:shd w:val="clear" w:color="auto" w:fill="auto"/>
            <w:vAlign w:val="center"/>
          </w:tcPr>
          <w:p w14:paraId="7A4A5D72">
            <w:pPr>
              <w:widowControl/>
              <w:jc w:val="left"/>
              <w:rPr>
                <w:rFonts w:eastAsia="仿宋"/>
                <w:color w:val="000000"/>
                <w:kern w:val="0"/>
                <w:sz w:val="24"/>
              </w:rPr>
            </w:pPr>
            <w:r>
              <w:rPr>
                <w:rFonts w:eastAsia="仿宋"/>
                <w:color w:val="000000"/>
                <w:kern w:val="0"/>
                <w:sz w:val="24"/>
              </w:rPr>
              <w:t>A42预算编制与重点工作任务的匹配性（2分）</w:t>
            </w:r>
          </w:p>
        </w:tc>
        <w:tc>
          <w:tcPr>
            <w:tcW w:w="2939" w:type="dxa"/>
            <w:tcBorders>
              <w:top w:val="nil"/>
              <w:left w:val="nil"/>
              <w:bottom w:val="single" w:color="auto" w:sz="8" w:space="0"/>
              <w:right w:val="single" w:color="auto" w:sz="8" w:space="0"/>
            </w:tcBorders>
            <w:shd w:val="clear" w:color="auto" w:fill="auto"/>
            <w:vAlign w:val="center"/>
          </w:tcPr>
          <w:p w14:paraId="2E4A5750">
            <w:pPr>
              <w:widowControl/>
              <w:jc w:val="left"/>
              <w:rPr>
                <w:rFonts w:eastAsia="仿宋"/>
                <w:color w:val="000000"/>
                <w:kern w:val="0"/>
                <w:sz w:val="24"/>
              </w:rPr>
            </w:pPr>
            <w:r>
              <w:rPr>
                <w:rFonts w:eastAsia="仿宋"/>
                <w:color w:val="000000"/>
                <w:kern w:val="0"/>
                <w:sz w:val="24"/>
              </w:rPr>
              <w:t>预算编制指“内部预算编制”</w:t>
            </w:r>
          </w:p>
        </w:tc>
        <w:tc>
          <w:tcPr>
            <w:tcW w:w="2069" w:type="dxa"/>
            <w:tcBorders>
              <w:top w:val="nil"/>
              <w:left w:val="nil"/>
              <w:bottom w:val="single" w:color="auto" w:sz="8" w:space="0"/>
              <w:right w:val="single" w:color="auto" w:sz="4" w:space="0"/>
            </w:tcBorders>
          </w:tcPr>
          <w:p w14:paraId="5D434011">
            <w:pPr>
              <w:widowControl/>
              <w:jc w:val="left"/>
              <w:rPr>
                <w:rFonts w:eastAsia="仿宋"/>
                <w:color w:val="000000"/>
                <w:kern w:val="0"/>
                <w:sz w:val="24"/>
              </w:rPr>
            </w:pPr>
            <w:r>
              <w:rPr>
                <w:rFonts w:eastAsia="仿宋"/>
                <w:color w:val="000000"/>
                <w:kern w:val="0"/>
                <w:sz w:val="24"/>
              </w:rPr>
              <w:t>工作任务分解表</w:t>
            </w:r>
          </w:p>
        </w:tc>
        <w:tc>
          <w:tcPr>
            <w:tcW w:w="799" w:type="dxa"/>
            <w:tcBorders>
              <w:top w:val="nil"/>
              <w:left w:val="single" w:color="auto" w:sz="4" w:space="0"/>
              <w:bottom w:val="single" w:color="auto" w:sz="8" w:space="0"/>
              <w:right w:val="single" w:color="auto" w:sz="8" w:space="0"/>
            </w:tcBorders>
            <w:shd w:val="clear" w:color="auto" w:fill="auto"/>
            <w:vAlign w:val="center"/>
          </w:tcPr>
          <w:p w14:paraId="15C296CB">
            <w:pPr>
              <w:widowControl/>
              <w:jc w:val="left"/>
              <w:rPr>
                <w:rFonts w:eastAsia="仿宋"/>
                <w:color w:val="000000"/>
                <w:kern w:val="0"/>
                <w:sz w:val="24"/>
              </w:rPr>
            </w:pPr>
            <w:r>
              <w:rPr>
                <w:rFonts w:eastAsia="仿宋"/>
                <w:color w:val="000000"/>
                <w:kern w:val="0"/>
                <w:sz w:val="24"/>
              </w:rPr>
              <w:t>　2</w:t>
            </w:r>
          </w:p>
        </w:tc>
        <w:tc>
          <w:tcPr>
            <w:tcW w:w="2176" w:type="dxa"/>
            <w:tcBorders>
              <w:top w:val="nil"/>
              <w:left w:val="single" w:color="auto" w:sz="4" w:space="0"/>
              <w:bottom w:val="single" w:color="auto" w:sz="8" w:space="0"/>
              <w:right w:val="single" w:color="auto" w:sz="8" w:space="0"/>
            </w:tcBorders>
            <w:shd w:val="clear" w:color="auto" w:fill="auto"/>
            <w:vAlign w:val="center"/>
          </w:tcPr>
          <w:p w14:paraId="4BB757CD">
            <w:pPr>
              <w:widowControl/>
              <w:jc w:val="left"/>
              <w:rPr>
                <w:rFonts w:eastAsia="仿宋"/>
                <w:color w:val="000000"/>
                <w:kern w:val="0"/>
                <w:sz w:val="24"/>
              </w:rPr>
            </w:pPr>
            <w:r>
              <w:rPr>
                <w:rFonts w:hint="eastAsia" w:eastAsia="仿宋"/>
                <w:bCs/>
                <w:color w:val="000000"/>
                <w:kern w:val="0"/>
                <w:sz w:val="24"/>
                <w:lang w:val="en-US" w:eastAsia="zh-CN"/>
              </w:rPr>
              <w:t>已完成</w:t>
            </w:r>
          </w:p>
        </w:tc>
      </w:tr>
      <w:tr w14:paraId="16A9AFCB">
        <w:tblPrEx>
          <w:tblCellMar>
            <w:top w:w="0" w:type="dxa"/>
            <w:left w:w="108" w:type="dxa"/>
            <w:bottom w:w="0" w:type="dxa"/>
            <w:right w:w="108" w:type="dxa"/>
          </w:tblCellMar>
        </w:tblPrEx>
        <w:trPr>
          <w:trHeight w:val="600" w:hRule="atLeast"/>
        </w:trPr>
        <w:tc>
          <w:tcPr>
            <w:tcW w:w="1153" w:type="dxa"/>
            <w:vMerge w:val="restart"/>
            <w:tcBorders>
              <w:top w:val="nil"/>
              <w:left w:val="single" w:color="auto" w:sz="8" w:space="0"/>
              <w:bottom w:val="single" w:color="auto" w:sz="8" w:space="0"/>
              <w:right w:val="single" w:color="auto" w:sz="8" w:space="0"/>
            </w:tcBorders>
            <w:shd w:val="clear" w:color="auto" w:fill="auto"/>
            <w:vAlign w:val="center"/>
          </w:tcPr>
          <w:p w14:paraId="79FF6766">
            <w:pPr>
              <w:widowControl/>
              <w:jc w:val="left"/>
              <w:rPr>
                <w:rFonts w:eastAsia="仿宋"/>
                <w:color w:val="000000"/>
                <w:kern w:val="0"/>
                <w:sz w:val="24"/>
              </w:rPr>
            </w:pPr>
            <w:r>
              <w:rPr>
                <w:rFonts w:eastAsia="仿宋"/>
                <w:color w:val="000000"/>
                <w:kern w:val="0"/>
                <w:sz w:val="24"/>
              </w:rPr>
              <w:t>B单位管理（20分）</w:t>
            </w:r>
          </w:p>
        </w:tc>
        <w:tc>
          <w:tcPr>
            <w:tcW w:w="1267" w:type="dxa"/>
            <w:vMerge w:val="restart"/>
            <w:tcBorders>
              <w:top w:val="nil"/>
              <w:left w:val="single" w:color="auto" w:sz="8" w:space="0"/>
              <w:bottom w:val="single" w:color="auto" w:sz="8" w:space="0"/>
              <w:right w:val="single" w:color="auto" w:sz="8" w:space="0"/>
            </w:tcBorders>
            <w:shd w:val="clear" w:color="auto" w:fill="auto"/>
            <w:vAlign w:val="center"/>
          </w:tcPr>
          <w:p w14:paraId="6E75AA97">
            <w:pPr>
              <w:widowControl/>
              <w:jc w:val="left"/>
              <w:rPr>
                <w:rFonts w:eastAsia="仿宋"/>
                <w:color w:val="000000"/>
                <w:kern w:val="0"/>
                <w:sz w:val="24"/>
              </w:rPr>
            </w:pPr>
            <w:r>
              <w:rPr>
                <w:rFonts w:eastAsia="仿宋"/>
                <w:color w:val="000000"/>
                <w:kern w:val="0"/>
                <w:sz w:val="24"/>
              </w:rPr>
              <w:t>B1预算执行（4分）</w:t>
            </w:r>
          </w:p>
        </w:tc>
        <w:tc>
          <w:tcPr>
            <w:tcW w:w="3760" w:type="dxa"/>
            <w:tcBorders>
              <w:top w:val="nil"/>
              <w:left w:val="nil"/>
              <w:bottom w:val="single" w:color="auto" w:sz="8" w:space="0"/>
              <w:right w:val="single" w:color="auto" w:sz="8" w:space="0"/>
            </w:tcBorders>
            <w:shd w:val="clear" w:color="auto" w:fill="auto"/>
            <w:vAlign w:val="center"/>
          </w:tcPr>
          <w:p w14:paraId="05B3CB52">
            <w:pPr>
              <w:widowControl/>
              <w:jc w:val="left"/>
              <w:rPr>
                <w:rFonts w:eastAsia="仿宋"/>
                <w:color w:val="000000"/>
                <w:kern w:val="0"/>
                <w:sz w:val="24"/>
              </w:rPr>
            </w:pPr>
            <w:r>
              <w:rPr>
                <w:rFonts w:eastAsia="仿宋"/>
                <w:color w:val="000000"/>
                <w:kern w:val="0"/>
                <w:sz w:val="24"/>
              </w:rPr>
              <w:t>B11部门预算执行率（1分）</w:t>
            </w:r>
          </w:p>
        </w:tc>
        <w:tc>
          <w:tcPr>
            <w:tcW w:w="2939" w:type="dxa"/>
            <w:tcBorders>
              <w:top w:val="nil"/>
              <w:left w:val="nil"/>
              <w:bottom w:val="single" w:color="auto" w:sz="8" w:space="0"/>
              <w:right w:val="single" w:color="auto" w:sz="8" w:space="0"/>
            </w:tcBorders>
            <w:shd w:val="clear" w:color="auto" w:fill="auto"/>
            <w:vAlign w:val="center"/>
          </w:tcPr>
          <w:p w14:paraId="72E1F96B">
            <w:pPr>
              <w:widowControl/>
              <w:jc w:val="left"/>
              <w:rPr>
                <w:rFonts w:eastAsia="仿宋"/>
                <w:color w:val="000000"/>
                <w:kern w:val="0"/>
                <w:sz w:val="24"/>
              </w:rPr>
            </w:pPr>
            <w:r>
              <w:rPr>
                <w:rFonts w:eastAsia="仿宋"/>
                <w:color w:val="000000"/>
                <w:kern w:val="0"/>
                <w:sz w:val="24"/>
              </w:rPr>
              <w:t>与市财政局预算处考核口径一致</w:t>
            </w:r>
          </w:p>
        </w:tc>
        <w:tc>
          <w:tcPr>
            <w:tcW w:w="2069" w:type="dxa"/>
            <w:tcBorders>
              <w:top w:val="nil"/>
              <w:left w:val="nil"/>
              <w:bottom w:val="single" w:color="auto" w:sz="8" w:space="0"/>
              <w:right w:val="single" w:color="auto" w:sz="4" w:space="0"/>
            </w:tcBorders>
          </w:tcPr>
          <w:p w14:paraId="49B9B8B1">
            <w:pPr>
              <w:widowControl/>
              <w:jc w:val="left"/>
              <w:rPr>
                <w:rFonts w:eastAsia="仿宋"/>
                <w:color w:val="000000"/>
                <w:kern w:val="0"/>
                <w:sz w:val="22"/>
              </w:rPr>
            </w:pPr>
            <w:r>
              <w:rPr>
                <w:rFonts w:eastAsia="仿宋"/>
                <w:color w:val="000000"/>
                <w:kern w:val="0"/>
                <w:sz w:val="24"/>
              </w:rPr>
              <w:t>与市财政局预算处考核口径一致</w:t>
            </w:r>
          </w:p>
        </w:tc>
        <w:tc>
          <w:tcPr>
            <w:tcW w:w="799" w:type="dxa"/>
            <w:tcBorders>
              <w:top w:val="nil"/>
              <w:left w:val="single" w:color="auto" w:sz="4" w:space="0"/>
              <w:bottom w:val="single" w:color="auto" w:sz="8" w:space="0"/>
              <w:right w:val="single" w:color="auto" w:sz="8" w:space="0"/>
            </w:tcBorders>
            <w:shd w:val="clear" w:color="auto" w:fill="auto"/>
            <w:vAlign w:val="center"/>
          </w:tcPr>
          <w:p w14:paraId="53493663">
            <w:pPr>
              <w:widowControl/>
              <w:jc w:val="left"/>
              <w:rPr>
                <w:rFonts w:eastAsia="仿宋"/>
                <w:color w:val="000000"/>
                <w:kern w:val="0"/>
                <w:sz w:val="22"/>
              </w:rPr>
            </w:pPr>
            <w:r>
              <w:rPr>
                <w:rFonts w:eastAsia="仿宋"/>
                <w:color w:val="000000"/>
                <w:kern w:val="0"/>
                <w:sz w:val="22"/>
              </w:rPr>
              <w:t>　1</w:t>
            </w:r>
          </w:p>
        </w:tc>
        <w:tc>
          <w:tcPr>
            <w:tcW w:w="2176" w:type="dxa"/>
            <w:tcBorders>
              <w:top w:val="nil"/>
              <w:left w:val="single" w:color="auto" w:sz="4" w:space="0"/>
              <w:bottom w:val="single" w:color="auto" w:sz="8" w:space="0"/>
              <w:right w:val="single" w:color="auto" w:sz="8" w:space="0"/>
            </w:tcBorders>
            <w:shd w:val="clear" w:color="auto" w:fill="auto"/>
            <w:vAlign w:val="center"/>
          </w:tcPr>
          <w:p w14:paraId="5DD8DB4E">
            <w:pPr>
              <w:widowControl/>
              <w:jc w:val="left"/>
              <w:rPr>
                <w:rFonts w:eastAsia="仿宋"/>
                <w:color w:val="000000"/>
                <w:kern w:val="0"/>
                <w:sz w:val="22"/>
              </w:rPr>
            </w:pPr>
            <w:r>
              <w:rPr>
                <w:rFonts w:hint="eastAsia" w:eastAsia="仿宋"/>
                <w:bCs/>
                <w:color w:val="000000"/>
                <w:kern w:val="0"/>
                <w:sz w:val="24"/>
                <w:lang w:val="en-US" w:eastAsia="zh-CN"/>
              </w:rPr>
              <w:t>已完成</w:t>
            </w:r>
          </w:p>
        </w:tc>
      </w:tr>
      <w:tr w14:paraId="547C609B">
        <w:tblPrEx>
          <w:tblCellMar>
            <w:top w:w="0" w:type="dxa"/>
            <w:left w:w="108" w:type="dxa"/>
            <w:bottom w:w="0" w:type="dxa"/>
            <w:right w:w="108" w:type="dxa"/>
          </w:tblCellMar>
        </w:tblPrEx>
        <w:trPr>
          <w:trHeight w:val="600" w:hRule="atLeast"/>
        </w:trPr>
        <w:tc>
          <w:tcPr>
            <w:tcW w:w="1153" w:type="dxa"/>
            <w:vMerge w:val="continue"/>
            <w:tcBorders>
              <w:top w:val="nil"/>
              <w:left w:val="single" w:color="auto" w:sz="8" w:space="0"/>
              <w:bottom w:val="single" w:color="auto" w:sz="8" w:space="0"/>
              <w:right w:val="single" w:color="auto" w:sz="8" w:space="0"/>
            </w:tcBorders>
            <w:vAlign w:val="center"/>
          </w:tcPr>
          <w:p w14:paraId="17814376">
            <w:pPr>
              <w:widowControl/>
              <w:jc w:val="left"/>
              <w:rPr>
                <w:rFonts w:eastAsia="仿宋"/>
                <w:color w:val="000000"/>
                <w:kern w:val="0"/>
                <w:sz w:val="24"/>
              </w:rPr>
            </w:pPr>
          </w:p>
        </w:tc>
        <w:tc>
          <w:tcPr>
            <w:tcW w:w="1267" w:type="dxa"/>
            <w:vMerge w:val="continue"/>
            <w:tcBorders>
              <w:top w:val="nil"/>
              <w:left w:val="single" w:color="auto" w:sz="8" w:space="0"/>
              <w:bottom w:val="single" w:color="auto" w:sz="8" w:space="0"/>
              <w:right w:val="single" w:color="auto" w:sz="8" w:space="0"/>
            </w:tcBorders>
            <w:vAlign w:val="center"/>
          </w:tcPr>
          <w:p w14:paraId="50AA35B8">
            <w:pPr>
              <w:widowControl/>
              <w:jc w:val="left"/>
              <w:rPr>
                <w:rFonts w:eastAsia="仿宋"/>
                <w:color w:val="000000"/>
                <w:kern w:val="0"/>
                <w:sz w:val="24"/>
              </w:rPr>
            </w:pPr>
          </w:p>
        </w:tc>
        <w:tc>
          <w:tcPr>
            <w:tcW w:w="3760" w:type="dxa"/>
            <w:tcBorders>
              <w:top w:val="nil"/>
              <w:left w:val="nil"/>
              <w:bottom w:val="single" w:color="auto" w:sz="8" w:space="0"/>
              <w:right w:val="single" w:color="auto" w:sz="8" w:space="0"/>
            </w:tcBorders>
            <w:shd w:val="clear" w:color="auto" w:fill="auto"/>
            <w:vAlign w:val="center"/>
          </w:tcPr>
          <w:p w14:paraId="49BCF39A">
            <w:pPr>
              <w:widowControl/>
              <w:jc w:val="left"/>
              <w:rPr>
                <w:rFonts w:eastAsia="仿宋"/>
                <w:color w:val="000000"/>
                <w:kern w:val="0"/>
                <w:sz w:val="24"/>
              </w:rPr>
            </w:pPr>
            <w:r>
              <w:rPr>
                <w:rFonts w:eastAsia="仿宋"/>
                <w:color w:val="000000"/>
                <w:kern w:val="0"/>
                <w:sz w:val="24"/>
              </w:rPr>
              <w:t>B12专项资金执行率（1分）</w:t>
            </w:r>
          </w:p>
        </w:tc>
        <w:tc>
          <w:tcPr>
            <w:tcW w:w="2939" w:type="dxa"/>
            <w:tcBorders>
              <w:top w:val="nil"/>
              <w:left w:val="nil"/>
              <w:bottom w:val="single" w:color="auto" w:sz="8" w:space="0"/>
              <w:right w:val="single" w:color="auto" w:sz="8" w:space="0"/>
            </w:tcBorders>
            <w:shd w:val="clear" w:color="auto" w:fill="auto"/>
            <w:vAlign w:val="center"/>
          </w:tcPr>
          <w:p w14:paraId="270D950D">
            <w:pPr>
              <w:widowControl/>
              <w:jc w:val="left"/>
              <w:rPr>
                <w:rFonts w:eastAsia="仿宋"/>
                <w:color w:val="000000"/>
                <w:kern w:val="0"/>
                <w:sz w:val="24"/>
              </w:rPr>
            </w:pPr>
            <w:r>
              <w:rPr>
                <w:rFonts w:eastAsia="仿宋"/>
                <w:color w:val="000000"/>
                <w:kern w:val="0"/>
                <w:sz w:val="24"/>
              </w:rPr>
              <w:t>与市财政局预算处考核口径一致</w:t>
            </w:r>
          </w:p>
        </w:tc>
        <w:tc>
          <w:tcPr>
            <w:tcW w:w="2069" w:type="dxa"/>
            <w:tcBorders>
              <w:top w:val="nil"/>
              <w:left w:val="nil"/>
              <w:bottom w:val="single" w:color="auto" w:sz="8" w:space="0"/>
              <w:right w:val="single" w:color="auto" w:sz="4" w:space="0"/>
            </w:tcBorders>
          </w:tcPr>
          <w:p w14:paraId="56AB642A">
            <w:pPr>
              <w:widowControl/>
              <w:jc w:val="left"/>
              <w:rPr>
                <w:rFonts w:eastAsia="仿宋"/>
                <w:color w:val="000000"/>
                <w:kern w:val="0"/>
                <w:sz w:val="22"/>
              </w:rPr>
            </w:pPr>
            <w:r>
              <w:rPr>
                <w:rFonts w:eastAsia="仿宋"/>
                <w:color w:val="000000"/>
                <w:kern w:val="0"/>
                <w:sz w:val="24"/>
              </w:rPr>
              <w:t>与市财政局预算处考核口径一致</w:t>
            </w:r>
          </w:p>
        </w:tc>
        <w:tc>
          <w:tcPr>
            <w:tcW w:w="799" w:type="dxa"/>
            <w:tcBorders>
              <w:top w:val="nil"/>
              <w:left w:val="single" w:color="auto" w:sz="4" w:space="0"/>
              <w:bottom w:val="single" w:color="auto" w:sz="8" w:space="0"/>
              <w:right w:val="single" w:color="auto" w:sz="8" w:space="0"/>
            </w:tcBorders>
            <w:shd w:val="clear" w:color="auto" w:fill="auto"/>
            <w:vAlign w:val="center"/>
          </w:tcPr>
          <w:p w14:paraId="35271628">
            <w:pPr>
              <w:widowControl/>
              <w:jc w:val="left"/>
              <w:rPr>
                <w:rFonts w:eastAsia="仿宋"/>
                <w:color w:val="000000"/>
                <w:kern w:val="0"/>
                <w:sz w:val="22"/>
              </w:rPr>
            </w:pPr>
            <w:r>
              <w:rPr>
                <w:rFonts w:eastAsia="仿宋"/>
                <w:color w:val="000000"/>
                <w:kern w:val="0"/>
                <w:sz w:val="22"/>
              </w:rPr>
              <w:t>　1</w:t>
            </w:r>
          </w:p>
        </w:tc>
        <w:tc>
          <w:tcPr>
            <w:tcW w:w="2176" w:type="dxa"/>
            <w:tcBorders>
              <w:top w:val="nil"/>
              <w:left w:val="single" w:color="auto" w:sz="4" w:space="0"/>
              <w:bottom w:val="single" w:color="auto" w:sz="8" w:space="0"/>
              <w:right w:val="single" w:color="auto" w:sz="8" w:space="0"/>
            </w:tcBorders>
            <w:shd w:val="clear" w:color="auto" w:fill="auto"/>
            <w:vAlign w:val="center"/>
          </w:tcPr>
          <w:p w14:paraId="3B6664BB">
            <w:pPr>
              <w:widowControl/>
              <w:jc w:val="left"/>
              <w:rPr>
                <w:rFonts w:eastAsia="仿宋"/>
                <w:color w:val="000000"/>
                <w:kern w:val="0"/>
                <w:sz w:val="22"/>
              </w:rPr>
            </w:pPr>
            <w:r>
              <w:rPr>
                <w:rFonts w:hint="eastAsia" w:eastAsia="仿宋"/>
                <w:bCs/>
                <w:color w:val="000000"/>
                <w:kern w:val="0"/>
                <w:sz w:val="24"/>
                <w:lang w:val="en-US" w:eastAsia="zh-CN"/>
              </w:rPr>
              <w:t>已完成</w:t>
            </w:r>
          </w:p>
        </w:tc>
      </w:tr>
      <w:tr w14:paraId="5BF7A0BD">
        <w:tblPrEx>
          <w:tblCellMar>
            <w:top w:w="0" w:type="dxa"/>
            <w:left w:w="108" w:type="dxa"/>
            <w:bottom w:w="0" w:type="dxa"/>
            <w:right w:w="108" w:type="dxa"/>
          </w:tblCellMar>
        </w:tblPrEx>
        <w:trPr>
          <w:trHeight w:val="600" w:hRule="atLeast"/>
        </w:trPr>
        <w:tc>
          <w:tcPr>
            <w:tcW w:w="1153" w:type="dxa"/>
            <w:vMerge w:val="continue"/>
            <w:tcBorders>
              <w:top w:val="nil"/>
              <w:left w:val="single" w:color="auto" w:sz="8" w:space="0"/>
              <w:bottom w:val="single" w:color="auto" w:sz="8" w:space="0"/>
              <w:right w:val="single" w:color="auto" w:sz="8" w:space="0"/>
            </w:tcBorders>
            <w:vAlign w:val="center"/>
          </w:tcPr>
          <w:p w14:paraId="79F08637">
            <w:pPr>
              <w:widowControl/>
              <w:jc w:val="left"/>
              <w:rPr>
                <w:rFonts w:eastAsia="仿宋"/>
                <w:color w:val="000000"/>
                <w:kern w:val="0"/>
                <w:sz w:val="24"/>
              </w:rPr>
            </w:pPr>
          </w:p>
        </w:tc>
        <w:tc>
          <w:tcPr>
            <w:tcW w:w="1267" w:type="dxa"/>
            <w:vMerge w:val="continue"/>
            <w:tcBorders>
              <w:top w:val="nil"/>
              <w:left w:val="single" w:color="auto" w:sz="8" w:space="0"/>
              <w:bottom w:val="single" w:color="auto" w:sz="8" w:space="0"/>
              <w:right w:val="single" w:color="auto" w:sz="8" w:space="0"/>
            </w:tcBorders>
            <w:vAlign w:val="center"/>
          </w:tcPr>
          <w:p w14:paraId="17D0174A">
            <w:pPr>
              <w:widowControl/>
              <w:jc w:val="left"/>
              <w:rPr>
                <w:rFonts w:eastAsia="仿宋"/>
                <w:color w:val="000000"/>
                <w:kern w:val="0"/>
                <w:sz w:val="24"/>
              </w:rPr>
            </w:pPr>
          </w:p>
        </w:tc>
        <w:tc>
          <w:tcPr>
            <w:tcW w:w="3760" w:type="dxa"/>
            <w:tcBorders>
              <w:top w:val="nil"/>
              <w:left w:val="nil"/>
              <w:bottom w:val="single" w:color="auto" w:sz="8" w:space="0"/>
              <w:right w:val="single" w:color="auto" w:sz="8" w:space="0"/>
            </w:tcBorders>
            <w:shd w:val="clear" w:color="auto" w:fill="auto"/>
            <w:vAlign w:val="center"/>
          </w:tcPr>
          <w:p w14:paraId="57BFBF01">
            <w:pPr>
              <w:widowControl/>
              <w:jc w:val="left"/>
              <w:rPr>
                <w:rFonts w:eastAsia="仿宋"/>
                <w:color w:val="000000"/>
                <w:kern w:val="0"/>
                <w:sz w:val="24"/>
              </w:rPr>
            </w:pPr>
            <w:r>
              <w:rPr>
                <w:rFonts w:eastAsia="仿宋"/>
                <w:color w:val="000000"/>
                <w:kern w:val="0"/>
                <w:sz w:val="24"/>
              </w:rPr>
              <w:t>B13“三公”经费控制率（1分）</w:t>
            </w:r>
          </w:p>
        </w:tc>
        <w:tc>
          <w:tcPr>
            <w:tcW w:w="2939" w:type="dxa"/>
            <w:tcBorders>
              <w:top w:val="nil"/>
              <w:left w:val="nil"/>
              <w:bottom w:val="single" w:color="auto" w:sz="8" w:space="0"/>
              <w:right w:val="single" w:color="auto" w:sz="8" w:space="0"/>
            </w:tcBorders>
            <w:shd w:val="clear" w:color="auto" w:fill="auto"/>
            <w:vAlign w:val="center"/>
          </w:tcPr>
          <w:p w14:paraId="4E87BBC6">
            <w:pPr>
              <w:widowControl/>
              <w:jc w:val="left"/>
              <w:rPr>
                <w:rFonts w:eastAsia="仿宋"/>
                <w:color w:val="000000"/>
                <w:kern w:val="0"/>
                <w:sz w:val="24"/>
              </w:rPr>
            </w:pPr>
            <w:r>
              <w:rPr>
                <w:rFonts w:eastAsia="仿宋"/>
                <w:color w:val="000000"/>
                <w:kern w:val="0"/>
                <w:sz w:val="24"/>
              </w:rPr>
              <w:t>“三公”经费使用超支扣分，若不超支则不扣分</w:t>
            </w:r>
          </w:p>
        </w:tc>
        <w:tc>
          <w:tcPr>
            <w:tcW w:w="2069" w:type="dxa"/>
            <w:tcBorders>
              <w:top w:val="nil"/>
              <w:left w:val="nil"/>
              <w:bottom w:val="single" w:color="auto" w:sz="8" w:space="0"/>
              <w:right w:val="single" w:color="auto" w:sz="4" w:space="0"/>
            </w:tcBorders>
          </w:tcPr>
          <w:p w14:paraId="4099DFD7">
            <w:pPr>
              <w:widowControl/>
              <w:jc w:val="left"/>
              <w:rPr>
                <w:rFonts w:eastAsia="仿宋"/>
                <w:color w:val="000000"/>
                <w:kern w:val="0"/>
                <w:sz w:val="22"/>
              </w:rPr>
            </w:pPr>
            <w:r>
              <w:rPr>
                <w:rFonts w:eastAsia="仿宋"/>
                <w:color w:val="000000"/>
                <w:kern w:val="0"/>
                <w:sz w:val="22"/>
              </w:rPr>
              <w:t>三公经费使用情况</w:t>
            </w:r>
          </w:p>
        </w:tc>
        <w:tc>
          <w:tcPr>
            <w:tcW w:w="799" w:type="dxa"/>
            <w:tcBorders>
              <w:top w:val="nil"/>
              <w:left w:val="single" w:color="auto" w:sz="4" w:space="0"/>
              <w:bottom w:val="single" w:color="auto" w:sz="8" w:space="0"/>
              <w:right w:val="single" w:color="auto" w:sz="8" w:space="0"/>
            </w:tcBorders>
            <w:shd w:val="clear" w:color="auto" w:fill="auto"/>
            <w:vAlign w:val="center"/>
          </w:tcPr>
          <w:p w14:paraId="62FBE45E">
            <w:pPr>
              <w:widowControl/>
              <w:jc w:val="left"/>
              <w:rPr>
                <w:rFonts w:eastAsia="仿宋"/>
                <w:color w:val="000000"/>
                <w:kern w:val="0"/>
                <w:sz w:val="22"/>
              </w:rPr>
            </w:pPr>
            <w:r>
              <w:rPr>
                <w:rFonts w:eastAsia="仿宋"/>
                <w:color w:val="000000"/>
                <w:kern w:val="0"/>
                <w:sz w:val="22"/>
              </w:rPr>
              <w:t>　1</w:t>
            </w:r>
          </w:p>
        </w:tc>
        <w:tc>
          <w:tcPr>
            <w:tcW w:w="2176" w:type="dxa"/>
            <w:tcBorders>
              <w:top w:val="nil"/>
              <w:left w:val="single" w:color="auto" w:sz="4" w:space="0"/>
              <w:bottom w:val="single" w:color="auto" w:sz="8" w:space="0"/>
              <w:right w:val="single" w:color="auto" w:sz="8" w:space="0"/>
            </w:tcBorders>
            <w:shd w:val="clear" w:color="auto" w:fill="auto"/>
            <w:vAlign w:val="center"/>
          </w:tcPr>
          <w:p w14:paraId="01A4E4CF">
            <w:pPr>
              <w:widowControl/>
              <w:jc w:val="left"/>
              <w:rPr>
                <w:rFonts w:eastAsia="仿宋"/>
                <w:color w:val="000000"/>
                <w:kern w:val="0"/>
                <w:sz w:val="22"/>
              </w:rPr>
            </w:pPr>
            <w:r>
              <w:rPr>
                <w:rFonts w:hint="eastAsia" w:eastAsia="仿宋"/>
                <w:bCs/>
                <w:color w:val="000000"/>
                <w:kern w:val="0"/>
                <w:sz w:val="24"/>
                <w:lang w:val="en-US" w:eastAsia="zh-CN"/>
              </w:rPr>
              <w:t>已完成</w:t>
            </w:r>
          </w:p>
        </w:tc>
      </w:tr>
      <w:tr w14:paraId="6910A540">
        <w:tblPrEx>
          <w:tblCellMar>
            <w:top w:w="0" w:type="dxa"/>
            <w:left w:w="108" w:type="dxa"/>
            <w:bottom w:w="0" w:type="dxa"/>
            <w:right w:w="108" w:type="dxa"/>
          </w:tblCellMar>
        </w:tblPrEx>
        <w:trPr>
          <w:trHeight w:val="600" w:hRule="atLeast"/>
        </w:trPr>
        <w:tc>
          <w:tcPr>
            <w:tcW w:w="1153" w:type="dxa"/>
            <w:vMerge w:val="continue"/>
            <w:tcBorders>
              <w:top w:val="nil"/>
              <w:left w:val="single" w:color="auto" w:sz="8" w:space="0"/>
              <w:bottom w:val="single" w:color="auto" w:sz="8" w:space="0"/>
              <w:right w:val="single" w:color="auto" w:sz="8" w:space="0"/>
            </w:tcBorders>
            <w:vAlign w:val="center"/>
          </w:tcPr>
          <w:p w14:paraId="66D6A940">
            <w:pPr>
              <w:widowControl/>
              <w:jc w:val="left"/>
              <w:rPr>
                <w:rFonts w:eastAsia="仿宋"/>
                <w:color w:val="000000"/>
                <w:kern w:val="0"/>
                <w:sz w:val="24"/>
              </w:rPr>
            </w:pPr>
          </w:p>
        </w:tc>
        <w:tc>
          <w:tcPr>
            <w:tcW w:w="1267" w:type="dxa"/>
            <w:vMerge w:val="continue"/>
            <w:tcBorders>
              <w:top w:val="nil"/>
              <w:left w:val="single" w:color="auto" w:sz="8" w:space="0"/>
              <w:bottom w:val="single" w:color="auto" w:sz="8" w:space="0"/>
              <w:right w:val="single" w:color="auto" w:sz="8" w:space="0"/>
            </w:tcBorders>
            <w:vAlign w:val="center"/>
          </w:tcPr>
          <w:p w14:paraId="04C8A806">
            <w:pPr>
              <w:widowControl/>
              <w:jc w:val="left"/>
              <w:rPr>
                <w:rFonts w:eastAsia="仿宋"/>
                <w:color w:val="000000"/>
                <w:kern w:val="0"/>
                <w:sz w:val="24"/>
              </w:rPr>
            </w:pPr>
          </w:p>
        </w:tc>
        <w:tc>
          <w:tcPr>
            <w:tcW w:w="3760" w:type="dxa"/>
            <w:tcBorders>
              <w:top w:val="nil"/>
              <w:left w:val="nil"/>
              <w:bottom w:val="single" w:color="auto" w:sz="8" w:space="0"/>
              <w:right w:val="single" w:color="auto" w:sz="8" w:space="0"/>
            </w:tcBorders>
            <w:shd w:val="clear" w:color="auto" w:fill="auto"/>
            <w:vAlign w:val="center"/>
          </w:tcPr>
          <w:p w14:paraId="1BC56E75">
            <w:pPr>
              <w:widowControl/>
              <w:jc w:val="left"/>
              <w:rPr>
                <w:rFonts w:eastAsia="仿宋"/>
                <w:color w:val="000000"/>
                <w:kern w:val="0"/>
                <w:sz w:val="24"/>
              </w:rPr>
            </w:pPr>
            <w:r>
              <w:rPr>
                <w:rFonts w:eastAsia="仿宋"/>
                <w:color w:val="000000"/>
                <w:kern w:val="0"/>
                <w:sz w:val="24"/>
              </w:rPr>
              <w:t xml:space="preserve">B14预决算信息公开情况（1分） </w:t>
            </w:r>
          </w:p>
        </w:tc>
        <w:tc>
          <w:tcPr>
            <w:tcW w:w="2939" w:type="dxa"/>
            <w:tcBorders>
              <w:top w:val="nil"/>
              <w:left w:val="nil"/>
              <w:bottom w:val="single" w:color="auto" w:sz="8" w:space="0"/>
              <w:right w:val="single" w:color="auto" w:sz="8" w:space="0"/>
            </w:tcBorders>
            <w:shd w:val="clear" w:color="auto" w:fill="auto"/>
            <w:vAlign w:val="center"/>
          </w:tcPr>
          <w:p w14:paraId="0C82F892">
            <w:pPr>
              <w:widowControl/>
              <w:jc w:val="left"/>
              <w:rPr>
                <w:rFonts w:eastAsia="仿宋"/>
                <w:color w:val="000000"/>
                <w:kern w:val="0"/>
                <w:sz w:val="24"/>
              </w:rPr>
            </w:pPr>
            <w:r>
              <w:rPr>
                <w:rFonts w:eastAsia="仿宋"/>
                <w:color w:val="000000"/>
                <w:kern w:val="0"/>
                <w:sz w:val="24"/>
              </w:rPr>
              <w:t>预决算是否在“双平台”进行公开，内容和时限是否符合要求</w:t>
            </w:r>
          </w:p>
        </w:tc>
        <w:tc>
          <w:tcPr>
            <w:tcW w:w="2069" w:type="dxa"/>
            <w:tcBorders>
              <w:top w:val="nil"/>
              <w:left w:val="nil"/>
              <w:bottom w:val="single" w:color="auto" w:sz="8" w:space="0"/>
              <w:right w:val="single" w:color="auto" w:sz="4" w:space="0"/>
            </w:tcBorders>
          </w:tcPr>
          <w:p w14:paraId="34CFC6F4">
            <w:pPr>
              <w:widowControl/>
              <w:jc w:val="left"/>
              <w:rPr>
                <w:rFonts w:eastAsia="仿宋"/>
                <w:color w:val="000000"/>
                <w:kern w:val="0"/>
                <w:sz w:val="22"/>
              </w:rPr>
            </w:pPr>
            <w:r>
              <w:rPr>
                <w:rFonts w:eastAsia="仿宋"/>
                <w:color w:val="000000"/>
                <w:kern w:val="0"/>
                <w:sz w:val="22"/>
              </w:rPr>
              <w:t>积极配合主管部门完成预决算信息公开工作</w:t>
            </w:r>
          </w:p>
        </w:tc>
        <w:tc>
          <w:tcPr>
            <w:tcW w:w="799" w:type="dxa"/>
            <w:tcBorders>
              <w:top w:val="nil"/>
              <w:left w:val="single" w:color="auto" w:sz="4" w:space="0"/>
              <w:bottom w:val="single" w:color="auto" w:sz="8" w:space="0"/>
              <w:right w:val="single" w:color="auto" w:sz="8" w:space="0"/>
            </w:tcBorders>
            <w:shd w:val="clear" w:color="auto" w:fill="auto"/>
            <w:vAlign w:val="center"/>
          </w:tcPr>
          <w:p w14:paraId="568596F3">
            <w:pPr>
              <w:widowControl/>
              <w:ind w:firstLine="220" w:firstLineChars="100"/>
              <w:jc w:val="left"/>
              <w:rPr>
                <w:rFonts w:eastAsia="仿宋"/>
                <w:color w:val="000000"/>
                <w:kern w:val="0"/>
                <w:sz w:val="22"/>
              </w:rPr>
            </w:pPr>
            <w:r>
              <w:rPr>
                <w:rFonts w:eastAsia="仿宋"/>
                <w:color w:val="000000"/>
                <w:kern w:val="0"/>
                <w:sz w:val="22"/>
              </w:rPr>
              <w:t>1</w:t>
            </w:r>
          </w:p>
        </w:tc>
        <w:tc>
          <w:tcPr>
            <w:tcW w:w="2176" w:type="dxa"/>
            <w:tcBorders>
              <w:top w:val="nil"/>
              <w:left w:val="single" w:color="auto" w:sz="4" w:space="0"/>
              <w:bottom w:val="single" w:color="auto" w:sz="8" w:space="0"/>
              <w:right w:val="single" w:color="auto" w:sz="8" w:space="0"/>
            </w:tcBorders>
            <w:shd w:val="clear" w:color="auto" w:fill="auto"/>
            <w:vAlign w:val="center"/>
          </w:tcPr>
          <w:p w14:paraId="55564A33">
            <w:pPr>
              <w:widowControl/>
              <w:jc w:val="left"/>
              <w:rPr>
                <w:rFonts w:eastAsia="仿宋"/>
                <w:color w:val="000000"/>
                <w:kern w:val="0"/>
                <w:sz w:val="22"/>
              </w:rPr>
            </w:pPr>
            <w:r>
              <w:rPr>
                <w:rFonts w:hint="eastAsia" w:eastAsia="仿宋"/>
                <w:bCs/>
                <w:color w:val="000000"/>
                <w:kern w:val="0"/>
                <w:sz w:val="24"/>
                <w:lang w:val="en-US" w:eastAsia="zh-CN"/>
              </w:rPr>
              <w:t>已完成</w:t>
            </w:r>
          </w:p>
        </w:tc>
      </w:tr>
      <w:tr w14:paraId="3766A8CD">
        <w:tblPrEx>
          <w:tblCellMar>
            <w:top w:w="0" w:type="dxa"/>
            <w:left w:w="108" w:type="dxa"/>
            <w:bottom w:w="0" w:type="dxa"/>
            <w:right w:w="108" w:type="dxa"/>
          </w:tblCellMar>
        </w:tblPrEx>
        <w:trPr>
          <w:trHeight w:val="600" w:hRule="atLeast"/>
        </w:trPr>
        <w:tc>
          <w:tcPr>
            <w:tcW w:w="1153" w:type="dxa"/>
            <w:vMerge w:val="continue"/>
            <w:tcBorders>
              <w:top w:val="nil"/>
              <w:left w:val="single" w:color="auto" w:sz="8" w:space="0"/>
              <w:bottom w:val="single" w:color="auto" w:sz="8" w:space="0"/>
              <w:right w:val="single" w:color="auto" w:sz="8" w:space="0"/>
            </w:tcBorders>
            <w:vAlign w:val="center"/>
          </w:tcPr>
          <w:p w14:paraId="360FD10E">
            <w:pPr>
              <w:widowControl/>
              <w:jc w:val="left"/>
              <w:rPr>
                <w:rFonts w:eastAsia="仿宋"/>
                <w:color w:val="000000"/>
                <w:kern w:val="0"/>
                <w:sz w:val="24"/>
              </w:rPr>
            </w:pPr>
          </w:p>
        </w:tc>
        <w:tc>
          <w:tcPr>
            <w:tcW w:w="1267" w:type="dxa"/>
            <w:vMerge w:val="restart"/>
            <w:tcBorders>
              <w:top w:val="nil"/>
              <w:left w:val="single" w:color="auto" w:sz="8" w:space="0"/>
              <w:bottom w:val="single" w:color="000000" w:sz="8" w:space="0"/>
              <w:right w:val="single" w:color="auto" w:sz="8" w:space="0"/>
            </w:tcBorders>
            <w:shd w:val="clear" w:color="auto" w:fill="auto"/>
            <w:vAlign w:val="center"/>
          </w:tcPr>
          <w:p w14:paraId="6B5DB991">
            <w:pPr>
              <w:widowControl/>
              <w:jc w:val="left"/>
              <w:rPr>
                <w:rFonts w:eastAsia="仿宋"/>
                <w:color w:val="000000"/>
                <w:kern w:val="0"/>
                <w:sz w:val="24"/>
              </w:rPr>
            </w:pPr>
            <w:r>
              <w:rPr>
                <w:rFonts w:eastAsia="仿宋"/>
                <w:color w:val="000000"/>
                <w:kern w:val="0"/>
                <w:sz w:val="24"/>
              </w:rPr>
              <w:t>B2收支管理（2分）</w:t>
            </w:r>
          </w:p>
        </w:tc>
        <w:tc>
          <w:tcPr>
            <w:tcW w:w="3760" w:type="dxa"/>
            <w:tcBorders>
              <w:top w:val="nil"/>
              <w:left w:val="nil"/>
              <w:bottom w:val="single" w:color="auto" w:sz="8" w:space="0"/>
              <w:right w:val="single" w:color="auto" w:sz="8" w:space="0"/>
            </w:tcBorders>
            <w:shd w:val="clear" w:color="auto" w:fill="auto"/>
            <w:vAlign w:val="center"/>
          </w:tcPr>
          <w:p w14:paraId="15DFD0E7">
            <w:pPr>
              <w:widowControl/>
              <w:jc w:val="left"/>
              <w:rPr>
                <w:rFonts w:eastAsia="仿宋"/>
                <w:color w:val="000000"/>
                <w:kern w:val="0"/>
                <w:sz w:val="24"/>
              </w:rPr>
            </w:pPr>
            <w:r>
              <w:rPr>
                <w:rFonts w:eastAsia="仿宋"/>
                <w:color w:val="000000"/>
                <w:kern w:val="0"/>
                <w:sz w:val="24"/>
              </w:rPr>
              <w:t>B21收支管理制度健全性（1分）</w:t>
            </w:r>
          </w:p>
        </w:tc>
        <w:tc>
          <w:tcPr>
            <w:tcW w:w="2939" w:type="dxa"/>
            <w:tcBorders>
              <w:top w:val="nil"/>
              <w:left w:val="nil"/>
              <w:bottom w:val="single" w:color="auto" w:sz="8" w:space="0"/>
              <w:right w:val="single" w:color="auto" w:sz="8" w:space="0"/>
            </w:tcBorders>
            <w:shd w:val="clear" w:color="auto" w:fill="auto"/>
            <w:vAlign w:val="center"/>
          </w:tcPr>
          <w:p w14:paraId="3ED3F663">
            <w:pPr>
              <w:widowControl/>
              <w:jc w:val="left"/>
              <w:rPr>
                <w:rFonts w:eastAsia="仿宋"/>
                <w:color w:val="000000"/>
                <w:kern w:val="0"/>
                <w:sz w:val="24"/>
              </w:rPr>
            </w:pPr>
            <w:r>
              <w:rPr>
                <w:rFonts w:eastAsia="仿宋"/>
                <w:color w:val="000000"/>
                <w:kern w:val="0"/>
                <w:sz w:val="24"/>
              </w:rPr>
              <w:t>制度建立健全</w:t>
            </w:r>
          </w:p>
        </w:tc>
        <w:tc>
          <w:tcPr>
            <w:tcW w:w="2069" w:type="dxa"/>
            <w:tcBorders>
              <w:top w:val="nil"/>
              <w:left w:val="nil"/>
              <w:bottom w:val="single" w:color="auto" w:sz="8" w:space="0"/>
              <w:right w:val="single" w:color="auto" w:sz="4" w:space="0"/>
            </w:tcBorders>
          </w:tcPr>
          <w:p w14:paraId="0A74F813">
            <w:pPr>
              <w:widowControl/>
              <w:jc w:val="left"/>
              <w:rPr>
                <w:rFonts w:eastAsia="仿宋"/>
                <w:color w:val="000000"/>
                <w:kern w:val="0"/>
                <w:sz w:val="24"/>
              </w:rPr>
            </w:pPr>
            <w:r>
              <w:rPr>
                <w:rFonts w:eastAsia="仿宋"/>
                <w:color w:val="000000"/>
                <w:kern w:val="0"/>
                <w:sz w:val="24"/>
              </w:rPr>
              <w:t>制度建立健全</w:t>
            </w:r>
          </w:p>
        </w:tc>
        <w:tc>
          <w:tcPr>
            <w:tcW w:w="799" w:type="dxa"/>
            <w:tcBorders>
              <w:top w:val="nil"/>
              <w:left w:val="single" w:color="auto" w:sz="4" w:space="0"/>
              <w:bottom w:val="single" w:color="auto" w:sz="8" w:space="0"/>
              <w:right w:val="single" w:color="auto" w:sz="8" w:space="0"/>
            </w:tcBorders>
            <w:shd w:val="clear" w:color="auto" w:fill="auto"/>
            <w:vAlign w:val="center"/>
          </w:tcPr>
          <w:p w14:paraId="2D2DA3A1">
            <w:pPr>
              <w:widowControl/>
              <w:jc w:val="left"/>
              <w:rPr>
                <w:rFonts w:eastAsia="仿宋"/>
                <w:color w:val="000000"/>
                <w:kern w:val="0"/>
                <w:sz w:val="24"/>
              </w:rPr>
            </w:pPr>
            <w:r>
              <w:rPr>
                <w:rFonts w:eastAsia="仿宋"/>
                <w:color w:val="000000"/>
                <w:kern w:val="0"/>
                <w:sz w:val="24"/>
              </w:rPr>
              <w:t>　1</w:t>
            </w:r>
          </w:p>
        </w:tc>
        <w:tc>
          <w:tcPr>
            <w:tcW w:w="2176" w:type="dxa"/>
            <w:tcBorders>
              <w:top w:val="nil"/>
              <w:left w:val="single" w:color="auto" w:sz="4" w:space="0"/>
              <w:bottom w:val="single" w:color="auto" w:sz="8" w:space="0"/>
              <w:right w:val="single" w:color="auto" w:sz="8" w:space="0"/>
            </w:tcBorders>
            <w:shd w:val="clear" w:color="auto" w:fill="auto"/>
            <w:vAlign w:val="center"/>
          </w:tcPr>
          <w:p w14:paraId="7BD70BEA">
            <w:pPr>
              <w:widowControl/>
              <w:jc w:val="left"/>
              <w:rPr>
                <w:rFonts w:eastAsia="仿宋"/>
                <w:color w:val="000000"/>
                <w:kern w:val="0"/>
                <w:sz w:val="24"/>
              </w:rPr>
            </w:pPr>
            <w:r>
              <w:rPr>
                <w:rFonts w:hint="eastAsia" w:eastAsia="仿宋"/>
                <w:bCs/>
                <w:color w:val="000000"/>
                <w:kern w:val="0"/>
                <w:sz w:val="24"/>
                <w:lang w:val="en-US" w:eastAsia="zh-CN"/>
              </w:rPr>
              <w:t>已完成</w:t>
            </w:r>
          </w:p>
        </w:tc>
      </w:tr>
      <w:tr w14:paraId="29B29F6E">
        <w:tblPrEx>
          <w:tblCellMar>
            <w:top w:w="0" w:type="dxa"/>
            <w:left w:w="108" w:type="dxa"/>
            <w:bottom w:w="0" w:type="dxa"/>
            <w:right w:w="108" w:type="dxa"/>
          </w:tblCellMar>
        </w:tblPrEx>
        <w:trPr>
          <w:trHeight w:val="600" w:hRule="atLeast"/>
        </w:trPr>
        <w:tc>
          <w:tcPr>
            <w:tcW w:w="1153" w:type="dxa"/>
            <w:vMerge w:val="continue"/>
            <w:tcBorders>
              <w:top w:val="nil"/>
              <w:left w:val="single" w:color="auto" w:sz="8" w:space="0"/>
              <w:bottom w:val="single" w:color="auto" w:sz="8" w:space="0"/>
              <w:right w:val="single" w:color="auto" w:sz="8" w:space="0"/>
            </w:tcBorders>
            <w:vAlign w:val="center"/>
          </w:tcPr>
          <w:p w14:paraId="49FAB086">
            <w:pPr>
              <w:widowControl/>
              <w:jc w:val="left"/>
              <w:rPr>
                <w:rFonts w:eastAsia="仿宋"/>
                <w:color w:val="000000"/>
                <w:kern w:val="0"/>
                <w:sz w:val="24"/>
              </w:rPr>
            </w:pPr>
          </w:p>
        </w:tc>
        <w:tc>
          <w:tcPr>
            <w:tcW w:w="1267" w:type="dxa"/>
            <w:vMerge w:val="continue"/>
            <w:tcBorders>
              <w:top w:val="nil"/>
              <w:left w:val="single" w:color="auto" w:sz="8" w:space="0"/>
              <w:bottom w:val="single" w:color="000000" w:sz="8" w:space="0"/>
              <w:right w:val="single" w:color="auto" w:sz="8" w:space="0"/>
            </w:tcBorders>
            <w:vAlign w:val="center"/>
          </w:tcPr>
          <w:p w14:paraId="1388D1B0">
            <w:pPr>
              <w:widowControl/>
              <w:jc w:val="left"/>
              <w:rPr>
                <w:rFonts w:eastAsia="仿宋"/>
                <w:color w:val="000000"/>
                <w:kern w:val="0"/>
                <w:sz w:val="24"/>
              </w:rPr>
            </w:pPr>
          </w:p>
        </w:tc>
        <w:tc>
          <w:tcPr>
            <w:tcW w:w="3760" w:type="dxa"/>
            <w:tcBorders>
              <w:top w:val="nil"/>
              <w:left w:val="nil"/>
              <w:bottom w:val="single" w:color="auto" w:sz="8" w:space="0"/>
              <w:right w:val="single" w:color="auto" w:sz="8" w:space="0"/>
            </w:tcBorders>
            <w:shd w:val="clear" w:color="auto" w:fill="auto"/>
            <w:vAlign w:val="center"/>
          </w:tcPr>
          <w:p w14:paraId="79A8CB68">
            <w:pPr>
              <w:widowControl/>
              <w:jc w:val="left"/>
              <w:rPr>
                <w:rFonts w:eastAsia="仿宋"/>
                <w:color w:val="000000"/>
                <w:kern w:val="0"/>
                <w:sz w:val="24"/>
              </w:rPr>
            </w:pPr>
            <w:r>
              <w:rPr>
                <w:rFonts w:eastAsia="仿宋"/>
                <w:color w:val="000000"/>
                <w:kern w:val="0"/>
                <w:sz w:val="24"/>
              </w:rPr>
              <w:t>B22收支管理是否按制度执行    （1分）</w:t>
            </w:r>
          </w:p>
        </w:tc>
        <w:tc>
          <w:tcPr>
            <w:tcW w:w="2939" w:type="dxa"/>
            <w:tcBorders>
              <w:top w:val="nil"/>
              <w:left w:val="nil"/>
              <w:bottom w:val="single" w:color="auto" w:sz="8" w:space="0"/>
              <w:right w:val="single" w:color="auto" w:sz="8" w:space="0"/>
            </w:tcBorders>
            <w:shd w:val="clear" w:color="auto" w:fill="auto"/>
            <w:vAlign w:val="center"/>
          </w:tcPr>
          <w:p w14:paraId="2E3B22B0">
            <w:pPr>
              <w:widowControl/>
              <w:jc w:val="left"/>
              <w:rPr>
                <w:rFonts w:eastAsia="仿宋"/>
                <w:color w:val="000000"/>
                <w:kern w:val="0"/>
                <w:sz w:val="24"/>
              </w:rPr>
            </w:pPr>
            <w:r>
              <w:rPr>
                <w:rFonts w:eastAsia="仿宋"/>
                <w:color w:val="000000"/>
                <w:kern w:val="0"/>
                <w:sz w:val="24"/>
              </w:rPr>
              <w:t>制度执行并运行有效</w:t>
            </w:r>
          </w:p>
        </w:tc>
        <w:tc>
          <w:tcPr>
            <w:tcW w:w="2069" w:type="dxa"/>
            <w:tcBorders>
              <w:top w:val="nil"/>
              <w:left w:val="nil"/>
              <w:bottom w:val="single" w:color="auto" w:sz="8" w:space="0"/>
              <w:right w:val="single" w:color="auto" w:sz="4" w:space="0"/>
            </w:tcBorders>
          </w:tcPr>
          <w:p w14:paraId="5498A8B5">
            <w:pPr>
              <w:widowControl/>
              <w:jc w:val="left"/>
              <w:rPr>
                <w:rFonts w:eastAsia="仿宋"/>
                <w:color w:val="000000"/>
                <w:kern w:val="0"/>
                <w:sz w:val="24"/>
              </w:rPr>
            </w:pPr>
            <w:r>
              <w:rPr>
                <w:rFonts w:eastAsia="仿宋"/>
                <w:color w:val="000000"/>
                <w:kern w:val="0"/>
                <w:sz w:val="24"/>
              </w:rPr>
              <w:t>制度执行并运行有效</w:t>
            </w:r>
          </w:p>
        </w:tc>
        <w:tc>
          <w:tcPr>
            <w:tcW w:w="799" w:type="dxa"/>
            <w:tcBorders>
              <w:top w:val="nil"/>
              <w:left w:val="single" w:color="auto" w:sz="4" w:space="0"/>
              <w:bottom w:val="single" w:color="auto" w:sz="8" w:space="0"/>
              <w:right w:val="single" w:color="auto" w:sz="8" w:space="0"/>
            </w:tcBorders>
            <w:shd w:val="clear" w:color="auto" w:fill="auto"/>
            <w:vAlign w:val="center"/>
          </w:tcPr>
          <w:p w14:paraId="2CC87D6C">
            <w:pPr>
              <w:widowControl/>
              <w:jc w:val="left"/>
              <w:rPr>
                <w:rFonts w:eastAsia="仿宋"/>
                <w:color w:val="000000"/>
                <w:kern w:val="0"/>
                <w:sz w:val="24"/>
              </w:rPr>
            </w:pPr>
            <w:r>
              <w:rPr>
                <w:rFonts w:eastAsia="仿宋"/>
                <w:color w:val="000000"/>
                <w:kern w:val="0"/>
                <w:sz w:val="24"/>
              </w:rPr>
              <w:t>　1</w:t>
            </w:r>
          </w:p>
        </w:tc>
        <w:tc>
          <w:tcPr>
            <w:tcW w:w="2176" w:type="dxa"/>
            <w:tcBorders>
              <w:top w:val="nil"/>
              <w:left w:val="single" w:color="auto" w:sz="4" w:space="0"/>
              <w:bottom w:val="single" w:color="auto" w:sz="8" w:space="0"/>
              <w:right w:val="single" w:color="auto" w:sz="8" w:space="0"/>
            </w:tcBorders>
            <w:shd w:val="clear" w:color="auto" w:fill="auto"/>
            <w:vAlign w:val="center"/>
          </w:tcPr>
          <w:p w14:paraId="3C6D5C40">
            <w:pPr>
              <w:widowControl/>
              <w:jc w:val="left"/>
              <w:rPr>
                <w:rFonts w:eastAsia="仿宋"/>
                <w:color w:val="000000"/>
                <w:kern w:val="0"/>
                <w:sz w:val="24"/>
              </w:rPr>
            </w:pPr>
            <w:r>
              <w:rPr>
                <w:rFonts w:hint="eastAsia" w:eastAsia="仿宋"/>
                <w:bCs/>
                <w:color w:val="000000"/>
                <w:kern w:val="0"/>
                <w:sz w:val="24"/>
                <w:lang w:val="en-US" w:eastAsia="zh-CN"/>
              </w:rPr>
              <w:t>已完成</w:t>
            </w:r>
          </w:p>
        </w:tc>
      </w:tr>
      <w:tr w14:paraId="3482F74D">
        <w:tblPrEx>
          <w:tblCellMar>
            <w:top w:w="0" w:type="dxa"/>
            <w:left w:w="108" w:type="dxa"/>
            <w:bottom w:w="0" w:type="dxa"/>
            <w:right w:w="108" w:type="dxa"/>
          </w:tblCellMar>
        </w:tblPrEx>
        <w:trPr>
          <w:trHeight w:val="600" w:hRule="atLeast"/>
        </w:trPr>
        <w:tc>
          <w:tcPr>
            <w:tcW w:w="1153" w:type="dxa"/>
            <w:vMerge w:val="continue"/>
            <w:tcBorders>
              <w:top w:val="nil"/>
              <w:left w:val="single" w:color="auto" w:sz="8" w:space="0"/>
              <w:bottom w:val="single" w:color="auto" w:sz="8" w:space="0"/>
              <w:right w:val="single" w:color="auto" w:sz="8" w:space="0"/>
            </w:tcBorders>
            <w:vAlign w:val="center"/>
          </w:tcPr>
          <w:p w14:paraId="1C597867">
            <w:pPr>
              <w:widowControl/>
              <w:jc w:val="left"/>
              <w:rPr>
                <w:rFonts w:eastAsia="仿宋"/>
                <w:color w:val="000000"/>
                <w:kern w:val="0"/>
                <w:sz w:val="24"/>
              </w:rPr>
            </w:pPr>
          </w:p>
        </w:tc>
        <w:tc>
          <w:tcPr>
            <w:tcW w:w="1267" w:type="dxa"/>
            <w:vMerge w:val="restart"/>
            <w:tcBorders>
              <w:top w:val="nil"/>
              <w:left w:val="single" w:color="auto" w:sz="8" w:space="0"/>
              <w:bottom w:val="single" w:color="000000" w:sz="8" w:space="0"/>
              <w:right w:val="single" w:color="auto" w:sz="8" w:space="0"/>
            </w:tcBorders>
            <w:shd w:val="clear" w:color="auto" w:fill="auto"/>
            <w:vAlign w:val="center"/>
          </w:tcPr>
          <w:p w14:paraId="78CEE773">
            <w:pPr>
              <w:widowControl/>
              <w:jc w:val="left"/>
              <w:rPr>
                <w:rFonts w:eastAsia="仿宋"/>
                <w:color w:val="000000"/>
                <w:kern w:val="0"/>
                <w:sz w:val="24"/>
              </w:rPr>
            </w:pPr>
            <w:r>
              <w:rPr>
                <w:rFonts w:eastAsia="仿宋"/>
                <w:color w:val="000000"/>
                <w:kern w:val="0"/>
                <w:sz w:val="24"/>
              </w:rPr>
              <w:t>B3资产管理（2分）</w:t>
            </w:r>
          </w:p>
        </w:tc>
        <w:tc>
          <w:tcPr>
            <w:tcW w:w="3760" w:type="dxa"/>
            <w:tcBorders>
              <w:top w:val="nil"/>
              <w:left w:val="nil"/>
              <w:bottom w:val="single" w:color="auto" w:sz="8" w:space="0"/>
              <w:right w:val="single" w:color="auto" w:sz="8" w:space="0"/>
            </w:tcBorders>
            <w:shd w:val="clear" w:color="auto" w:fill="auto"/>
            <w:vAlign w:val="center"/>
          </w:tcPr>
          <w:p w14:paraId="28C979A0">
            <w:pPr>
              <w:widowControl/>
              <w:jc w:val="left"/>
              <w:rPr>
                <w:rFonts w:eastAsia="仿宋"/>
                <w:color w:val="000000"/>
                <w:kern w:val="0"/>
                <w:sz w:val="24"/>
              </w:rPr>
            </w:pPr>
            <w:r>
              <w:rPr>
                <w:rFonts w:eastAsia="仿宋"/>
                <w:color w:val="000000"/>
                <w:kern w:val="0"/>
                <w:sz w:val="24"/>
              </w:rPr>
              <w:t>B31资产管理制度健全性（1分）</w:t>
            </w:r>
          </w:p>
        </w:tc>
        <w:tc>
          <w:tcPr>
            <w:tcW w:w="2939" w:type="dxa"/>
            <w:tcBorders>
              <w:top w:val="nil"/>
              <w:left w:val="nil"/>
              <w:bottom w:val="single" w:color="auto" w:sz="8" w:space="0"/>
              <w:right w:val="single" w:color="auto" w:sz="8" w:space="0"/>
            </w:tcBorders>
            <w:shd w:val="clear" w:color="auto" w:fill="auto"/>
            <w:vAlign w:val="center"/>
          </w:tcPr>
          <w:p w14:paraId="631223D7">
            <w:pPr>
              <w:widowControl/>
              <w:jc w:val="left"/>
              <w:rPr>
                <w:rFonts w:eastAsia="仿宋"/>
                <w:color w:val="000000"/>
                <w:kern w:val="0"/>
                <w:sz w:val="24"/>
              </w:rPr>
            </w:pPr>
            <w:r>
              <w:rPr>
                <w:rFonts w:eastAsia="仿宋"/>
                <w:color w:val="000000"/>
                <w:kern w:val="0"/>
                <w:sz w:val="24"/>
              </w:rPr>
              <w:t>制度建立健全</w:t>
            </w:r>
          </w:p>
        </w:tc>
        <w:tc>
          <w:tcPr>
            <w:tcW w:w="2069" w:type="dxa"/>
            <w:tcBorders>
              <w:top w:val="nil"/>
              <w:left w:val="nil"/>
              <w:bottom w:val="single" w:color="auto" w:sz="8" w:space="0"/>
              <w:right w:val="single" w:color="auto" w:sz="4" w:space="0"/>
            </w:tcBorders>
          </w:tcPr>
          <w:p w14:paraId="15117682">
            <w:pPr>
              <w:widowControl/>
              <w:jc w:val="left"/>
              <w:rPr>
                <w:rFonts w:eastAsia="仿宋"/>
                <w:color w:val="000000"/>
                <w:kern w:val="0"/>
                <w:sz w:val="24"/>
              </w:rPr>
            </w:pPr>
            <w:r>
              <w:rPr>
                <w:rFonts w:eastAsia="仿宋"/>
                <w:color w:val="000000"/>
                <w:kern w:val="0"/>
                <w:sz w:val="24"/>
              </w:rPr>
              <w:t>制度是否建立健全</w:t>
            </w:r>
          </w:p>
        </w:tc>
        <w:tc>
          <w:tcPr>
            <w:tcW w:w="799" w:type="dxa"/>
            <w:tcBorders>
              <w:top w:val="nil"/>
              <w:left w:val="single" w:color="auto" w:sz="4" w:space="0"/>
              <w:bottom w:val="single" w:color="auto" w:sz="8" w:space="0"/>
              <w:right w:val="single" w:color="auto" w:sz="8" w:space="0"/>
            </w:tcBorders>
            <w:shd w:val="clear" w:color="auto" w:fill="auto"/>
            <w:vAlign w:val="center"/>
          </w:tcPr>
          <w:p w14:paraId="05808A56">
            <w:pPr>
              <w:widowControl/>
              <w:jc w:val="left"/>
              <w:rPr>
                <w:rFonts w:eastAsia="仿宋"/>
                <w:color w:val="000000"/>
                <w:kern w:val="0"/>
                <w:sz w:val="24"/>
              </w:rPr>
            </w:pPr>
            <w:r>
              <w:rPr>
                <w:rFonts w:eastAsia="仿宋"/>
                <w:color w:val="000000"/>
                <w:kern w:val="0"/>
                <w:sz w:val="24"/>
              </w:rPr>
              <w:t>　1</w:t>
            </w:r>
          </w:p>
        </w:tc>
        <w:tc>
          <w:tcPr>
            <w:tcW w:w="2176" w:type="dxa"/>
            <w:tcBorders>
              <w:top w:val="nil"/>
              <w:left w:val="single" w:color="auto" w:sz="4" w:space="0"/>
              <w:bottom w:val="single" w:color="auto" w:sz="8" w:space="0"/>
              <w:right w:val="single" w:color="auto" w:sz="8" w:space="0"/>
            </w:tcBorders>
            <w:shd w:val="clear" w:color="auto" w:fill="auto"/>
            <w:vAlign w:val="center"/>
          </w:tcPr>
          <w:p w14:paraId="76B91F8D">
            <w:pPr>
              <w:widowControl/>
              <w:jc w:val="left"/>
              <w:rPr>
                <w:rFonts w:eastAsia="仿宋"/>
                <w:color w:val="000000"/>
                <w:kern w:val="0"/>
                <w:sz w:val="24"/>
              </w:rPr>
            </w:pPr>
            <w:r>
              <w:rPr>
                <w:rFonts w:hint="eastAsia" w:eastAsia="仿宋"/>
                <w:bCs/>
                <w:color w:val="000000"/>
                <w:kern w:val="0"/>
                <w:sz w:val="24"/>
                <w:lang w:val="en-US" w:eastAsia="zh-CN"/>
              </w:rPr>
              <w:t>已完成</w:t>
            </w:r>
          </w:p>
        </w:tc>
      </w:tr>
      <w:tr w14:paraId="6C230E08">
        <w:tblPrEx>
          <w:tblCellMar>
            <w:top w:w="0" w:type="dxa"/>
            <w:left w:w="108" w:type="dxa"/>
            <w:bottom w:w="0" w:type="dxa"/>
            <w:right w:w="108" w:type="dxa"/>
          </w:tblCellMar>
        </w:tblPrEx>
        <w:trPr>
          <w:trHeight w:val="600" w:hRule="atLeast"/>
        </w:trPr>
        <w:tc>
          <w:tcPr>
            <w:tcW w:w="1153" w:type="dxa"/>
            <w:vMerge w:val="continue"/>
            <w:tcBorders>
              <w:top w:val="nil"/>
              <w:left w:val="single" w:color="auto" w:sz="8" w:space="0"/>
              <w:bottom w:val="single" w:color="auto" w:sz="8" w:space="0"/>
              <w:right w:val="single" w:color="auto" w:sz="8" w:space="0"/>
            </w:tcBorders>
            <w:vAlign w:val="center"/>
          </w:tcPr>
          <w:p w14:paraId="38929990">
            <w:pPr>
              <w:widowControl/>
              <w:jc w:val="left"/>
              <w:rPr>
                <w:rFonts w:eastAsia="仿宋"/>
                <w:color w:val="000000"/>
                <w:kern w:val="0"/>
                <w:sz w:val="24"/>
              </w:rPr>
            </w:pPr>
          </w:p>
        </w:tc>
        <w:tc>
          <w:tcPr>
            <w:tcW w:w="1267" w:type="dxa"/>
            <w:vMerge w:val="continue"/>
            <w:tcBorders>
              <w:top w:val="nil"/>
              <w:left w:val="single" w:color="auto" w:sz="8" w:space="0"/>
              <w:bottom w:val="single" w:color="000000" w:sz="8" w:space="0"/>
              <w:right w:val="single" w:color="auto" w:sz="8" w:space="0"/>
            </w:tcBorders>
            <w:vAlign w:val="center"/>
          </w:tcPr>
          <w:p w14:paraId="698FCCBA">
            <w:pPr>
              <w:widowControl/>
              <w:jc w:val="left"/>
              <w:rPr>
                <w:rFonts w:eastAsia="仿宋"/>
                <w:color w:val="000000"/>
                <w:kern w:val="0"/>
                <w:sz w:val="24"/>
              </w:rPr>
            </w:pPr>
          </w:p>
        </w:tc>
        <w:tc>
          <w:tcPr>
            <w:tcW w:w="3760" w:type="dxa"/>
            <w:tcBorders>
              <w:top w:val="nil"/>
              <w:left w:val="nil"/>
              <w:bottom w:val="single" w:color="auto" w:sz="8" w:space="0"/>
              <w:right w:val="single" w:color="auto" w:sz="8" w:space="0"/>
            </w:tcBorders>
            <w:shd w:val="clear" w:color="auto" w:fill="auto"/>
            <w:vAlign w:val="center"/>
          </w:tcPr>
          <w:p w14:paraId="52AA2832">
            <w:pPr>
              <w:widowControl/>
              <w:jc w:val="left"/>
              <w:rPr>
                <w:rFonts w:eastAsia="仿宋"/>
                <w:color w:val="000000"/>
                <w:kern w:val="0"/>
                <w:sz w:val="24"/>
              </w:rPr>
            </w:pPr>
            <w:r>
              <w:rPr>
                <w:rFonts w:eastAsia="仿宋"/>
                <w:color w:val="000000"/>
                <w:kern w:val="0"/>
                <w:sz w:val="24"/>
              </w:rPr>
              <w:t>B32资产管理是否按制度执行    （1分）</w:t>
            </w:r>
          </w:p>
        </w:tc>
        <w:tc>
          <w:tcPr>
            <w:tcW w:w="2939" w:type="dxa"/>
            <w:tcBorders>
              <w:top w:val="nil"/>
              <w:left w:val="nil"/>
              <w:bottom w:val="single" w:color="auto" w:sz="8" w:space="0"/>
              <w:right w:val="single" w:color="auto" w:sz="8" w:space="0"/>
            </w:tcBorders>
            <w:shd w:val="clear" w:color="auto" w:fill="auto"/>
            <w:vAlign w:val="center"/>
          </w:tcPr>
          <w:p w14:paraId="025BAE79">
            <w:pPr>
              <w:widowControl/>
              <w:jc w:val="left"/>
              <w:rPr>
                <w:rFonts w:eastAsia="仿宋"/>
                <w:color w:val="000000"/>
                <w:kern w:val="0"/>
                <w:sz w:val="24"/>
              </w:rPr>
            </w:pPr>
            <w:r>
              <w:rPr>
                <w:rFonts w:eastAsia="仿宋"/>
                <w:color w:val="000000"/>
                <w:kern w:val="0"/>
                <w:sz w:val="24"/>
              </w:rPr>
              <w:t>制度执行并运行有效</w:t>
            </w:r>
          </w:p>
        </w:tc>
        <w:tc>
          <w:tcPr>
            <w:tcW w:w="2069" w:type="dxa"/>
            <w:tcBorders>
              <w:top w:val="nil"/>
              <w:left w:val="nil"/>
              <w:bottom w:val="single" w:color="auto" w:sz="8" w:space="0"/>
              <w:right w:val="single" w:color="auto" w:sz="4" w:space="0"/>
            </w:tcBorders>
          </w:tcPr>
          <w:p w14:paraId="40839A14">
            <w:pPr>
              <w:widowControl/>
              <w:jc w:val="left"/>
              <w:rPr>
                <w:rFonts w:eastAsia="仿宋"/>
                <w:color w:val="000000"/>
                <w:kern w:val="0"/>
                <w:sz w:val="24"/>
              </w:rPr>
            </w:pPr>
            <w:r>
              <w:rPr>
                <w:rFonts w:eastAsia="仿宋"/>
                <w:color w:val="000000"/>
                <w:kern w:val="0"/>
                <w:sz w:val="24"/>
              </w:rPr>
              <w:t>制度是否执行并运行有效</w:t>
            </w:r>
          </w:p>
        </w:tc>
        <w:tc>
          <w:tcPr>
            <w:tcW w:w="799" w:type="dxa"/>
            <w:tcBorders>
              <w:top w:val="nil"/>
              <w:left w:val="single" w:color="auto" w:sz="4" w:space="0"/>
              <w:bottom w:val="single" w:color="auto" w:sz="8" w:space="0"/>
              <w:right w:val="single" w:color="auto" w:sz="8" w:space="0"/>
            </w:tcBorders>
            <w:shd w:val="clear" w:color="auto" w:fill="auto"/>
            <w:vAlign w:val="center"/>
          </w:tcPr>
          <w:p w14:paraId="2DA8266A">
            <w:pPr>
              <w:widowControl/>
              <w:jc w:val="left"/>
              <w:rPr>
                <w:rFonts w:eastAsia="仿宋"/>
                <w:color w:val="000000"/>
                <w:kern w:val="0"/>
                <w:sz w:val="24"/>
              </w:rPr>
            </w:pPr>
            <w:r>
              <w:rPr>
                <w:rFonts w:eastAsia="仿宋"/>
                <w:color w:val="000000"/>
                <w:kern w:val="0"/>
                <w:sz w:val="24"/>
              </w:rPr>
              <w:t>　1</w:t>
            </w:r>
          </w:p>
        </w:tc>
        <w:tc>
          <w:tcPr>
            <w:tcW w:w="2176" w:type="dxa"/>
            <w:tcBorders>
              <w:top w:val="nil"/>
              <w:left w:val="single" w:color="auto" w:sz="4" w:space="0"/>
              <w:bottom w:val="single" w:color="auto" w:sz="8" w:space="0"/>
              <w:right w:val="single" w:color="auto" w:sz="8" w:space="0"/>
            </w:tcBorders>
            <w:shd w:val="clear" w:color="auto" w:fill="auto"/>
            <w:vAlign w:val="center"/>
          </w:tcPr>
          <w:p w14:paraId="3C8448E8">
            <w:pPr>
              <w:widowControl/>
              <w:jc w:val="left"/>
              <w:rPr>
                <w:rFonts w:eastAsia="仿宋"/>
                <w:color w:val="000000"/>
                <w:kern w:val="0"/>
                <w:sz w:val="24"/>
              </w:rPr>
            </w:pPr>
            <w:r>
              <w:rPr>
                <w:rFonts w:hint="eastAsia" w:eastAsia="仿宋"/>
                <w:bCs/>
                <w:color w:val="000000"/>
                <w:kern w:val="0"/>
                <w:sz w:val="24"/>
                <w:lang w:val="en-US" w:eastAsia="zh-CN"/>
              </w:rPr>
              <w:t>已完成</w:t>
            </w:r>
          </w:p>
        </w:tc>
      </w:tr>
      <w:tr w14:paraId="2F0BBE51">
        <w:tblPrEx>
          <w:tblCellMar>
            <w:top w:w="0" w:type="dxa"/>
            <w:left w:w="108" w:type="dxa"/>
            <w:bottom w:w="0" w:type="dxa"/>
            <w:right w:w="108" w:type="dxa"/>
          </w:tblCellMar>
        </w:tblPrEx>
        <w:trPr>
          <w:trHeight w:val="600" w:hRule="atLeast"/>
        </w:trPr>
        <w:tc>
          <w:tcPr>
            <w:tcW w:w="1153" w:type="dxa"/>
            <w:vMerge w:val="continue"/>
            <w:tcBorders>
              <w:top w:val="nil"/>
              <w:left w:val="single" w:color="auto" w:sz="8" w:space="0"/>
              <w:bottom w:val="single" w:color="auto" w:sz="8" w:space="0"/>
              <w:right w:val="single" w:color="auto" w:sz="8" w:space="0"/>
            </w:tcBorders>
            <w:vAlign w:val="center"/>
          </w:tcPr>
          <w:p w14:paraId="62F643C4">
            <w:pPr>
              <w:widowControl/>
              <w:jc w:val="left"/>
              <w:rPr>
                <w:rFonts w:eastAsia="仿宋"/>
                <w:color w:val="000000"/>
                <w:kern w:val="0"/>
                <w:sz w:val="24"/>
              </w:rPr>
            </w:pPr>
          </w:p>
        </w:tc>
        <w:tc>
          <w:tcPr>
            <w:tcW w:w="1267" w:type="dxa"/>
            <w:vMerge w:val="restart"/>
            <w:tcBorders>
              <w:top w:val="nil"/>
              <w:left w:val="single" w:color="auto" w:sz="8" w:space="0"/>
              <w:bottom w:val="single" w:color="000000" w:sz="8" w:space="0"/>
              <w:right w:val="single" w:color="auto" w:sz="8" w:space="0"/>
            </w:tcBorders>
            <w:shd w:val="clear" w:color="auto" w:fill="auto"/>
            <w:vAlign w:val="center"/>
          </w:tcPr>
          <w:p w14:paraId="289396EF">
            <w:pPr>
              <w:widowControl/>
              <w:jc w:val="left"/>
              <w:rPr>
                <w:rFonts w:eastAsia="仿宋"/>
                <w:color w:val="000000"/>
                <w:kern w:val="0"/>
                <w:sz w:val="24"/>
              </w:rPr>
            </w:pPr>
            <w:r>
              <w:rPr>
                <w:rFonts w:eastAsia="仿宋"/>
                <w:color w:val="000000"/>
                <w:kern w:val="0"/>
                <w:sz w:val="24"/>
              </w:rPr>
              <w:t>B4政府采购管理（2分）</w:t>
            </w:r>
          </w:p>
        </w:tc>
        <w:tc>
          <w:tcPr>
            <w:tcW w:w="3760" w:type="dxa"/>
            <w:tcBorders>
              <w:top w:val="nil"/>
              <w:left w:val="nil"/>
              <w:bottom w:val="single" w:color="auto" w:sz="8" w:space="0"/>
              <w:right w:val="single" w:color="auto" w:sz="8" w:space="0"/>
            </w:tcBorders>
            <w:shd w:val="clear" w:color="auto" w:fill="auto"/>
            <w:vAlign w:val="center"/>
          </w:tcPr>
          <w:p w14:paraId="00BFB15E">
            <w:pPr>
              <w:widowControl/>
              <w:jc w:val="left"/>
              <w:rPr>
                <w:rFonts w:eastAsia="仿宋"/>
                <w:color w:val="000000"/>
                <w:kern w:val="0"/>
                <w:sz w:val="24"/>
              </w:rPr>
            </w:pPr>
            <w:r>
              <w:rPr>
                <w:rFonts w:eastAsia="仿宋"/>
                <w:color w:val="000000"/>
                <w:kern w:val="0"/>
                <w:sz w:val="24"/>
              </w:rPr>
              <w:t>B41政府采购管理制度健全性（1分）</w:t>
            </w:r>
          </w:p>
        </w:tc>
        <w:tc>
          <w:tcPr>
            <w:tcW w:w="2939" w:type="dxa"/>
            <w:tcBorders>
              <w:top w:val="nil"/>
              <w:left w:val="nil"/>
              <w:bottom w:val="single" w:color="auto" w:sz="8" w:space="0"/>
              <w:right w:val="single" w:color="auto" w:sz="8" w:space="0"/>
            </w:tcBorders>
            <w:shd w:val="clear" w:color="auto" w:fill="auto"/>
            <w:vAlign w:val="center"/>
          </w:tcPr>
          <w:p w14:paraId="1B02F1C7">
            <w:pPr>
              <w:widowControl/>
              <w:jc w:val="left"/>
              <w:rPr>
                <w:rFonts w:eastAsia="仿宋"/>
                <w:color w:val="000000"/>
                <w:kern w:val="0"/>
                <w:sz w:val="24"/>
              </w:rPr>
            </w:pPr>
            <w:r>
              <w:rPr>
                <w:rFonts w:eastAsia="仿宋"/>
                <w:color w:val="000000"/>
                <w:kern w:val="0"/>
                <w:sz w:val="24"/>
              </w:rPr>
              <w:t>制度建立健全</w:t>
            </w:r>
          </w:p>
        </w:tc>
        <w:tc>
          <w:tcPr>
            <w:tcW w:w="2069" w:type="dxa"/>
            <w:tcBorders>
              <w:top w:val="nil"/>
              <w:left w:val="nil"/>
              <w:bottom w:val="single" w:color="auto" w:sz="8" w:space="0"/>
              <w:right w:val="single" w:color="auto" w:sz="4" w:space="0"/>
            </w:tcBorders>
          </w:tcPr>
          <w:p w14:paraId="0CB705CB">
            <w:pPr>
              <w:widowControl/>
              <w:jc w:val="left"/>
              <w:rPr>
                <w:rFonts w:eastAsia="仿宋"/>
                <w:color w:val="000000"/>
                <w:kern w:val="0"/>
                <w:sz w:val="24"/>
              </w:rPr>
            </w:pPr>
            <w:r>
              <w:rPr>
                <w:rFonts w:eastAsia="仿宋"/>
                <w:color w:val="000000"/>
                <w:kern w:val="0"/>
                <w:sz w:val="24"/>
              </w:rPr>
              <w:t>制度是否建立健全</w:t>
            </w:r>
          </w:p>
        </w:tc>
        <w:tc>
          <w:tcPr>
            <w:tcW w:w="799" w:type="dxa"/>
            <w:tcBorders>
              <w:top w:val="nil"/>
              <w:left w:val="single" w:color="auto" w:sz="4" w:space="0"/>
              <w:bottom w:val="single" w:color="auto" w:sz="8" w:space="0"/>
              <w:right w:val="single" w:color="auto" w:sz="8" w:space="0"/>
            </w:tcBorders>
            <w:shd w:val="clear" w:color="auto" w:fill="auto"/>
            <w:vAlign w:val="center"/>
          </w:tcPr>
          <w:p w14:paraId="2039DA50">
            <w:pPr>
              <w:widowControl/>
              <w:jc w:val="left"/>
              <w:rPr>
                <w:rFonts w:eastAsia="仿宋"/>
                <w:color w:val="000000"/>
                <w:kern w:val="0"/>
                <w:sz w:val="24"/>
              </w:rPr>
            </w:pPr>
            <w:r>
              <w:rPr>
                <w:rFonts w:eastAsia="仿宋"/>
                <w:color w:val="000000"/>
                <w:kern w:val="0"/>
                <w:sz w:val="24"/>
              </w:rPr>
              <w:t>　1</w:t>
            </w:r>
          </w:p>
        </w:tc>
        <w:tc>
          <w:tcPr>
            <w:tcW w:w="2176" w:type="dxa"/>
            <w:tcBorders>
              <w:top w:val="nil"/>
              <w:left w:val="single" w:color="auto" w:sz="4" w:space="0"/>
              <w:bottom w:val="single" w:color="auto" w:sz="8" w:space="0"/>
              <w:right w:val="single" w:color="auto" w:sz="8" w:space="0"/>
            </w:tcBorders>
            <w:shd w:val="clear" w:color="auto" w:fill="auto"/>
            <w:vAlign w:val="center"/>
          </w:tcPr>
          <w:p w14:paraId="4552E178">
            <w:pPr>
              <w:widowControl/>
              <w:jc w:val="left"/>
              <w:rPr>
                <w:rFonts w:eastAsia="仿宋"/>
                <w:color w:val="000000"/>
                <w:kern w:val="0"/>
                <w:sz w:val="24"/>
              </w:rPr>
            </w:pPr>
            <w:r>
              <w:rPr>
                <w:rFonts w:hint="eastAsia" w:eastAsia="仿宋"/>
                <w:bCs/>
                <w:color w:val="000000"/>
                <w:kern w:val="0"/>
                <w:sz w:val="24"/>
                <w:lang w:val="en-US" w:eastAsia="zh-CN"/>
              </w:rPr>
              <w:t>已完成</w:t>
            </w:r>
          </w:p>
        </w:tc>
      </w:tr>
      <w:tr w14:paraId="2308856B">
        <w:tblPrEx>
          <w:tblCellMar>
            <w:top w:w="0" w:type="dxa"/>
            <w:left w:w="108" w:type="dxa"/>
            <w:bottom w:w="0" w:type="dxa"/>
            <w:right w:w="108" w:type="dxa"/>
          </w:tblCellMar>
        </w:tblPrEx>
        <w:trPr>
          <w:trHeight w:val="600" w:hRule="atLeast"/>
        </w:trPr>
        <w:tc>
          <w:tcPr>
            <w:tcW w:w="1153" w:type="dxa"/>
            <w:vMerge w:val="continue"/>
            <w:tcBorders>
              <w:top w:val="nil"/>
              <w:left w:val="single" w:color="auto" w:sz="8" w:space="0"/>
              <w:bottom w:val="single" w:color="auto" w:sz="8" w:space="0"/>
              <w:right w:val="single" w:color="auto" w:sz="8" w:space="0"/>
            </w:tcBorders>
            <w:vAlign w:val="center"/>
          </w:tcPr>
          <w:p w14:paraId="416B71A6">
            <w:pPr>
              <w:widowControl/>
              <w:jc w:val="left"/>
              <w:rPr>
                <w:rFonts w:eastAsia="仿宋"/>
                <w:color w:val="000000"/>
                <w:kern w:val="0"/>
                <w:sz w:val="24"/>
              </w:rPr>
            </w:pPr>
          </w:p>
        </w:tc>
        <w:tc>
          <w:tcPr>
            <w:tcW w:w="1267" w:type="dxa"/>
            <w:vMerge w:val="continue"/>
            <w:tcBorders>
              <w:top w:val="nil"/>
              <w:left w:val="single" w:color="auto" w:sz="8" w:space="0"/>
              <w:bottom w:val="single" w:color="000000" w:sz="8" w:space="0"/>
              <w:right w:val="single" w:color="auto" w:sz="8" w:space="0"/>
            </w:tcBorders>
            <w:vAlign w:val="center"/>
          </w:tcPr>
          <w:p w14:paraId="0420EC7B">
            <w:pPr>
              <w:widowControl/>
              <w:jc w:val="left"/>
              <w:rPr>
                <w:rFonts w:eastAsia="仿宋"/>
                <w:color w:val="000000"/>
                <w:kern w:val="0"/>
                <w:sz w:val="24"/>
              </w:rPr>
            </w:pPr>
          </w:p>
        </w:tc>
        <w:tc>
          <w:tcPr>
            <w:tcW w:w="3760" w:type="dxa"/>
            <w:tcBorders>
              <w:top w:val="nil"/>
              <w:left w:val="nil"/>
              <w:bottom w:val="single" w:color="auto" w:sz="8" w:space="0"/>
              <w:right w:val="single" w:color="auto" w:sz="8" w:space="0"/>
            </w:tcBorders>
            <w:shd w:val="clear" w:color="auto" w:fill="auto"/>
            <w:vAlign w:val="center"/>
          </w:tcPr>
          <w:p w14:paraId="1D8730FE">
            <w:pPr>
              <w:widowControl/>
              <w:jc w:val="left"/>
              <w:rPr>
                <w:rFonts w:eastAsia="仿宋"/>
                <w:color w:val="000000"/>
                <w:kern w:val="0"/>
                <w:sz w:val="24"/>
              </w:rPr>
            </w:pPr>
            <w:r>
              <w:rPr>
                <w:rFonts w:eastAsia="仿宋"/>
                <w:color w:val="000000"/>
                <w:kern w:val="0"/>
                <w:sz w:val="24"/>
              </w:rPr>
              <w:t>B42政府采购管理是否按制度执行（1分）</w:t>
            </w:r>
          </w:p>
        </w:tc>
        <w:tc>
          <w:tcPr>
            <w:tcW w:w="2939" w:type="dxa"/>
            <w:tcBorders>
              <w:top w:val="nil"/>
              <w:left w:val="nil"/>
              <w:bottom w:val="single" w:color="auto" w:sz="8" w:space="0"/>
              <w:right w:val="single" w:color="auto" w:sz="8" w:space="0"/>
            </w:tcBorders>
            <w:shd w:val="clear" w:color="auto" w:fill="auto"/>
            <w:vAlign w:val="center"/>
          </w:tcPr>
          <w:p w14:paraId="55DAD714">
            <w:pPr>
              <w:widowControl/>
              <w:jc w:val="left"/>
              <w:rPr>
                <w:rFonts w:eastAsia="仿宋"/>
                <w:color w:val="000000"/>
                <w:kern w:val="0"/>
                <w:sz w:val="24"/>
              </w:rPr>
            </w:pPr>
            <w:r>
              <w:rPr>
                <w:rFonts w:eastAsia="仿宋"/>
                <w:color w:val="000000"/>
                <w:kern w:val="0"/>
                <w:sz w:val="24"/>
              </w:rPr>
              <w:t>制度执行并运行有效</w:t>
            </w:r>
          </w:p>
        </w:tc>
        <w:tc>
          <w:tcPr>
            <w:tcW w:w="2069" w:type="dxa"/>
            <w:tcBorders>
              <w:top w:val="nil"/>
              <w:left w:val="nil"/>
              <w:bottom w:val="single" w:color="auto" w:sz="8" w:space="0"/>
              <w:right w:val="single" w:color="auto" w:sz="4" w:space="0"/>
            </w:tcBorders>
          </w:tcPr>
          <w:p w14:paraId="220BCA6D">
            <w:pPr>
              <w:widowControl/>
              <w:jc w:val="left"/>
              <w:rPr>
                <w:rFonts w:eastAsia="仿宋"/>
                <w:color w:val="000000"/>
                <w:kern w:val="0"/>
                <w:sz w:val="24"/>
              </w:rPr>
            </w:pPr>
            <w:r>
              <w:rPr>
                <w:rFonts w:eastAsia="仿宋"/>
                <w:color w:val="000000"/>
                <w:kern w:val="0"/>
                <w:sz w:val="24"/>
              </w:rPr>
              <w:t>制度是否执行并运行有效</w:t>
            </w:r>
          </w:p>
        </w:tc>
        <w:tc>
          <w:tcPr>
            <w:tcW w:w="799" w:type="dxa"/>
            <w:tcBorders>
              <w:top w:val="nil"/>
              <w:left w:val="single" w:color="auto" w:sz="4" w:space="0"/>
              <w:bottom w:val="single" w:color="auto" w:sz="8" w:space="0"/>
              <w:right w:val="single" w:color="auto" w:sz="8" w:space="0"/>
            </w:tcBorders>
            <w:shd w:val="clear" w:color="auto" w:fill="auto"/>
            <w:vAlign w:val="center"/>
          </w:tcPr>
          <w:p w14:paraId="4CA8A872">
            <w:pPr>
              <w:widowControl/>
              <w:jc w:val="left"/>
              <w:rPr>
                <w:rFonts w:eastAsia="仿宋"/>
                <w:color w:val="000000"/>
                <w:kern w:val="0"/>
                <w:sz w:val="24"/>
              </w:rPr>
            </w:pPr>
            <w:r>
              <w:rPr>
                <w:rFonts w:eastAsia="仿宋"/>
                <w:color w:val="000000"/>
                <w:kern w:val="0"/>
                <w:sz w:val="24"/>
              </w:rPr>
              <w:t>　1</w:t>
            </w:r>
          </w:p>
        </w:tc>
        <w:tc>
          <w:tcPr>
            <w:tcW w:w="2176" w:type="dxa"/>
            <w:tcBorders>
              <w:top w:val="nil"/>
              <w:left w:val="single" w:color="auto" w:sz="4" w:space="0"/>
              <w:bottom w:val="single" w:color="auto" w:sz="8" w:space="0"/>
              <w:right w:val="single" w:color="auto" w:sz="8" w:space="0"/>
            </w:tcBorders>
            <w:shd w:val="clear" w:color="auto" w:fill="auto"/>
            <w:vAlign w:val="center"/>
          </w:tcPr>
          <w:p w14:paraId="2DF74E68">
            <w:pPr>
              <w:widowControl/>
              <w:jc w:val="left"/>
              <w:rPr>
                <w:rFonts w:eastAsia="仿宋"/>
                <w:color w:val="000000"/>
                <w:kern w:val="0"/>
                <w:sz w:val="24"/>
              </w:rPr>
            </w:pPr>
            <w:r>
              <w:rPr>
                <w:rFonts w:hint="eastAsia" w:eastAsia="仿宋"/>
                <w:bCs/>
                <w:color w:val="000000"/>
                <w:kern w:val="0"/>
                <w:sz w:val="24"/>
                <w:lang w:val="en-US" w:eastAsia="zh-CN"/>
              </w:rPr>
              <w:t>已完成</w:t>
            </w:r>
          </w:p>
        </w:tc>
      </w:tr>
      <w:tr w14:paraId="3F5AA035">
        <w:tblPrEx>
          <w:tblCellMar>
            <w:top w:w="0" w:type="dxa"/>
            <w:left w:w="108" w:type="dxa"/>
            <w:bottom w:w="0" w:type="dxa"/>
            <w:right w:w="108" w:type="dxa"/>
          </w:tblCellMar>
        </w:tblPrEx>
        <w:trPr>
          <w:trHeight w:val="600" w:hRule="atLeast"/>
        </w:trPr>
        <w:tc>
          <w:tcPr>
            <w:tcW w:w="1153" w:type="dxa"/>
            <w:vMerge w:val="continue"/>
            <w:tcBorders>
              <w:top w:val="nil"/>
              <w:left w:val="single" w:color="auto" w:sz="8" w:space="0"/>
              <w:bottom w:val="single" w:color="auto" w:sz="8" w:space="0"/>
              <w:right w:val="single" w:color="auto" w:sz="8" w:space="0"/>
            </w:tcBorders>
            <w:vAlign w:val="center"/>
          </w:tcPr>
          <w:p w14:paraId="38B73E24">
            <w:pPr>
              <w:widowControl/>
              <w:jc w:val="left"/>
              <w:rPr>
                <w:rFonts w:eastAsia="仿宋"/>
                <w:color w:val="000000"/>
                <w:kern w:val="0"/>
                <w:sz w:val="24"/>
              </w:rPr>
            </w:pPr>
          </w:p>
        </w:tc>
        <w:tc>
          <w:tcPr>
            <w:tcW w:w="1267" w:type="dxa"/>
            <w:vMerge w:val="restart"/>
            <w:tcBorders>
              <w:top w:val="nil"/>
              <w:left w:val="single" w:color="auto" w:sz="8" w:space="0"/>
              <w:bottom w:val="single" w:color="000000" w:sz="8" w:space="0"/>
              <w:right w:val="single" w:color="auto" w:sz="8" w:space="0"/>
            </w:tcBorders>
            <w:shd w:val="clear" w:color="auto" w:fill="auto"/>
            <w:vAlign w:val="center"/>
          </w:tcPr>
          <w:p w14:paraId="01CE5BBF">
            <w:pPr>
              <w:widowControl/>
              <w:jc w:val="left"/>
              <w:rPr>
                <w:rFonts w:eastAsia="仿宋"/>
                <w:color w:val="000000"/>
                <w:kern w:val="0"/>
                <w:sz w:val="24"/>
              </w:rPr>
            </w:pPr>
            <w:r>
              <w:rPr>
                <w:rFonts w:eastAsia="仿宋"/>
                <w:color w:val="000000"/>
                <w:kern w:val="0"/>
                <w:sz w:val="24"/>
              </w:rPr>
              <w:t>B5建设项目管理（适用）（2分）</w:t>
            </w:r>
          </w:p>
        </w:tc>
        <w:tc>
          <w:tcPr>
            <w:tcW w:w="3760" w:type="dxa"/>
            <w:tcBorders>
              <w:top w:val="nil"/>
              <w:left w:val="nil"/>
              <w:bottom w:val="single" w:color="auto" w:sz="8" w:space="0"/>
              <w:right w:val="single" w:color="auto" w:sz="8" w:space="0"/>
            </w:tcBorders>
            <w:shd w:val="clear" w:color="auto" w:fill="auto"/>
            <w:vAlign w:val="center"/>
          </w:tcPr>
          <w:p w14:paraId="546A7D5F">
            <w:pPr>
              <w:widowControl/>
              <w:jc w:val="left"/>
              <w:rPr>
                <w:rFonts w:eastAsia="仿宋"/>
                <w:color w:val="000000"/>
                <w:kern w:val="0"/>
                <w:sz w:val="24"/>
              </w:rPr>
            </w:pPr>
            <w:r>
              <w:rPr>
                <w:rFonts w:eastAsia="仿宋"/>
                <w:color w:val="000000"/>
                <w:kern w:val="0"/>
                <w:sz w:val="24"/>
              </w:rPr>
              <w:t>B51建设项目管理制度健全性（1分）</w:t>
            </w:r>
          </w:p>
        </w:tc>
        <w:tc>
          <w:tcPr>
            <w:tcW w:w="2939" w:type="dxa"/>
            <w:vMerge w:val="restart"/>
            <w:tcBorders>
              <w:top w:val="nil"/>
              <w:left w:val="single" w:color="auto" w:sz="8" w:space="0"/>
              <w:bottom w:val="single" w:color="000000" w:sz="8" w:space="0"/>
              <w:right w:val="single" w:color="auto" w:sz="8" w:space="0"/>
            </w:tcBorders>
            <w:shd w:val="clear" w:color="auto" w:fill="auto"/>
            <w:vAlign w:val="center"/>
          </w:tcPr>
          <w:p w14:paraId="38B51371">
            <w:pPr>
              <w:widowControl/>
              <w:jc w:val="left"/>
              <w:rPr>
                <w:rFonts w:eastAsia="仿宋"/>
                <w:color w:val="000000"/>
                <w:kern w:val="0"/>
                <w:sz w:val="24"/>
              </w:rPr>
            </w:pPr>
            <w:r>
              <w:rPr>
                <w:rFonts w:eastAsia="仿宋"/>
                <w:color w:val="000000"/>
                <w:kern w:val="0"/>
                <w:sz w:val="24"/>
              </w:rPr>
              <w:t>此项指标根据各个单位具体职能选择是否适用</w:t>
            </w:r>
          </w:p>
        </w:tc>
        <w:tc>
          <w:tcPr>
            <w:tcW w:w="2069" w:type="dxa"/>
            <w:tcBorders>
              <w:top w:val="nil"/>
              <w:left w:val="nil"/>
              <w:bottom w:val="single" w:color="auto" w:sz="8" w:space="0"/>
              <w:right w:val="single" w:color="auto" w:sz="4" w:space="0"/>
            </w:tcBorders>
          </w:tcPr>
          <w:p w14:paraId="375FAF5C">
            <w:pPr>
              <w:widowControl/>
              <w:jc w:val="left"/>
              <w:rPr>
                <w:rFonts w:eastAsia="仿宋"/>
                <w:color w:val="000000"/>
                <w:kern w:val="0"/>
                <w:sz w:val="24"/>
              </w:rPr>
            </w:pPr>
            <w:r>
              <w:rPr>
                <w:rFonts w:eastAsia="仿宋"/>
                <w:color w:val="000000"/>
                <w:kern w:val="0"/>
                <w:sz w:val="24"/>
              </w:rPr>
              <w:t>如不适用得满分</w:t>
            </w:r>
          </w:p>
        </w:tc>
        <w:tc>
          <w:tcPr>
            <w:tcW w:w="799" w:type="dxa"/>
            <w:tcBorders>
              <w:top w:val="nil"/>
              <w:left w:val="single" w:color="auto" w:sz="4" w:space="0"/>
              <w:bottom w:val="single" w:color="auto" w:sz="8" w:space="0"/>
              <w:right w:val="single" w:color="auto" w:sz="8" w:space="0"/>
            </w:tcBorders>
            <w:shd w:val="clear" w:color="auto" w:fill="auto"/>
            <w:vAlign w:val="center"/>
          </w:tcPr>
          <w:p w14:paraId="424E5117">
            <w:pPr>
              <w:widowControl/>
              <w:jc w:val="left"/>
              <w:rPr>
                <w:rFonts w:eastAsia="仿宋"/>
                <w:color w:val="000000"/>
                <w:kern w:val="0"/>
                <w:sz w:val="24"/>
              </w:rPr>
            </w:pPr>
            <w:r>
              <w:rPr>
                <w:rFonts w:eastAsia="仿宋"/>
                <w:color w:val="000000"/>
                <w:kern w:val="0"/>
                <w:sz w:val="24"/>
              </w:rPr>
              <w:t>　1</w:t>
            </w:r>
          </w:p>
        </w:tc>
        <w:tc>
          <w:tcPr>
            <w:tcW w:w="2176" w:type="dxa"/>
            <w:tcBorders>
              <w:top w:val="nil"/>
              <w:left w:val="single" w:color="auto" w:sz="4" w:space="0"/>
              <w:bottom w:val="single" w:color="auto" w:sz="8" w:space="0"/>
              <w:right w:val="single" w:color="auto" w:sz="8" w:space="0"/>
            </w:tcBorders>
            <w:shd w:val="clear" w:color="auto" w:fill="auto"/>
            <w:vAlign w:val="center"/>
          </w:tcPr>
          <w:p w14:paraId="6602E66C">
            <w:pPr>
              <w:widowControl/>
              <w:jc w:val="left"/>
              <w:rPr>
                <w:rFonts w:eastAsia="仿宋"/>
                <w:color w:val="000000"/>
                <w:kern w:val="0"/>
                <w:sz w:val="24"/>
              </w:rPr>
            </w:pPr>
            <w:r>
              <w:rPr>
                <w:rFonts w:hint="eastAsia" w:eastAsia="仿宋"/>
                <w:bCs/>
                <w:color w:val="000000"/>
                <w:kern w:val="0"/>
                <w:sz w:val="24"/>
                <w:lang w:val="en-US" w:eastAsia="zh-CN"/>
              </w:rPr>
              <w:t>已完成</w:t>
            </w:r>
          </w:p>
        </w:tc>
      </w:tr>
      <w:tr w14:paraId="2A533793">
        <w:tblPrEx>
          <w:tblCellMar>
            <w:top w:w="0" w:type="dxa"/>
            <w:left w:w="108" w:type="dxa"/>
            <w:bottom w:w="0" w:type="dxa"/>
            <w:right w:w="108" w:type="dxa"/>
          </w:tblCellMar>
        </w:tblPrEx>
        <w:trPr>
          <w:trHeight w:val="600" w:hRule="atLeast"/>
        </w:trPr>
        <w:tc>
          <w:tcPr>
            <w:tcW w:w="1153" w:type="dxa"/>
            <w:vMerge w:val="continue"/>
            <w:tcBorders>
              <w:top w:val="nil"/>
              <w:left w:val="single" w:color="auto" w:sz="8" w:space="0"/>
              <w:bottom w:val="single" w:color="auto" w:sz="8" w:space="0"/>
              <w:right w:val="single" w:color="auto" w:sz="8" w:space="0"/>
            </w:tcBorders>
            <w:vAlign w:val="center"/>
          </w:tcPr>
          <w:p w14:paraId="50AE2FBD">
            <w:pPr>
              <w:widowControl/>
              <w:jc w:val="left"/>
              <w:rPr>
                <w:rFonts w:eastAsia="仿宋"/>
                <w:color w:val="000000"/>
                <w:kern w:val="0"/>
                <w:sz w:val="24"/>
              </w:rPr>
            </w:pPr>
          </w:p>
        </w:tc>
        <w:tc>
          <w:tcPr>
            <w:tcW w:w="1267" w:type="dxa"/>
            <w:vMerge w:val="continue"/>
            <w:tcBorders>
              <w:top w:val="nil"/>
              <w:left w:val="single" w:color="auto" w:sz="8" w:space="0"/>
              <w:bottom w:val="single" w:color="000000" w:sz="8" w:space="0"/>
              <w:right w:val="single" w:color="auto" w:sz="8" w:space="0"/>
            </w:tcBorders>
            <w:vAlign w:val="center"/>
          </w:tcPr>
          <w:p w14:paraId="12630695">
            <w:pPr>
              <w:widowControl/>
              <w:jc w:val="left"/>
              <w:rPr>
                <w:rFonts w:eastAsia="仿宋"/>
                <w:color w:val="000000"/>
                <w:kern w:val="0"/>
                <w:sz w:val="24"/>
              </w:rPr>
            </w:pPr>
          </w:p>
        </w:tc>
        <w:tc>
          <w:tcPr>
            <w:tcW w:w="3760" w:type="dxa"/>
            <w:tcBorders>
              <w:top w:val="nil"/>
              <w:left w:val="nil"/>
              <w:bottom w:val="single" w:color="auto" w:sz="8" w:space="0"/>
              <w:right w:val="single" w:color="auto" w:sz="8" w:space="0"/>
            </w:tcBorders>
            <w:shd w:val="clear" w:color="auto" w:fill="auto"/>
            <w:vAlign w:val="center"/>
          </w:tcPr>
          <w:p w14:paraId="7261EB2B">
            <w:pPr>
              <w:widowControl/>
              <w:jc w:val="left"/>
              <w:rPr>
                <w:rFonts w:eastAsia="仿宋"/>
                <w:color w:val="000000"/>
                <w:kern w:val="0"/>
                <w:sz w:val="24"/>
              </w:rPr>
            </w:pPr>
            <w:r>
              <w:rPr>
                <w:rFonts w:eastAsia="仿宋"/>
                <w:color w:val="000000"/>
                <w:kern w:val="0"/>
                <w:sz w:val="24"/>
              </w:rPr>
              <w:t>B52建设项目管理是否按制度执行（1分）</w:t>
            </w:r>
          </w:p>
        </w:tc>
        <w:tc>
          <w:tcPr>
            <w:tcW w:w="2939" w:type="dxa"/>
            <w:vMerge w:val="continue"/>
            <w:tcBorders>
              <w:top w:val="nil"/>
              <w:left w:val="single" w:color="auto" w:sz="8" w:space="0"/>
              <w:bottom w:val="single" w:color="000000" w:sz="8" w:space="0"/>
              <w:right w:val="single" w:color="auto" w:sz="8" w:space="0"/>
            </w:tcBorders>
            <w:vAlign w:val="center"/>
          </w:tcPr>
          <w:p w14:paraId="402A2C4F">
            <w:pPr>
              <w:widowControl/>
              <w:jc w:val="left"/>
              <w:rPr>
                <w:rFonts w:eastAsia="仿宋"/>
                <w:color w:val="000000"/>
                <w:kern w:val="0"/>
                <w:sz w:val="24"/>
              </w:rPr>
            </w:pPr>
          </w:p>
        </w:tc>
        <w:tc>
          <w:tcPr>
            <w:tcW w:w="2069" w:type="dxa"/>
            <w:tcBorders>
              <w:top w:val="single" w:color="auto" w:sz="4" w:space="0"/>
              <w:left w:val="nil"/>
              <w:bottom w:val="single" w:color="auto" w:sz="8" w:space="0"/>
              <w:right w:val="single" w:color="auto" w:sz="4" w:space="0"/>
            </w:tcBorders>
          </w:tcPr>
          <w:p w14:paraId="24A23BAF">
            <w:pPr>
              <w:widowControl/>
              <w:jc w:val="left"/>
              <w:rPr>
                <w:rFonts w:eastAsia="仿宋"/>
                <w:color w:val="000000"/>
                <w:kern w:val="0"/>
                <w:sz w:val="24"/>
              </w:rPr>
            </w:pPr>
            <w:r>
              <w:rPr>
                <w:rFonts w:eastAsia="仿宋"/>
                <w:color w:val="000000"/>
                <w:kern w:val="0"/>
                <w:sz w:val="24"/>
              </w:rPr>
              <w:t>如不适用得满分</w:t>
            </w:r>
          </w:p>
        </w:tc>
        <w:tc>
          <w:tcPr>
            <w:tcW w:w="799" w:type="dxa"/>
            <w:tcBorders>
              <w:top w:val="nil"/>
              <w:left w:val="single" w:color="auto" w:sz="4" w:space="0"/>
              <w:bottom w:val="single" w:color="auto" w:sz="8" w:space="0"/>
              <w:right w:val="single" w:color="auto" w:sz="8" w:space="0"/>
            </w:tcBorders>
            <w:shd w:val="clear" w:color="auto" w:fill="auto"/>
            <w:vAlign w:val="center"/>
          </w:tcPr>
          <w:p w14:paraId="46859897">
            <w:pPr>
              <w:widowControl/>
              <w:jc w:val="left"/>
              <w:rPr>
                <w:rFonts w:eastAsia="仿宋"/>
                <w:color w:val="000000"/>
                <w:kern w:val="0"/>
                <w:sz w:val="24"/>
              </w:rPr>
            </w:pPr>
            <w:r>
              <w:rPr>
                <w:rFonts w:eastAsia="仿宋"/>
                <w:color w:val="000000"/>
                <w:kern w:val="0"/>
                <w:sz w:val="24"/>
              </w:rPr>
              <w:t>　1</w:t>
            </w:r>
          </w:p>
        </w:tc>
        <w:tc>
          <w:tcPr>
            <w:tcW w:w="2176" w:type="dxa"/>
            <w:tcBorders>
              <w:top w:val="nil"/>
              <w:left w:val="single" w:color="auto" w:sz="4" w:space="0"/>
              <w:bottom w:val="single" w:color="auto" w:sz="8" w:space="0"/>
              <w:right w:val="single" w:color="auto" w:sz="8" w:space="0"/>
            </w:tcBorders>
            <w:shd w:val="clear" w:color="auto" w:fill="auto"/>
            <w:vAlign w:val="center"/>
          </w:tcPr>
          <w:p w14:paraId="18191AFE">
            <w:pPr>
              <w:widowControl/>
              <w:jc w:val="left"/>
              <w:rPr>
                <w:rFonts w:eastAsia="仿宋"/>
                <w:color w:val="000000"/>
                <w:kern w:val="0"/>
                <w:sz w:val="24"/>
              </w:rPr>
            </w:pPr>
            <w:r>
              <w:rPr>
                <w:rFonts w:hint="eastAsia" w:eastAsia="仿宋"/>
                <w:bCs/>
                <w:color w:val="000000"/>
                <w:kern w:val="0"/>
                <w:sz w:val="24"/>
                <w:lang w:val="en-US" w:eastAsia="zh-CN"/>
              </w:rPr>
              <w:t>已完成</w:t>
            </w:r>
          </w:p>
        </w:tc>
      </w:tr>
      <w:tr w14:paraId="267E6FD5">
        <w:tblPrEx>
          <w:tblCellMar>
            <w:top w:w="0" w:type="dxa"/>
            <w:left w:w="108" w:type="dxa"/>
            <w:bottom w:w="0" w:type="dxa"/>
            <w:right w:w="108" w:type="dxa"/>
          </w:tblCellMar>
        </w:tblPrEx>
        <w:trPr>
          <w:trHeight w:val="600" w:hRule="atLeast"/>
        </w:trPr>
        <w:tc>
          <w:tcPr>
            <w:tcW w:w="1153" w:type="dxa"/>
            <w:vMerge w:val="continue"/>
            <w:tcBorders>
              <w:top w:val="nil"/>
              <w:left w:val="single" w:color="auto" w:sz="8" w:space="0"/>
              <w:bottom w:val="single" w:color="auto" w:sz="8" w:space="0"/>
              <w:right w:val="single" w:color="auto" w:sz="8" w:space="0"/>
            </w:tcBorders>
            <w:vAlign w:val="center"/>
          </w:tcPr>
          <w:p w14:paraId="4EF634FD">
            <w:pPr>
              <w:widowControl/>
              <w:jc w:val="left"/>
              <w:rPr>
                <w:rFonts w:eastAsia="仿宋"/>
                <w:color w:val="000000"/>
                <w:kern w:val="0"/>
                <w:sz w:val="24"/>
              </w:rPr>
            </w:pPr>
          </w:p>
        </w:tc>
        <w:tc>
          <w:tcPr>
            <w:tcW w:w="1267" w:type="dxa"/>
            <w:vMerge w:val="restart"/>
            <w:tcBorders>
              <w:top w:val="nil"/>
              <w:left w:val="single" w:color="auto" w:sz="8" w:space="0"/>
              <w:bottom w:val="single" w:color="auto" w:sz="8" w:space="0"/>
              <w:right w:val="single" w:color="auto" w:sz="8" w:space="0"/>
            </w:tcBorders>
            <w:shd w:val="clear" w:color="auto" w:fill="auto"/>
            <w:vAlign w:val="center"/>
          </w:tcPr>
          <w:p w14:paraId="610379BB">
            <w:pPr>
              <w:widowControl/>
              <w:jc w:val="left"/>
              <w:rPr>
                <w:rFonts w:eastAsia="仿宋"/>
                <w:color w:val="000000"/>
                <w:kern w:val="0"/>
                <w:sz w:val="24"/>
              </w:rPr>
            </w:pPr>
            <w:r>
              <w:rPr>
                <w:rFonts w:eastAsia="仿宋"/>
                <w:color w:val="000000"/>
                <w:kern w:val="0"/>
                <w:sz w:val="24"/>
              </w:rPr>
              <w:t>B6内部控制管理（4分）</w:t>
            </w:r>
          </w:p>
        </w:tc>
        <w:tc>
          <w:tcPr>
            <w:tcW w:w="3760" w:type="dxa"/>
            <w:tcBorders>
              <w:top w:val="nil"/>
              <w:left w:val="nil"/>
              <w:bottom w:val="single" w:color="auto" w:sz="8" w:space="0"/>
              <w:right w:val="single" w:color="auto" w:sz="8" w:space="0"/>
            </w:tcBorders>
            <w:shd w:val="clear" w:color="auto" w:fill="auto"/>
            <w:vAlign w:val="center"/>
          </w:tcPr>
          <w:p w14:paraId="359173C0">
            <w:pPr>
              <w:widowControl/>
              <w:jc w:val="left"/>
              <w:rPr>
                <w:rFonts w:eastAsia="仿宋"/>
                <w:color w:val="000000"/>
                <w:kern w:val="0"/>
                <w:sz w:val="24"/>
              </w:rPr>
            </w:pPr>
            <w:r>
              <w:rPr>
                <w:rFonts w:eastAsia="仿宋"/>
                <w:color w:val="000000"/>
                <w:kern w:val="0"/>
                <w:sz w:val="24"/>
              </w:rPr>
              <w:t>B61内部控制建设情况（2分）</w:t>
            </w:r>
          </w:p>
        </w:tc>
        <w:tc>
          <w:tcPr>
            <w:tcW w:w="2939" w:type="dxa"/>
            <w:tcBorders>
              <w:top w:val="nil"/>
              <w:left w:val="nil"/>
              <w:bottom w:val="single" w:color="auto" w:sz="8" w:space="0"/>
              <w:right w:val="single" w:color="auto" w:sz="8" w:space="0"/>
            </w:tcBorders>
            <w:shd w:val="clear" w:color="auto" w:fill="auto"/>
            <w:vAlign w:val="center"/>
          </w:tcPr>
          <w:p w14:paraId="084A7E18">
            <w:pPr>
              <w:widowControl/>
              <w:jc w:val="left"/>
              <w:rPr>
                <w:rFonts w:eastAsia="仿宋"/>
                <w:color w:val="000000"/>
                <w:kern w:val="0"/>
                <w:sz w:val="24"/>
              </w:rPr>
            </w:pPr>
            <w:r>
              <w:rPr>
                <w:rFonts w:eastAsia="仿宋"/>
                <w:color w:val="000000"/>
                <w:kern w:val="0"/>
                <w:sz w:val="24"/>
              </w:rPr>
              <w:t>内部控制领导小组、工作小组的成立、内控制度设计、手册编制等</w:t>
            </w:r>
          </w:p>
        </w:tc>
        <w:tc>
          <w:tcPr>
            <w:tcW w:w="2069" w:type="dxa"/>
            <w:tcBorders>
              <w:top w:val="nil"/>
              <w:left w:val="nil"/>
              <w:bottom w:val="single" w:color="auto" w:sz="8" w:space="0"/>
              <w:right w:val="single" w:color="auto" w:sz="4" w:space="0"/>
            </w:tcBorders>
            <w:vAlign w:val="center"/>
          </w:tcPr>
          <w:p w14:paraId="667438A6">
            <w:pPr>
              <w:widowControl/>
              <w:jc w:val="left"/>
              <w:rPr>
                <w:rFonts w:eastAsia="仿宋"/>
                <w:color w:val="000000"/>
                <w:kern w:val="0"/>
                <w:sz w:val="24"/>
              </w:rPr>
            </w:pPr>
            <w:r>
              <w:rPr>
                <w:rFonts w:eastAsia="仿宋"/>
                <w:color w:val="000000"/>
                <w:kern w:val="0"/>
                <w:sz w:val="24"/>
              </w:rPr>
              <w:t>是否成立内控领导小组、工作小组，是否有内部控制制度落实在手册等文本上</w:t>
            </w:r>
          </w:p>
        </w:tc>
        <w:tc>
          <w:tcPr>
            <w:tcW w:w="799" w:type="dxa"/>
            <w:tcBorders>
              <w:top w:val="nil"/>
              <w:left w:val="single" w:color="auto" w:sz="4" w:space="0"/>
              <w:bottom w:val="single" w:color="auto" w:sz="8" w:space="0"/>
              <w:right w:val="single" w:color="auto" w:sz="8" w:space="0"/>
            </w:tcBorders>
            <w:shd w:val="clear" w:color="auto" w:fill="auto"/>
            <w:vAlign w:val="center"/>
          </w:tcPr>
          <w:p w14:paraId="5D7811BB">
            <w:pPr>
              <w:widowControl/>
              <w:ind w:firstLine="240" w:firstLineChars="100"/>
              <w:jc w:val="left"/>
              <w:rPr>
                <w:rFonts w:eastAsia="仿宋"/>
                <w:color w:val="000000"/>
                <w:kern w:val="0"/>
                <w:sz w:val="24"/>
              </w:rPr>
            </w:pPr>
            <w:r>
              <w:rPr>
                <w:rFonts w:hint="eastAsia" w:eastAsia="仿宋"/>
                <w:color w:val="000000"/>
                <w:kern w:val="0"/>
                <w:sz w:val="24"/>
              </w:rPr>
              <w:t>2</w:t>
            </w:r>
          </w:p>
        </w:tc>
        <w:tc>
          <w:tcPr>
            <w:tcW w:w="2176" w:type="dxa"/>
            <w:tcBorders>
              <w:top w:val="nil"/>
              <w:left w:val="single" w:color="auto" w:sz="4" w:space="0"/>
              <w:bottom w:val="single" w:color="auto" w:sz="8" w:space="0"/>
              <w:right w:val="single" w:color="auto" w:sz="8" w:space="0"/>
            </w:tcBorders>
            <w:shd w:val="clear" w:color="auto" w:fill="auto"/>
            <w:vAlign w:val="center"/>
          </w:tcPr>
          <w:p w14:paraId="1F1BB97C">
            <w:pPr>
              <w:widowControl/>
              <w:jc w:val="left"/>
              <w:rPr>
                <w:rFonts w:hint="eastAsia" w:eastAsia="仿宋"/>
                <w:color w:val="000000"/>
                <w:kern w:val="0"/>
                <w:sz w:val="24"/>
              </w:rPr>
            </w:pPr>
            <w:r>
              <w:rPr>
                <w:rFonts w:hint="eastAsia" w:eastAsia="仿宋"/>
                <w:bCs/>
                <w:color w:val="000000"/>
                <w:kern w:val="0"/>
                <w:sz w:val="24"/>
                <w:lang w:val="en-US" w:eastAsia="zh-CN"/>
              </w:rPr>
              <w:t>已完成</w:t>
            </w:r>
          </w:p>
        </w:tc>
      </w:tr>
      <w:tr w14:paraId="79D5C55E">
        <w:tblPrEx>
          <w:tblCellMar>
            <w:top w:w="0" w:type="dxa"/>
            <w:left w:w="108" w:type="dxa"/>
            <w:bottom w:w="0" w:type="dxa"/>
            <w:right w:w="108" w:type="dxa"/>
          </w:tblCellMar>
        </w:tblPrEx>
        <w:trPr>
          <w:trHeight w:val="600" w:hRule="atLeast"/>
        </w:trPr>
        <w:tc>
          <w:tcPr>
            <w:tcW w:w="1153" w:type="dxa"/>
            <w:vMerge w:val="continue"/>
            <w:tcBorders>
              <w:top w:val="nil"/>
              <w:left w:val="single" w:color="auto" w:sz="8" w:space="0"/>
              <w:bottom w:val="single" w:color="auto" w:sz="8" w:space="0"/>
              <w:right w:val="single" w:color="auto" w:sz="8" w:space="0"/>
            </w:tcBorders>
            <w:vAlign w:val="center"/>
          </w:tcPr>
          <w:p w14:paraId="418CCC7D">
            <w:pPr>
              <w:widowControl/>
              <w:jc w:val="left"/>
              <w:rPr>
                <w:rFonts w:eastAsia="仿宋"/>
                <w:color w:val="000000"/>
                <w:kern w:val="0"/>
                <w:sz w:val="24"/>
              </w:rPr>
            </w:pPr>
          </w:p>
        </w:tc>
        <w:tc>
          <w:tcPr>
            <w:tcW w:w="1267" w:type="dxa"/>
            <w:vMerge w:val="continue"/>
            <w:tcBorders>
              <w:top w:val="nil"/>
              <w:left w:val="single" w:color="auto" w:sz="8" w:space="0"/>
              <w:bottom w:val="single" w:color="auto" w:sz="8" w:space="0"/>
              <w:right w:val="single" w:color="auto" w:sz="8" w:space="0"/>
            </w:tcBorders>
            <w:vAlign w:val="center"/>
          </w:tcPr>
          <w:p w14:paraId="1BA01EAC">
            <w:pPr>
              <w:widowControl/>
              <w:jc w:val="left"/>
              <w:rPr>
                <w:rFonts w:eastAsia="仿宋"/>
                <w:color w:val="000000"/>
                <w:kern w:val="0"/>
                <w:sz w:val="24"/>
              </w:rPr>
            </w:pPr>
          </w:p>
        </w:tc>
        <w:tc>
          <w:tcPr>
            <w:tcW w:w="3760" w:type="dxa"/>
            <w:tcBorders>
              <w:top w:val="nil"/>
              <w:left w:val="nil"/>
              <w:bottom w:val="single" w:color="auto" w:sz="8" w:space="0"/>
              <w:right w:val="single" w:color="auto" w:sz="8" w:space="0"/>
            </w:tcBorders>
            <w:shd w:val="clear" w:color="auto" w:fill="auto"/>
            <w:vAlign w:val="center"/>
          </w:tcPr>
          <w:p w14:paraId="24F55FC5">
            <w:pPr>
              <w:widowControl/>
              <w:jc w:val="left"/>
              <w:rPr>
                <w:rFonts w:eastAsia="仿宋"/>
                <w:color w:val="000000"/>
                <w:kern w:val="0"/>
                <w:sz w:val="24"/>
              </w:rPr>
            </w:pPr>
            <w:r>
              <w:rPr>
                <w:rFonts w:eastAsia="仿宋"/>
                <w:color w:val="000000"/>
                <w:kern w:val="0"/>
                <w:sz w:val="24"/>
              </w:rPr>
              <w:t>B62内部控制执行情况（1分）</w:t>
            </w:r>
          </w:p>
        </w:tc>
        <w:tc>
          <w:tcPr>
            <w:tcW w:w="2939" w:type="dxa"/>
            <w:tcBorders>
              <w:top w:val="nil"/>
              <w:left w:val="nil"/>
              <w:bottom w:val="single" w:color="auto" w:sz="8" w:space="0"/>
              <w:right w:val="single" w:color="auto" w:sz="8" w:space="0"/>
            </w:tcBorders>
            <w:shd w:val="clear" w:color="auto" w:fill="auto"/>
            <w:vAlign w:val="center"/>
          </w:tcPr>
          <w:p w14:paraId="411D95A0">
            <w:pPr>
              <w:widowControl/>
              <w:jc w:val="left"/>
              <w:rPr>
                <w:rFonts w:eastAsia="仿宋"/>
                <w:color w:val="000000"/>
                <w:kern w:val="0"/>
                <w:sz w:val="24"/>
              </w:rPr>
            </w:pPr>
            <w:r>
              <w:rPr>
                <w:rFonts w:eastAsia="仿宋"/>
                <w:color w:val="000000"/>
                <w:kern w:val="0"/>
                <w:sz w:val="24"/>
              </w:rPr>
              <w:t>内部控制执行并一贯执行</w:t>
            </w:r>
          </w:p>
        </w:tc>
        <w:tc>
          <w:tcPr>
            <w:tcW w:w="2069" w:type="dxa"/>
            <w:tcBorders>
              <w:top w:val="nil"/>
              <w:left w:val="nil"/>
              <w:bottom w:val="single" w:color="auto" w:sz="8" w:space="0"/>
              <w:right w:val="single" w:color="auto" w:sz="4" w:space="0"/>
            </w:tcBorders>
            <w:vAlign w:val="center"/>
          </w:tcPr>
          <w:p w14:paraId="65AED43E">
            <w:pPr>
              <w:widowControl/>
              <w:jc w:val="left"/>
              <w:rPr>
                <w:rFonts w:eastAsia="仿宋"/>
                <w:color w:val="000000"/>
                <w:kern w:val="0"/>
                <w:sz w:val="24"/>
              </w:rPr>
            </w:pPr>
            <w:r>
              <w:rPr>
                <w:rFonts w:eastAsia="仿宋"/>
                <w:color w:val="000000"/>
                <w:kern w:val="0"/>
                <w:sz w:val="24"/>
              </w:rPr>
              <w:t>通过重新执行程序评价内控是否有效</w:t>
            </w:r>
          </w:p>
        </w:tc>
        <w:tc>
          <w:tcPr>
            <w:tcW w:w="799" w:type="dxa"/>
            <w:tcBorders>
              <w:top w:val="nil"/>
              <w:left w:val="single" w:color="auto" w:sz="4" w:space="0"/>
              <w:bottom w:val="single" w:color="auto" w:sz="8" w:space="0"/>
              <w:right w:val="single" w:color="auto" w:sz="8" w:space="0"/>
            </w:tcBorders>
            <w:shd w:val="clear" w:color="auto" w:fill="auto"/>
            <w:vAlign w:val="center"/>
          </w:tcPr>
          <w:p w14:paraId="10F9E8F8">
            <w:pPr>
              <w:widowControl/>
              <w:ind w:firstLine="240" w:firstLineChars="100"/>
              <w:jc w:val="left"/>
              <w:rPr>
                <w:rFonts w:eastAsia="仿宋"/>
                <w:color w:val="000000"/>
                <w:kern w:val="0"/>
                <w:sz w:val="24"/>
              </w:rPr>
            </w:pPr>
            <w:r>
              <w:rPr>
                <w:rFonts w:eastAsia="仿宋"/>
                <w:color w:val="000000"/>
                <w:kern w:val="0"/>
                <w:sz w:val="24"/>
              </w:rPr>
              <w:t>1</w:t>
            </w:r>
          </w:p>
        </w:tc>
        <w:tc>
          <w:tcPr>
            <w:tcW w:w="2176" w:type="dxa"/>
            <w:tcBorders>
              <w:top w:val="nil"/>
              <w:left w:val="single" w:color="auto" w:sz="4" w:space="0"/>
              <w:bottom w:val="single" w:color="auto" w:sz="8" w:space="0"/>
              <w:right w:val="single" w:color="auto" w:sz="8" w:space="0"/>
            </w:tcBorders>
            <w:shd w:val="clear" w:color="auto" w:fill="auto"/>
            <w:vAlign w:val="center"/>
          </w:tcPr>
          <w:p w14:paraId="1ACE31D3">
            <w:pPr>
              <w:widowControl/>
              <w:jc w:val="left"/>
              <w:rPr>
                <w:rFonts w:eastAsia="仿宋"/>
                <w:color w:val="000000"/>
                <w:kern w:val="0"/>
                <w:sz w:val="24"/>
              </w:rPr>
            </w:pPr>
            <w:r>
              <w:rPr>
                <w:rFonts w:hint="eastAsia" w:eastAsia="仿宋"/>
                <w:bCs/>
                <w:color w:val="000000"/>
                <w:kern w:val="0"/>
                <w:sz w:val="24"/>
                <w:lang w:val="en-US" w:eastAsia="zh-CN"/>
              </w:rPr>
              <w:t>已完成</w:t>
            </w:r>
          </w:p>
        </w:tc>
      </w:tr>
      <w:tr w14:paraId="557938D5">
        <w:tblPrEx>
          <w:tblCellMar>
            <w:top w:w="0" w:type="dxa"/>
            <w:left w:w="108" w:type="dxa"/>
            <w:bottom w:w="0" w:type="dxa"/>
            <w:right w:w="108" w:type="dxa"/>
          </w:tblCellMar>
        </w:tblPrEx>
        <w:trPr>
          <w:trHeight w:val="600" w:hRule="atLeast"/>
        </w:trPr>
        <w:tc>
          <w:tcPr>
            <w:tcW w:w="1153" w:type="dxa"/>
            <w:vMerge w:val="continue"/>
            <w:tcBorders>
              <w:top w:val="nil"/>
              <w:left w:val="single" w:color="auto" w:sz="8" w:space="0"/>
              <w:bottom w:val="single" w:color="auto" w:sz="8" w:space="0"/>
              <w:right w:val="single" w:color="auto" w:sz="8" w:space="0"/>
            </w:tcBorders>
            <w:vAlign w:val="center"/>
          </w:tcPr>
          <w:p w14:paraId="2A105AB3">
            <w:pPr>
              <w:widowControl/>
              <w:jc w:val="left"/>
              <w:rPr>
                <w:rFonts w:eastAsia="仿宋"/>
                <w:color w:val="000000"/>
                <w:kern w:val="0"/>
                <w:sz w:val="24"/>
              </w:rPr>
            </w:pPr>
          </w:p>
        </w:tc>
        <w:tc>
          <w:tcPr>
            <w:tcW w:w="1267" w:type="dxa"/>
            <w:vMerge w:val="continue"/>
            <w:tcBorders>
              <w:top w:val="nil"/>
              <w:left w:val="single" w:color="auto" w:sz="8" w:space="0"/>
              <w:bottom w:val="single" w:color="auto" w:sz="8" w:space="0"/>
              <w:right w:val="single" w:color="auto" w:sz="8" w:space="0"/>
            </w:tcBorders>
            <w:vAlign w:val="center"/>
          </w:tcPr>
          <w:p w14:paraId="215A31D2">
            <w:pPr>
              <w:widowControl/>
              <w:jc w:val="left"/>
              <w:rPr>
                <w:rFonts w:eastAsia="仿宋"/>
                <w:color w:val="000000"/>
                <w:kern w:val="0"/>
                <w:sz w:val="24"/>
              </w:rPr>
            </w:pPr>
          </w:p>
        </w:tc>
        <w:tc>
          <w:tcPr>
            <w:tcW w:w="3760" w:type="dxa"/>
            <w:tcBorders>
              <w:top w:val="nil"/>
              <w:left w:val="nil"/>
              <w:bottom w:val="single" w:color="auto" w:sz="8" w:space="0"/>
              <w:right w:val="single" w:color="auto" w:sz="8" w:space="0"/>
            </w:tcBorders>
            <w:shd w:val="clear" w:color="auto" w:fill="auto"/>
            <w:vAlign w:val="center"/>
          </w:tcPr>
          <w:p w14:paraId="5F0877EA">
            <w:pPr>
              <w:widowControl/>
              <w:jc w:val="left"/>
              <w:rPr>
                <w:rFonts w:eastAsia="仿宋"/>
                <w:color w:val="000000"/>
                <w:kern w:val="0"/>
                <w:sz w:val="24"/>
              </w:rPr>
            </w:pPr>
            <w:r>
              <w:rPr>
                <w:rFonts w:eastAsia="仿宋"/>
                <w:color w:val="000000"/>
                <w:kern w:val="0"/>
                <w:sz w:val="24"/>
              </w:rPr>
              <w:t>B63内部控制监督评价（1分）</w:t>
            </w:r>
          </w:p>
        </w:tc>
        <w:tc>
          <w:tcPr>
            <w:tcW w:w="2939" w:type="dxa"/>
            <w:tcBorders>
              <w:top w:val="nil"/>
              <w:left w:val="nil"/>
              <w:bottom w:val="single" w:color="auto" w:sz="8" w:space="0"/>
              <w:right w:val="single" w:color="auto" w:sz="8" w:space="0"/>
            </w:tcBorders>
            <w:shd w:val="clear" w:color="auto" w:fill="auto"/>
            <w:vAlign w:val="center"/>
          </w:tcPr>
          <w:p w14:paraId="7B7F7806">
            <w:pPr>
              <w:widowControl/>
              <w:jc w:val="left"/>
              <w:rPr>
                <w:rFonts w:eastAsia="仿宋"/>
                <w:color w:val="000000"/>
                <w:kern w:val="0"/>
                <w:sz w:val="24"/>
              </w:rPr>
            </w:pPr>
            <w:r>
              <w:rPr>
                <w:rFonts w:eastAsia="仿宋"/>
                <w:color w:val="000000"/>
                <w:kern w:val="0"/>
                <w:sz w:val="24"/>
              </w:rPr>
              <w:t>内部控制监督设计评价和运行评价</w:t>
            </w:r>
          </w:p>
        </w:tc>
        <w:tc>
          <w:tcPr>
            <w:tcW w:w="2069" w:type="dxa"/>
            <w:tcBorders>
              <w:top w:val="nil"/>
              <w:left w:val="nil"/>
              <w:bottom w:val="single" w:color="auto" w:sz="8" w:space="0"/>
              <w:right w:val="single" w:color="auto" w:sz="4" w:space="0"/>
            </w:tcBorders>
            <w:vAlign w:val="center"/>
          </w:tcPr>
          <w:p w14:paraId="139F2880">
            <w:pPr>
              <w:widowControl/>
              <w:jc w:val="left"/>
              <w:rPr>
                <w:rFonts w:eastAsia="仿宋"/>
                <w:color w:val="000000"/>
                <w:kern w:val="0"/>
                <w:sz w:val="24"/>
              </w:rPr>
            </w:pPr>
            <w:r>
              <w:rPr>
                <w:rFonts w:eastAsia="仿宋"/>
                <w:color w:val="000000"/>
                <w:kern w:val="0"/>
                <w:sz w:val="24"/>
              </w:rPr>
              <w:t>是否有单位内部内控评价报告</w:t>
            </w:r>
          </w:p>
        </w:tc>
        <w:tc>
          <w:tcPr>
            <w:tcW w:w="799" w:type="dxa"/>
            <w:tcBorders>
              <w:top w:val="nil"/>
              <w:left w:val="single" w:color="auto" w:sz="4" w:space="0"/>
              <w:bottom w:val="single" w:color="auto" w:sz="8" w:space="0"/>
              <w:right w:val="single" w:color="auto" w:sz="8" w:space="0"/>
            </w:tcBorders>
            <w:shd w:val="clear" w:color="auto" w:fill="auto"/>
            <w:vAlign w:val="center"/>
          </w:tcPr>
          <w:p w14:paraId="709C56D4">
            <w:pPr>
              <w:widowControl/>
              <w:ind w:firstLine="240" w:firstLineChars="100"/>
              <w:jc w:val="left"/>
              <w:rPr>
                <w:rFonts w:eastAsia="仿宋"/>
                <w:color w:val="000000"/>
                <w:kern w:val="0"/>
                <w:sz w:val="24"/>
              </w:rPr>
            </w:pPr>
            <w:r>
              <w:rPr>
                <w:rFonts w:eastAsia="仿宋"/>
                <w:color w:val="000000"/>
                <w:kern w:val="0"/>
                <w:sz w:val="24"/>
              </w:rPr>
              <w:t>1</w:t>
            </w:r>
          </w:p>
        </w:tc>
        <w:tc>
          <w:tcPr>
            <w:tcW w:w="2176" w:type="dxa"/>
            <w:tcBorders>
              <w:top w:val="nil"/>
              <w:left w:val="single" w:color="auto" w:sz="4" w:space="0"/>
              <w:bottom w:val="single" w:color="auto" w:sz="8" w:space="0"/>
              <w:right w:val="single" w:color="auto" w:sz="8" w:space="0"/>
            </w:tcBorders>
            <w:shd w:val="clear" w:color="auto" w:fill="auto"/>
            <w:vAlign w:val="center"/>
          </w:tcPr>
          <w:p w14:paraId="30ADE341">
            <w:pPr>
              <w:widowControl/>
              <w:jc w:val="left"/>
              <w:rPr>
                <w:rFonts w:eastAsia="仿宋"/>
                <w:color w:val="000000"/>
                <w:kern w:val="0"/>
                <w:sz w:val="24"/>
              </w:rPr>
            </w:pPr>
            <w:r>
              <w:rPr>
                <w:rFonts w:hint="eastAsia" w:eastAsia="仿宋"/>
                <w:bCs/>
                <w:color w:val="000000"/>
                <w:kern w:val="0"/>
                <w:sz w:val="24"/>
                <w:lang w:val="en-US" w:eastAsia="zh-CN"/>
              </w:rPr>
              <w:t>已完成</w:t>
            </w:r>
          </w:p>
        </w:tc>
      </w:tr>
      <w:tr w14:paraId="799C233D">
        <w:tblPrEx>
          <w:tblCellMar>
            <w:top w:w="0" w:type="dxa"/>
            <w:left w:w="108" w:type="dxa"/>
            <w:bottom w:w="0" w:type="dxa"/>
            <w:right w:w="108" w:type="dxa"/>
          </w:tblCellMar>
        </w:tblPrEx>
        <w:trPr>
          <w:trHeight w:val="600" w:hRule="atLeast"/>
        </w:trPr>
        <w:tc>
          <w:tcPr>
            <w:tcW w:w="1153" w:type="dxa"/>
            <w:vMerge w:val="continue"/>
            <w:tcBorders>
              <w:top w:val="nil"/>
              <w:left w:val="single" w:color="auto" w:sz="8" w:space="0"/>
              <w:bottom w:val="single" w:color="auto" w:sz="8" w:space="0"/>
              <w:right w:val="single" w:color="auto" w:sz="8" w:space="0"/>
            </w:tcBorders>
            <w:vAlign w:val="center"/>
          </w:tcPr>
          <w:p w14:paraId="0C8B7276">
            <w:pPr>
              <w:widowControl/>
              <w:jc w:val="left"/>
              <w:rPr>
                <w:rFonts w:eastAsia="仿宋"/>
                <w:color w:val="000000"/>
                <w:kern w:val="0"/>
                <w:sz w:val="24"/>
              </w:rPr>
            </w:pPr>
          </w:p>
        </w:tc>
        <w:tc>
          <w:tcPr>
            <w:tcW w:w="1267" w:type="dxa"/>
            <w:vMerge w:val="restart"/>
            <w:tcBorders>
              <w:top w:val="nil"/>
              <w:left w:val="single" w:color="auto" w:sz="8" w:space="0"/>
              <w:bottom w:val="single" w:color="auto" w:sz="8" w:space="0"/>
              <w:right w:val="single" w:color="auto" w:sz="8" w:space="0"/>
            </w:tcBorders>
            <w:shd w:val="clear" w:color="auto" w:fill="auto"/>
            <w:vAlign w:val="center"/>
          </w:tcPr>
          <w:p w14:paraId="47DB9AF5">
            <w:pPr>
              <w:widowControl/>
              <w:jc w:val="left"/>
              <w:rPr>
                <w:rFonts w:eastAsia="仿宋"/>
                <w:color w:val="000000"/>
                <w:kern w:val="0"/>
                <w:sz w:val="24"/>
              </w:rPr>
            </w:pPr>
            <w:r>
              <w:rPr>
                <w:rFonts w:eastAsia="仿宋"/>
                <w:color w:val="000000"/>
                <w:kern w:val="0"/>
                <w:sz w:val="24"/>
              </w:rPr>
              <w:t>B7预算绩效管理（4分）</w:t>
            </w:r>
          </w:p>
        </w:tc>
        <w:tc>
          <w:tcPr>
            <w:tcW w:w="3760" w:type="dxa"/>
            <w:tcBorders>
              <w:top w:val="nil"/>
              <w:left w:val="nil"/>
              <w:bottom w:val="single" w:color="auto" w:sz="8" w:space="0"/>
              <w:right w:val="single" w:color="auto" w:sz="8" w:space="0"/>
            </w:tcBorders>
            <w:shd w:val="clear" w:color="auto" w:fill="auto"/>
            <w:vAlign w:val="center"/>
          </w:tcPr>
          <w:p w14:paraId="27724197">
            <w:pPr>
              <w:widowControl/>
              <w:jc w:val="left"/>
              <w:rPr>
                <w:rFonts w:eastAsia="仿宋"/>
                <w:color w:val="000000"/>
                <w:kern w:val="0"/>
                <w:sz w:val="24"/>
              </w:rPr>
            </w:pPr>
            <w:r>
              <w:rPr>
                <w:rFonts w:eastAsia="仿宋"/>
                <w:color w:val="000000"/>
                <w:kern w:val="0"/>
                <w:sz w:val="24"/>
              </w:rPr>
              <w:t>B71组织管理情况（1分）</w:t>
            </w:r>
          </w:p>
        </w:tc>
        <w:tc>
          <w:tcPr>
            <w:tcW w:w="2939" w:type="dxa"/>
            <w:tcBorders>
              <w:top w:val="nil"/>
              <w:left w:val="nil"/>
              <w:bottom w:val="single" w:color="auto" w:sz="8" w:space="0"/>
              <w:right w:val="single" w:color="auto" w:sz="8" w:space="0"/>
            </w:tcBorders>
            <w:shd w:val="clear" w:color="auto" w:fill="auto"/>
            <w:vAlign w:val="center"/>
          </w:tcPr>
          <w:p w14:paraId="1C3A180F">
            <w:pPr>
              <w:widowControl/>
              <w:jc w:val="left"/>
              <w:rPr>
                <w:rFonts w:eastAsia="仿宋"/>
                <w:color w:val="000000"/>
                <w:kern w:val="0"/>
                <w:sz w:val="24"/>
              </w:rPr>
            </w:pPr>
            <w:r>
              <w:rPr>
                <w:rFonts w:eastAsia="仿宋"/>
                <w:color w:val="000000"/>
                <w:kern w:val="0"/>
                <w:sz w:val="24"/>
              </w:rPr>
              <w:t>主要包含制度建设、职能配置、分行业的指标体系</w:t>
            </w:r>
          </w:p>
        </w:tc>
        <w:tc>
          <w:tcPr>
            <w:tcW w:w="2069" w:type="dxa"/>
            <w:tcBorders>
              <w:top w:val="nil"/>
              <w:left w:val="nil"/>
              <w:bottom w:val="single" w:color="auto" w:sz="8" w:space="0"/>
              <w:right w:val="single" w:color="auto" w:sz="4" w:space="0"/>
            </w:tcBorders>
            <w:vAlign w:val="center"/>
          </w:tcPr>
          <w:p w14:paraId="7F49D64D">
            <w:pPr>
              <w:widowControl/>
              <w:jc w:val="left"/>
              <w:rPr>
                <w:rFonts w:eastAsia="仿宋"/>
                <w:color w:val="000000"/>
                <w:kern w:val="0"/>
                <w:sz w:val="24"/>
              </w:rPr>
            </w:pPr>
            <w:r>
              <w:rPr>
                <w:rFonts w:eastAsia="仿宋"/>
                <w:color w:val="000000"/>
                <w:kern w:val="0"/>
                <w:sz w:val="24"/>
              </w:rPr>
              <w:t>是否有制度建设，与职能配置情况，指标体系构成</w:t>
            </w:r>
          </w:p>
        </w:tc>
        <w:tc>
          <w:tcPr>
            <w:tcW w:w="799" w:type="dxa"/>
            <w:tcBorders>
              <w:top w:val="nil"/>
              <w:left w:val="single" w:color="auto" w:sz="4" w:space="0"/>
              <w:bottom w:val="single" w:color="auto" w:sz="8" w:space="0"/>
              <w:right w:val="single" w:color="auto" w:sz="8" w:space="0"/>
            </w:tcBorders>
            <w:shd w:val="clear" w:color="auto" w:fill="auto"/>
            <w:vAlign w:val="center"/>
          </w:tcPr>
          <w:p w14:paraId="4F5B06AA">
            <w:pPr>
              <w:widowControl/>
              <w:ind w:firstLine="240" w:firstLineChars="100"/>
              <w:jc w:val="left"/>
              <w:rPr>
                <w:rFonts w:eastAsia="仿宋"/>
                <w:color w:val="000000"/>
                <w:kern w:val="0"/>
                <w:sz w:val="24"/>
              </w:rPr>
            </w:pPr>
            <w:r>
              <w:rPr>
                <w:rFonts w:eastAsia="仿宋"/>
                <w:color w:val="000000"/>
                <w:kern w:val="0"/>
                <w:sz w:val="24"/>
              </w:rPr>
              <w:t>1</w:t>
            </w:r>
          </w:p>
        </w:tc>
        <w:tc>
          <w:tcPr>
            <w:tcW w:w="2176" w:type="dxa"/>
            <w:tcBorders>
              <w:top w:val="nil"/>
              <w:left w:val="single" w:color="auto" w:sz="4" w:space="0"/>
              <w:bottom w:val="single" w:color="auto" w:sz="8" w:space="0"/>
              <w:right w:val="single" w:color="auto" w:sz="8" w:space="0"/>
            </w:tcBorders>
            <w:shd w:val="clear" w:color="auto" w:fill="auto"/>
            <w:vAlign w:val="center"/>
          </w:tcPr>
          <w:p w14:paraId="1284ECB2">
            <w:pPr>
              <w:widowControl/>
              <w:jc w:val="left"/>
              <w:rPr>
                <w:rFonts w:eastAsia="仿宋"/>
                <w:color w:val="000000"/>
                <w:kern w:val="0"/>
                <w:sz w:val="24"/>
              </w:rPr>
            </w:pPr>
            <w:r>
              <w:rPr>
                <w:rFonts w:hint="eastAsia" w:eastAsia="仿宋"/>
                <w:bCs/>
                <w:color w:val="000000"/>
                <w:kern w:val="0"/>
                <w:sz w:val="24"/>
                <w:lang w:val="en-US" w:eastAsia="zh-CN"/>
              </w:rPr>
              <w:t>已完成</w:t>
            </w:r>
          </w:p>
        </w:tc>
      </w:tr>
      <w:tr w14:paraId="36D6D5CA">
        <w:tblPrEx>
          <w:tblCellMar>
            <w:top w:w="0" w:type="dxa"/>
            <w:left w:w="108" w:type="dxa"/>
            <w:bottom w:w="0" w:type="dxa"/>
            <w:right w:w="108" w:type="dxa"/>
          </w:tblCellMar>
        </w:tblPrEx>
        <w:trPr>
          <w:trHeight w:val="600" w:hRule="atLeast"/>
        </w:trPr>
        <w:tc>
          <w:tcPr>
            <w:tcW w:w="1153" w:type="dxa"/>
            <w:vMerge w:val="continue"/>
            <w:tcBorders>
              <w:top w:val="nil"/>
              <w:left w:val="single" w:color="auto" w:sz="8" w:space="0"/>
              <w:bottom w:val="single" w:color="auto" w:sz="8" w:space="0"/>
              <w:right w:val="single" w:color="auto" w:sz="8" w:space="0"/>
            </w:tcBorders>
            <w:vAlign w:val="center"/>
          </w:tcPr>
          <w:p w14:paraId="15AC5221">
            <w:pPr>
              <w:widowControl/>
              <w:jc w:val="left"/>
              <w:rPr>
                <w:rFonts w:eastAsia="仿宋"/>
                <w:color w:val="000000"/>
                <w:kern w:val="0"/>
                <w:sz w:val="24"/>
              </w:rPr>
            </w:pPr>
          </w:p>
        </w:tc>
        <w:tc>
          <w:tcPr>
            <w:tcW w:w="1267" w:type="dxa"/>
            <w:vMerge w:val="continue"/>
            <w:tcBorders>
              <w:top w:val="nil"/>
              <w:left w:val="single" w:color="auto" w:sz="8" w:space="0"/>
              <w:bottom w:val="single" w:color="auto" w:sz="8" w:space="0"/>
              <w:right w:val="single" w:color="auto" w:sz="8" w:space="0"/>
            </w:tcBorders>
            <w:vAlign w:val="center"/>
          </w:tcPr>
          <w:p w14:paraId="2B75D00F">
            <w:pPr>
              <w:widowControl/>
              <w:jc w:val="left"/>
              <w:rPr>
                <w:rFonts w:eastAsia="仿宋"/>
                <w:color w:val="000000"/>
                <w:kern w:val="0"/>
                <w:sz w:val="24"/>
              </w:rPr>
            </w:pPr>
          </w:p>
        </w:tc>
        <w:tc>
          <w:tcPr>
            <w:tcW w:w="3760" w:type="dxa"/>
            <w:tcBorders>
              <w:top w:val="nil"/>
              <w:left w:val="nil"/>
              <w:bottom w:val="single" w:color="auto" w:sz="8" w:space="0"/>
              <w:right w:val="single" w:color="auto" w:sz="8" w:space="0"/>
            </w:tcBorders>
            <w:shd w:val="clear" w:color="auto" w:fill="auto"/>
            <w:vAlign w:val="center"/>
          </w:tcPr>
          <w:p w14:paraId="4D52D69D">
            <w:pPr>
              <w:widowControl/>
              <w:jc w:val="left"/>
              <w:rPr>
                <w:rFonts w:eastAsia="仿宋"/>
                <w:color w:val="000000"/>
                <w:kern w:val="0"/>
                <w:sz w:val="24"/>
              </w:rPr>
            </w:pPr>
            <w:r>
              <w:rPr>
                <w:rFonts w:eastAsia="仿宋"/>
                <w:color w:val="000000"/>
                <w:kern w:val="0"/>
                <w:sz w:val="24"/>
              </w:rPr>
              <w:t>B72工作开展情况（1分）</w:t>
            </w:r>
          </w:p>
        </w:tc>
        <w:tc>
          <w:tcPr>
            <w:tcW w:w="2939" w:type="dxa"/>
            <w:tcBorders>
              <w:top w:val="nil"/>
              <w:left w:val="nil"/>
              <w:bottom w:val="single" w:color="auto" w:sz="8" w:space="0"/>
              <w:right w:val="single" w:color="auto" w:sz="8" w:space="0"/>
            </w:tcBorders>
            <w:shd w:val="clear" w:color="auto" w:fill="auto"/>
            <w:vAlign w:val="center"/>
          </w:tcPr>
          <w:p w14:paraId="4631B4C2">
            <w:pPr>
              <w:widowControl/>
              <w:jc w:val="left"/>
              <w:rPr>
                <w:rFonts w:eastAsia="仿宋"/>
                <w:color w:val="000000"/>
                <w:kern w:val="0"/>
                <w:sz w:val="24"/>
              </w:rPr>
            </w:pPr>
            <w:r>
              <w:rPr>
                <w:rFonts w:eastAsia="仿宋"/>
                <w:color w:val="000000"/>
                <w:kern w:val="0"/>
                <w:sz w:val="24"/>
              </w:rPr>
              <w:t>包含事前评估、目标管理、跟踪评价、自评价和整改落实</w:t>
            </w:r>
          </w:p>
        </w:tc>
        <w:tc>
          <w:tcPr>
            <w:tcW w:w="2069" w:type="dxa"/>
            <w:tcBorders>
              <w:top w:val="nil"/>
              <w:left w:val="nil"/>
              <w:bottom w:val="single" w:color="auto" w:sz="8" w:space="0"/>
              <w:right w:val="single" w:color="auto" w:sz="4" w:space="0"/>
            </w:tcBorders>
            <w:vAlign w:val="center"/>
          </w:tcPr>
          <w:p w14:paraId="1193BF0F">
            <w:pPr>
              <w:widowControl/>
              <w:jc w:val="left"/>
              <w:rPr>
                <w:rFonts w:eastAsia="仿宋"/>
                <w:color w:val="000000"/>
                <w:kern w:val="0"/>
                <w:sz w:val="24"/>
              </w:rPr>
            </w:pPr>
            <w:r>
              <w:rPr>
                <w:rFonts w:eastAsia="仿宋"/>
                <w:color w:val="000000"/>
                <w:kern w:val="0"/>
                <w:sz w:val="24"/>
              </w:rPr>
              <w:t>考察政策（项目）是否有5个报告</w:t>
            </w:r>
          </w:p>
        </w:tc>
        <w:tc>
          <w:tcPr>
            <w:tcW w:w="799" w:type="dxa"/>
            <w:tcBorders>
              <w:top w:val="nil"/>
              <w:left w:val="single" w:color="auto" w:sz="4" w:space="0"/>
              <w:bottom w:val="single" w:color="auto" w:sz="8" w:space="0"/>
              <w:right w:val="single" w:color="auto" w:sz="8" w:space="0"/>
            </w:tcBorders>
            <w:shd w:val="clear" w:color="auto" w:fill="auto"/>
            <w:vAlign w:val="center"/>
          </w:tcPr>
          <w:p w14:paraId="1AFE9C80">
            <w:pPr>
              <w:widowControl/>
              <w:ind w:firstLine="240" w:firstLineChars="100"/>
              <w:jc w:val="left"/>
              <w:rPr>
                <w:rFonts w:eastAsia="仿宋"/>
                <w:color w:val="000000"/>
                <w:kern w:val="0"/>
                <w:sz w:val="24"/>
              </w:rPr>
            </w:pPr>
            <w:r>
              <w:rPr>
                <w:rFonts w:eastAsia="仿宋"/>
                <w:color w:val="000000"/>
                <w:kern w:val="0"/>
                <w:sz w:val="24"/>
              </w:rPr>
              <w:t>1</w:t>
            </w:r>
          </w:p>
        </w:tc>
        <w:tc>
          <w:tcPr>
            <w:tcW w:w="2176" w:type="dxa"/>
            <w:tcBorders>
              <w:top w:val="nil"/>
              <w:left w:val="single" w:color="auto" w:sz="4" w:space="0"/>
              <w:bottom w:val="single" w:color="auto" w:sz="8" w:space="0"/>
              <w:right w:val="single" w:color="auto" w:sz="8" w:space="0"/>
            </w:tcBorders>
            <w:shd w:val="clear" w:color="auto" w:fill="auto"/>
            <w:vAlign w:val="center"/>
          </w:tcPr>
          <w:p w14:paraId="116AC4CF">
            <w:pPr>
              <w:widowControl/>
              <w:jc w:val="left"/>
              <w:rPr>
                <w:rFonts w:eastAsia="仿宋"/>
                <w:color w:val="000000"/>
                <w:kern w:val="0"/>
                <w:sz w:val="24"/>
              </w:rPr>
            </w:pPr>
            <w:r>
              <w:rPr>
                <w:rFonts w:hint="eastAsia" w:eastAsia="仿宋"/>
                <w:bCs/>
                <w:color w:val="000000"/>
                <w:kern w:val="0"/>
                <w:sz w:val="24"/>
                <w:lang w:val="en-US" w:eastAsia="zh-CN"/>
              </w:rPr>
              <w:t>已完成</w:t>
            </w:r>
          </w:p>
        </w:tc>
      </w:tr>
      <w:tr w14:paraId="0E02EDD3">
        <w:tblPrEx>
          <w:tblCellMar>
            <w:top w:w="0" w:type="dxa"/>
            <w:left w:w="108" w:type="dxa"/>
            <w:bottom w:w="0" w:type="dxa"/>
            <w:right w:w="108" w:type="dxa"/>
          </w:tblCellMar>
        </w:tblPrEx>
        <w:trPr>
          <w:trHeight w:val="600" w:hRule="atLeast"/>
        </w:trPr>
        <w:tc>
          <w:tcPr>
            <w:tcW w:w="1153" w:type="dxa"/>
            <w:vMerge w:val="continue"/>
            <w:tcBorders>
              <w:top w:val="nil"/>
              <w:left w:val="single" w:color="auto" w:sz="8" w:space="0"/>
              <w:bottom w:val="single" w:color="auto" w:sz="8" w:space="0"/>
              <w:right w:val="single" w:color="auto" w:sz="8" w:space="0"/>
            </w:tcBorders>
            <w:vAlign w:val="center"/>
          </w:tcPr>
          <w:p w14:paraId="3BF98A9D">
            <w:pPr>
              <w:widowControl/>
              <w:jc w:val="left"/>
              <w:rPr>
                <w:rFonts w:eastAsia="仿宋"/>
                <w:color w:val="000000"/>
                <w:kern w:val="0"/>
                <w:sz w:val="24"/>
              </w:rPr>
            </w:pPr>
          </w:p>
        </w:tc>
        <w:tc>
          <w:tcPr>
            <w:tcW w:w="1267" w:type="dxa"/>
            <w:vMerge w:val="continue"/>
            <w:tcBorders>
              <w:top w:val="nil"/>
              <w:left w:val="single" w:color="auto" w:sz="8" w:space="0"/>
              <w:bottom w:val="single" w:color="auto" w:sz="8" w:space="0"/>
              <w:right w:val="single" w:color="auto" w:sz="8" w:space="0"/>
            </w:tcBorders>
            <w:vAlign w:val="center"/>
          </w:tcPr>
          <w:p w14:paraId="4B60372F">
            <w:pPr>
              <w:widowControl/>
              <w:jc w:val="left"/>
              <w:rPr>
                <w:rFonts w:eastAsia="仿宋"/>
                <w:color w:val="000000"/>
                <w:kern w:val="0"/>
                <w:sz w:val="24"/>
              </w:rPr>
            </w:pPr>
          </w:p>
        </w:tc>
        <w:tc>
          <w:tcPr>
            <w:tcW w:w="3760" w:type="dxa"/>
            <w:tcBorders>
              <w:top w:val="nil"/>
              <w:left w:val="nil"/>
              <w:bottom w:val="single" w:color="auto" w:sz="8" w:space="0"/>
              <w:right w:val="single" w:color="auto" w:sz="8" w:space="0"/>
            </w:tcBorders>
            <w:shd w:val="clear" w:color="auto" w:fill="auto"/>
            <w:vAlign w:val="center"/>
          </w:tcPr>
          <w:p w14:paraId="3415F076">
            <w:pPr>
              <w:widowControl/>
              <w:jc w:val="left"/>
              <w:rPr>
                <w:rFonts w:eastAsia="仿宋"/>
                <w:color w:val="000000"/>
                <w:kern w:val="0"/>
                <w:sz w:val="24"/>
              </w:rPr>
            </w:pPr>
            <w:r>
              <w:rPr>
                <w:rFonts w:eastAsia="仿宋"/>
                <w:color w:val="000000"/>
                <w:kern w:val="0"/>
                <w:sz w:val="24"/>
              </w:rPr>
              <w:t>B73绩效信息公开（2分）</w:t>
            </w:r>
          </w:p>
        </w:tc>
        <w:tc>
          <w:tcPr>
            <w:tcW w:w="2939" w:type="dxa"/>
            <w:tcBorders>
              <w:top w:val="nil"/>
              <w:left w:val="nil"/>
              <w:bottom w:val="single" w:color="auto" w:sz="8" w:space="0"/>
              <w:right w:val="single" w:color="auto" w:sz="8" w:space="0"/>
            </w:tcBorders>
            <w:shd w:val="clear" w:color="auto" w:fill="auto"/>
            <w:vAlign w:val="center"/>
          </w:tcPr>
          <w:p w14:paraId="466ABF0D">
            <w:pPr>
              <w:widowControl/>
              <w:jc w:val="left"/>
              <w:rPr>
                <w:rFonts w:eastAsia="仿宋"/>
                <w:color w:val="000000"/>
                <w:kern w:val="0"/>
                <w:sz w:val="24"/>
              </w:rPr>
            </w:pPr>
            <w:r>
              <w:rPr>
                <w:rFonts w:eastAsia="仿宋"/>
                <w:color w:val="000000"/>
                <w:kern w:val="0"/>
                <w:sz w:val="24"/>
              </w:rPr>
              <w:t>绩效信息是否按照规定的内容和时限在“双平台”进行公开</w:t>
            </w:r>
          </w:p>
        </w:tc>
        <w:tc>
          <w:tcPr>
            <w:tcW w:w="2069" w:type="dxa"/>
            <w:tcBorders>
              <w:top w:val="nil"/>
              <w:left w:val="nil"/>
              <w:bottom w:val="single" w:color="auto" w:sz="8" w:space="0"/>
              <w:right w:val="single" w:color="auto" w:sz="4" w:space="0"/>
            </w:tcBorders>
            <w:vAlign w:val="center"/>
          </w:tcPr>
          <w:p w14:paraId="5073887F">
            <w:pPr>
              <w:widowControl/>
              <w:jc w:val="left"/>
              <w:rPr>
                <w:rFonts w:eastAsia="仿宋"/>
                <w:color w:val="000000"/>
                <w:kern w:val="0"/>
                <w:sz w:val="24"/>
              </w:rPr>
            </w:pPr>
            <w:r>
              <w:rPr>
                <w:rFonts w:eastAsia="仿宋"/>
                <w:color w:val="000000"/>
                <w:kern w:val="0"/>
                <w:sz w:val="24"/>
              </w:rPr>
              <w:t>积极配合主管部门完成相关数据的提供</w:t>
            </w:r>
          </w:p>
        </w:tc>
        <w:tc>
          <w:tcPr>
            <w:tcW w:w="799" w:type="dxa"/>
            <w:tcBorders>
              <w:top w:val="nil"/>
              <w:left w:val="single" w:color="auto" w:sz="4" w:space="0"/>
              <w:bottom w:val="single" w:color="auto" w:sz="8" w:space="0"/>
              <w:right w:val="single" w:color="auto" w:sz="8" w:space="0"/>
            </w:tcBorders>
            <w:shd w:val="clear" w:color="auto" w:fill="auto"/>
            <w:vAlign w:val="center"/>
          </w:tcPr>
          <w:p w14:paraId="1BA02279">
            <w:pPr>
              <w:widowControl/>
              <w:ind w:firstLine="240" w:firstLineChars="100"/>
              <w:jc w:val="left"/>
              <w:rPr>
                <w:rFonts w:eastAsia="仿宋"/>
                <w:color w:val="000000"/>
                <w:kern w:val="0"/>
                <w:sz w:val="24"/>
              </w:rPr>
            </w:pPr>
            <w:r>
              <w:rPr>
                <w:rFonts w:eastAsia="仿宋"/>
                <w:color w:val="000000"/>
                <w:kern w:val="0"/>
                <w:sz w:val="24"/>
              </w:rPr>
              <w:t>2</w:t>
            </w:r>
          </w:p>
        </w:tc>
        <w:tc>
          <w:tcPr>
            <w:tcW w:w="2176" w:type="dxa"/>
            <w:tcBorders>
              <w:top w:val="nil"/>
              <w:left w:val="single" w:color="auto" w:sz="4" w:space="0"/>
              <w:bottom w:val="single" w:color="auto" w:sz="8" w:space="0"/>
              <w:right w:val="single" w:color="auto" w:sz="8" w:space="0"/>
            </w:tcBorders>
            <w:shd w:val="clear" w:color="auto" w:fill="auto"/>
            <w:vAlign w:val="center"/>
          </w:tcPr>
          <w:p w14:paraId="1EA0126F">
            <w:pPr>
              <w:widowControl/>
              <w:jc w:val="left"/>
              <w:rPr>
                <w:rFonts w:eastAsia="仿宋"/>
                <w:color w:val="000000"/>
                <w:kern w:val="0"/>
                <w:sz w:val="24"/>
              </w:rPr>
            </w:pPr>
            <w:r>
              <w:rPr>
                <w:rFonts w:hint="eastAsia" w:eastAsia="仿宋"/>
                <w:bCs/>
                <w:color w:val="000000"/>
                <w:kern w:val="0"/>
                <w:sz w:val="24"/>
                <w:lang w:val="en-US" w:eastAsia="zh-CN"/>
              </w:rPr>
              <w:t>已完成</w:t>
            </w:r>
          </w:p>
        </w:tc>
      </w:tr>
      <w:tr w14:paraId="7E60677F">
        <w:tblPrEx>
          <w:tblCellMar>
            <w:top w:w="0" w:type="dxa"/>
            <w:left w:w="108" w:type="dxa"/>
            <w:bottom w:w="0" w:type="dxa"/>
            <w:right w:w="108" w:type="dxa"/>
          </w:tblCellMar>
        </w:tblPrEx>
        <w:trPr>
          <w:trHeight w:val="600" w:hRule="atLeast"/>
        </w:trPr>
        <w:tc>
          <w:tcPr>
            <w:tcW w:w="1153" w:type="dxa"/>
            <w:vMerge w:val="restart"/>
            <w:tcBorders>
              <w:top w:val="nil"/>
              <w:left w:val="single" w:color="auto" w:sz="8" w:space="0"/>
              <w:bottom w:val="single" w:color="auto" w:sz="8" w:space="0"/>
              <w:right w:val="single" w:color="auto" w:sz="8" w:space="0"/>
            </w:tcBorders>
            <w:shd w:val="clear" w:color="auto" w:fill="auto"/>
            <w:vAlign w:val="center"/>
          </w:tcPr>
          <w:p w14:paraId="737548A9">
            <w:pPr>
              <w:widowControl/>
              <w:jc w:val="left"/>
              <w:rPr>
                <w:rFonts w:eastAsia="仿宋"/>
                <w:color w:val="000000"/>
                <w:kern w:val="0"/>
                <w:sz w:val="24"/>
              </w:rPr>
            </w:pPr>
            <w:r>
              <w:rPr>
                <w:rFonts w:eastAsia="仿宋"/>
                <w:color w:val="000000"/>
                <w:kern w:val="0"/>
                <w:sz w:val="24"/>
              </w:rPr>
              <w:t>C单位履职(可选方式1：重点工作完成情况)（30分）</w:t>
            </w:r>
          </w:p>
        </w:tc>
        <w:tc>
          <w:tcPr>
            <w:tcW w:w="1267" w:type="dxa"/>
            <w:tcBorders>
              <w:top w:val="nil"/>
              <w:left w:val="nil"/>
              <w:bottom w:val="single" w:color="auto" w:sz="8" w:space="0"/>
              <w:right w:val="single" w:color="auto" w:sz="8" w:space="0"/>
            </w:tcBorders>
            <w:shd w:val="clear" w:color="auto" w:fill="auto"/>
            <w:vAlign w:val="center"/>
          </w:tcPr>
          <w:p w14:paraId="1565677C">
            <w:pPr>
              <w:widowControl/>
              <w:jc w:val="left"/>
              <w:rPr>
                <w:rFonts w:eastAsia="仿宋"/>
                <w:color w:val="000000"/>
                <w:kern w:val="0"/>
                <w:sz w:val="24"/>
              </w:rPr>
            </w:pPr>
            <w:r>
              <w:rPr>
                <w:rFonts w:eastAsia="仿宋"/>
                <w:color w:val="000000"/>
                <w:kern w:val="0"/>
                <w:sz w:val="24"/>
              </w:rPr>
              <w:t>C1重点工作数量完成率（10分）</w:t>
            </w:r>
          </w:p>
        </w:tc>
        <w:tc>
          <w:tcPr>
            <w:tcW w:w="3760" w:type="dxa"/>
            <w:tcBorders>
              <w:top w:val="nil"/>
              <w:left w:val="nil"/>
              <w:bottom w:val="single" w:color="auto" w:sz="8" w:space="0"/>
              <w:right w:val="single" w:color="auto" w:sz="8" w:space="0"/>
            </w:tcBorders>
            <w:shd w:val="clear" w:color="auto" w:fill="auto"/>
            <w:vAlign w:val="center"/>
          </w:tcPr>
          <w:p w14:paraId="6C6755CA">
            <w:pPr>
              <w:widowControl/>
              <w:jc w:val="left"/>
              <w:rPr>
                <w:rFonts w:eastAsia="仿宋"/>
                <w:color w:val="000000"/>
                <w:kern w:val="0"/>
                <w:sz w:val="24"/>
              </w:rPr>
            </w:pPr>
            <w:r>
              <w:rPr>
                <w:rFonts w:eastAsia="仿宋"/>
                <w:color w:val="000000"/>
                <w:kern w:val="0"/>
                <w:sz w:val="24"/>
              </w:rPr>
              <w:t>不设三级指标</w:t>
            </w:r>
          </w:p>
        </w:tc>
        <w:tc>
          <w:tcPr>
            <w:tcW w:w="2939" w:type="dxa"/>
            <w:tcBorders>
              <w:top w:val="nil"/>
              <w:left w:val="nil"/>
              <w:bottom w:val="single" w:color="auto" w:sz="8" w:space="0"/>
              <w:right w:val="single" w:color="auto" w:sz="8" w:space="0"/>
            </w:tcBorders>
            <w:shd w:val="clear" w:color="auto" w:fill="auto"/>
            <w:vAlign w:val="center"/>
          </w:tcPr>
          <w:p w14:paraId="4D770AFC">
            <w:pPr>
              <w:widowControl/>
              <w:jc w:val="left"/>
              <w:rPr>
                <w:rFonts w:eastAsia="仿宋"/>
                <w:color w:val="000000"/>
                <w:kern w:val="0"/>
                <w:sz w:val="24"/>
              </w:rPr>
            </w:pPr>
            <w:r>
              <w:rPr>
                <w:rFonts w:eastAsia="仿宋"/>
                <w:color w:val="000000"/>
                <w:kern w:val="0"/>
                <w:sz w:val="24"/>
              </w:rPr>
              <w:t>与年初计划相比较</w:t>
            </w:r>
          </w:p>
        </w:tc>
        <w:tc>
          <w:tcPr>
            <w:tcW w:w="2069" w:type="dxa"/>
            <w:tcBorders>
              <w:top w:val="nil"/>
              <w:left w:val="nil"/>
              <w:bottom w:val="single" w:color="auto" w:sz="8" w:space="0"/>
              <w:right w:val="single" w:color="auto" w:sz="4" w:space="0"/>
            </w:tcBorders>
            <w:vAlign w:val="center"/>
          </w:tcPr>
          <w:p w14:paraId="60ED14E5">
            <w:pPr>
              <w:widowControl/>
              <w:jc w:val="left"/>
              <w:rPr>
                <w:rFonts w:eastAsia="仿宋"/>
                <w:color w:val="000000"/>
                <w:kern w:val="0"/>
                <w:sz w:val="24"/>
              </w:rPr>
            </w:pPr>
            <w:r>
              <w:rPr>
                <w:rFonts w:eastAsia="仿宋"/>
                <w:color w:val="000000"/>
                <w:kern w:val="0"/>
                <w:sz w:val="24"/>
              </w:rPr>
              <w:t>检查数量完成情况</w:t>
            </w:r>
          </w:p>
        </w:tc>
        <w:tc>
          <w:tcPr>
            <w:tcW w:w="799" w:type="dxa"/>
            <w:tcBorders>
              <w:top w:val="nil"/>
              <w:left w:val="single" w:color="auto" w:sz="4" w:space="0"/>
              <w:bottom w:val="single" w:color="auto" w:sz="8" w:space="0"/>
              <w:right w:val="single" w:color="auto" w:sz="8" w:space="0"/>
            </w:tcBorders>
            <w:shd w:val="clear" w:color="auto" w:fill="auto"/>
            <w:vAlign w:val="center"/>
          </w:tcPr>
          <w:p w14:paraId="3FBD3D5F">
            <w:pPr>
              <w:widowControl/>
              <w:jc w:val="left"/>
              <w:rPr>
                <w:rFonts w:eastAsia="仿宋"/>
                <w:color w:val="000000"/>
                <w:kern w:val="0"/>
                <w:sz w:val="24"/>
              </w:rPr>
            </w:pPr>
            <w:r>
              <w:rPr>
                <w:rFonts w:eastAsia="仿宋"/>
                <w:color w:val="000000"/>
                <w:kern w:val="0"/>
                <w:sz w:val="24"/>
              </w:rPr>
              <w:t>　10</w:t>
            </w:r>
          </w:p>
        </w:tc>
        <w:tc>
          <w:tcPr>
            <w:tcW w:w="2176" w:type="dxa"/>
            <w:tcBorders>
              <w:top w:val="nil"/>
              <w:left w:val="single" w:color="auto" w:sz="4" w:space="0"/>
              <w:bottom w:val="single" w:color="auto" w:sz="8" w:space="0"/>
              <w:right w:val="single" w:color="auto" w:sz="8" w:space="0"/>
            </w:tcBorders>
            <w:shd w:val="clear" w:color="auto" w:fill="auto"/>
            <w:vAlign w:val="center"/>
          </w:tcPr>
          <w:p w14:paraId="0678D5C0">
            <w:pPr>
              <w:widowControl/>
              <w:jc w:val="left"/>
              <w:rPr>
                <w:rFonts w:eastAsia="仿宋"/>
                <w:color w:val="000000"/>
                <w:kern w:val="0"/>
                <w:sz w:val="24"/>
              </w:rPr>
            </w:pPr>
            <w:r>
              <w:rPr>
                <w:rFonts w:hint="eastAsia" w:eastAsia="仿宋"/>
                <w:bCs/>
                <w:color w:val="000000"/>
                <w:kern w:val="0"/>
                <w:sz w:val="24"/>
                <w:lang w:val="en-US" w:eastAsia="zh-CN"/>
              </w:rPr>
              <w:t>已完成</w:t>
            </w:r>
          </w:p>
        </w:tc>
      </w:tr>
      <w:tr w14:paraId="6C905EAF">
        <w:tblPrEx>
          <w:tblCellMar>
            <w:top w:w="0" w:type="dxa"/>
            <w:left w:w="108" w:type="dxa"/>
            <w:bottom w:w="0" w:type="dxa"/>
            <w:right w:w="108" w:type="dxa"/>
          </w:tblCellMar>
        </w:tblPrEx>
        <w:trPr>
          <w:trHeight w:val="600" w:hRule="atLeast"/>
        </w:trPr>
        <w:tc>
          <w:tcPr>
            <w:tcW w:w="1153" w:type="dxa"/>
            <w:vMerge w:val="continue"/>
            <w:tcBorders>
              <w:top w:val="nil"/>
              <w:left w:val="single" w:color="auto" w:sz="8" w:space="0"/>
              <w:bottom w:val="single" w:color="auto" w:sz="8" w:space="0"/>
              <w:right w:val="single" w:color="auto" w:sz="8" w:space="0"/>
            </w:tcBorders>
            <w:vAlign w:val="center"/>
          </w:tcPr>
          <w:p w14:paraId="6B4F5401">
            <w:pPr>
              <w:widowControl/>
              <w:jc w:val="left"/>
              <w:rPr>
                <w:rFonts w:eastAsia="仿宋"/>
                <w:color w:val="000000"/>
                <w:kern w:val="0"/>
                <w:sz w:val="24"/>
              </w:rPr>
            </w:pPr>
          </w:p>
        </w:tc>
        <w:tc>
          <w:tcPr>
            <w:tcW w:w="1267" w:type="dxa"/>
            <w:tcBorders>
              <w:top w:val="nil"/>
              <w:left w:val="nil"/>
              <w:bottom w:val="single" w:color="auto" w:sz="8" w:space="0"/>
              <w:right w:val="single" w:color="auto" w:sz="8" w:space="0"/>
            </w:tcBorders>
            <w:shd w:val="clear" w:color="auto" w:fill="auto"/>
            <w:vAlign w:val="center"/>
          </w:tcPr>
          <w:p w14:paraId="11563D08">
            <w:pPr>
              <w:widowControl/>
              <w:jc w:val="left"/>
              <w:rPr>
                <w:rFonts w:eastAsia="仿宋"/>
                <w:color w:val="000000"/>
                <w:kern w:val="0"/>
                <w:sz w:val="24"/>
              </w:rPr>
            </w:pPr>
            <w:r>
              <w:rPr>
                <w:rFonts w:eastAsia="仿宋"/>
                <w:color w:val="000000"/>
                <w:kern w:val="0"/>
                <w:sz w:val="24"/>
              </w:rPr>
              <w:t>C2重点工作质量达标率（10分）</w:t>
            </w:r>
          </w:p>
        </w:tc>
        <w:tc>
          <w:tcPr>
            <w:tcW w:w="3760" w:type="dxa"/>
            <w:tcBorders>
              <w:top w:val="nil"/>
              <w:left w:val="nil"/>
              <w:bottom w:val="single" w:color="auto" w:sz="8" w:space="0"/>
              <w:right w:val="single" w:color="auto" w:sz="8" w:space="0"/>
            </w:tcBorders>
            <w:shd w:val="clear" w:color="auto" w:fill="auto"/>
            <w:vAlign w:val="center"/>
          </w:tcPr>
          <w:p w14:paraId="7CF3FB18">
            <w:pPr>
              <w:widowControl/>
              <w:jc w:val="left"/>
              <w:rPr>
                <w:rFonts w:eastAsia="仿宋"/>
                <w:color w:val="000000"/>
                <w:kern w:val="0"/>
                <w:sz w:val="24"/>
              </w:rPr>
            </w:pPr>
            <w:r>
              <w:rPr>
                <w:rFonts w:eastAsia="仿宋"/>
                <w:color w:val="000000"/>
                <w:kern w:val="0"/>
                <w:sz w:val="24"/>
              </w:rPr>
              <w:t>不设三级指标</w:t>
            </w:r>
          </w:p>
        </w:tc>
        <w:tc>
          <w:tcPr>
            <w:tcW w:w="2939" w:type="dxa"/>
            <w:tcBorders>
              <w:top w:val="nil"/>
              <w:left w:val="nil"/>
              <w:bottom w:val="single" w:color="auto" w:sz="8" w:space="0"/>
              <w:right w:val="single" w:color="auto" w:sz="8" w:space="0"/>
            </w:tcBorders>
            <w:shd w:val="clear" w:color="auto" w:fill="auto"/>
            <w:vAlign w:val="center"/>
          </w:tcPr>
          <w:p w14:paraId="5C6697EC">
            <w:pPr>
              <w:widowControl/>
              <w:jc w:val="left"/>
              <w:rPr>
                <w:rFonts w:eastAsia="仿宋"/>
                <w:color w:val="000000"/>
                <w:kern w:val="0"/>
                <w:sz w:val="24"/>
              </w:rPr>
            </w:pPr>
            <w:r>
              <w:rPr>
                <w:rFonts w:eastAsia="仿宋"/>
                <w:color w:val="000000"/>
                <w:kern w:val="0"/>
                <w:sz w:val="24"/>
              </w:rPr>
              <w:t>与年初自定的绩效目标相比较</w:t>
            </w:r>
          </w:p>
        </w:tc>
        <w:tc>
          <w:tcPr>
            <w:tcW w:w="2069" w:type="dxa"/>
            <w:tcBorders>
              <w:top w:val="nil"/>
              <w:left w:val="nil"/>
              <w:bottom w:val="single" w:color="auto" w:sz="8" w:space="0"/>
              <w:right w:val="single" w:color="auto" w:sz="4" w:space="0"/>
            </w:tcBorders>
            <w:vAlign w:val="center"/>
          </w:tcPr>
          <w:p w14:paraId="055B41F1">
            <w:pPr>
              <w:widowControl/>
              <w:jc w:val="left"/>
              <w:rPr>
                <w:rFonts w:eastAsia="仿宋"/>
                <w:color w:val="000000"/>
                <w:kern w:val="0"/>
                <w:sz w:val="24"/>
              </w:rPr>
            </w:pPr>
            <w:r>
              <w:rPr>
                <w:rFonts w:eastAsia="仿宋"/>
                <w:color w:val="000000"/>
                <w:kern w:val="0"/>
                <w:sz w:val="24"/>
              </w:rPr>
              <w:t>检查质量完成情况</w:t>
            </w:r>
          </w:p>
        </w:tc>
        <w:tc>
          <w:tcPr>
            <w:tcW w:w="799" w:type="dxa"/>
            <w:tcBorders>
              <w:top w:val="nil"/>
              <w:left w:val="single" w:color="auto" w:sz="4" w:space="0"/>
              <w:bottom w:val="single" w:color="auto" w:sz="8" w:space="0"/>
              <w:right w:val="single" w:color="auto" w:sz="8" w:space="0"/>
            </w:tcBorders>
            <w:shd w:val="clear" w:color="auto" w:fill="auto"/>
            <w:vAlign w:val="center"/>
          </w:tcPr>
          <w:p w14:paraId="3F8EDCED">
            <w:pPr>
              <w:widowControl/>
              <w:jc w:val="left"/>
              <w:rPr>
                <w:rFonts w:eastAsia="仿宋"/>
                <w:color w:val="000000"/>
                <w:kern w:val="0"/>
                <w:sz w:val="24"/>
              </w:rPr>
            </w:pPr>
            <w:r>
              <w:rPr>
                <w:rFonts w:eastAsia="仿宋"/>
                <w:color w:val="000000"/>
                <w:kern w:val="0"/>
                <w:sz w:val="24"/>
              </w:rPr>
              <w:t>　10</w:t>
            </w:r>
          </w:p>
        </w:tc>
        <w:tc>
          <w:tcPr>
            <w:tcW w:w="2176" w:type="dxa"/>
            <w:tcBorders>
              <w:top w:val="nil"/>
              <w:left w:val="single" w:color="auto" w:sz="4" w:space="0"/>
              <w:bottom w:val="single" w:color="auto" w:sz="8" w:space="0"/>
              <w:right w:val="single" w:color="auto" w:sz="8" w:space="0"/>
            </w:tcBorders>
            <w:shd w:val="clear" w:color="auto" w:fill="auto"/>
            <w:vAlign w:val="center"/>
          </w:tcPr>
          <w:p w14:paraId="32EA8264">
            <w:pPr>
              <w:widowControl/>
              <w:jc w:val="left"/>
              <w:rPr>
                <w:rFonts w:eastAsia="仿宋"/>
                <w:color w:val="000000"/>
                <w:kern w:val="0"/>
                <w:sz w:val="24"/>
              </w:rPr>
            </w:pPr>
            <w:r>
              <w:rPr>
                <w:rFonts w:hint="eastAsia" w:eastAsia="仿宋"/>
                <w:bCs/>
                <w:color w:val="000000"/>
                <w:kern w:val="0"/>
                <w:sz w:val="24"/>
                <w:lang w:val="en-US" w:eastAsia="zh-CN"/>
              </w:rPr>
              <w:t>已完成</w:t>
            </w:r>
          </w:p>
        </w:tc>
      </w:tr>
      <w:tr w14:paraId="069E3ECC">
        <w:tblPrEx>
          <w:tblCellMar>
            <w:top w:w="0" w:type="dxa"/>
            <w:left w:w="108" w:type="dxa"/>
            <w:bottom w:w="0" w:type="dxa"/>
            <w:right w:w="108" w:type="dxa"/>
          </w:tblCellMar>
        </w:tblPrEx>
        <w:trPr>
          <w:trHeight w:val="600" w:hRule="atLeast"/>
        </w:trPr>
        <w:tc>
          <w:tcPr>
            <w:tcW w:w="1153" w:type="dxa"/>
            <w:vMerge w:val="continue"/>
            <w:tcBorders>
              <w:top w:val="nil"/>
              <w:left w:val="single" w:color="auto" w:sz="8" w:space="0"/>
              <w:bottom w:val="single" w:color="auto" w:sz="8" w:space="0"/>
              <w:right w:val="single" w:color="auto" w:sz="8" w:space="0"/>
            </w:tcBorders>
            <w:vAlign w:val="center"/>
          </w:tcPr>
          <w:p w14:paraId="66512337">
            <w:pPr>
              <w:widowControl/>
              <w:jc w:val="left"/>
              <w:rPr>
                <w:rFonts w:eastAsia="仿宋"/>
                <w:color w:val="000000"/>
                <w:kern w:val="0"/>
                <w:sz w:val="24"/>
              </w:rPr>
            </w:pPr>
          </w:p>
        </w:tc>
        <w:tc>
          <w:tcPr>
            <w:tcW w:w="1267" w:type="dxa"/>
            <w:tcBorders>
              <w:top w:val="nil"/>
              <w:left w:val="nil"/>
              <w:bottom w:val="single" w:color="auto" w:sz="8" w:space="0"/>
              <w:right w:val="single" w:color="auto" w:sz="8" w:space="0"/>
            </w:tcBorders>
            <w:shd w:val="clear" w:color="auto" w:fill="auto"/>
            <w:vAlign w:val="center"/>
          </w:tcPr>
          <w:p w14:paraId="4A8F7590">
            <w:pPr>
              <w:widowControl/>
              <w:jc w:val="left"/>
              <w:rPr>
                <w:rFonts w:eastAsia="仿宋"/>
                <w:color w:val="000000"/>
                <w:kern w:val="0"/>
                <w:sz w:val="24"/>
              </w:rPr>
            </w:pPr>
            <w:r>
              <w:rPr>
                <w:rFonts w:eastAsia="仿宋"/>
                <w:color w:val="000000"/>
                <w:kern w:val="0"/>
                <w:sz w:val="24"/>
              </w:rPr>
              <w:t>C3重点工作完成及时率（10分）</w:t>
            </w:r>
          </w:p>
        </w:tc>
        <w:tc>
          <w:tcPr>
            <w:tcW w:w="3760" w:type="dxa"/>
            <w:tcBorders>
              <w:top w:val="nil"/>
              <w:left w:val="nil"/>
              <w:bottom w:val="single" w:color="auto" w:sz="8" w:space="0"/>
              <w:right w:val="single" w:color="auto" w:sz="8" w:space="0"/>
            </w:tcBorders>
            <w:shd w:val="clear" w:color="auto" w:fill="auto"/>
            <w:vAlign w:val="center"/>
          </w:tcPr>
          <w:p w14:paraId="6D9B0F49">
            <w:pPr>
              <w:widowControl/>
              <w:jc w:val="left"/>
              <w:rPr>
                <w:rFonts w:eastAsia="仿宋"/>
                <w:color w:val="000000"/>
                <w:kern w:val="0"/>
                <w:sz w:val="24"/>
              </w:rPr>
            </w:pPr>
            <w:r>
              <w:rPr>
                <w:rFonts w:eastAsia="仿宋"/>
                <w:color w:val="000000"/>
                <w:kern w:val="0"/>
                <w:sz w:val="24"/>
              </w:rPr>
              <w:t>不设三级指标</w:t>
            </w:r>
          </w:p>
        </w:tc>
        <w:tc>
          <w:tcPr>
            <w:tcW w:w="2939" w:type="dxa"/>
            <w:tcBorders>
              <w:top w:val="nil"/>
              <w:left w:val="nil"/>
              <w:bottom w:val="single" w:color="auto" w:sz="8" w:space="0"/>
              <w:right w:val="single" w:color="auto" w:sz="8" w:space="0"/>
            </w:tcBorders>
            <w:shd w:val="clear" w:color="auto" w:fill="auto"/>
            <w:vAlign w:val="center"/>
          </w:tcPr>
          <w:p w14:paraId="7E2A9596">
            <w:pPr>
              <w:widowControl/>
              <w:jc w:val="left"/>
              <w:rPr>
                <w:rFonts w:eastAsia="仿宋"/>
                <w:color w:val="000000"/>
                <w:kern w:val="0"/>
                <w:sz w:val="24"/>
              </w:rPr>
            </w:pPr>
            <w:r>
              <w:rPr>
                <w:rFonts w:eastAsia="仿宋"/>
                <w:color w:val="000000"/>
                <w:kern w:val="0"/>
                <w:sz w:val="24"/>
              </w:rPr>
              <w:t>参照财政部门及主管部门规定的要求</w:t>
            </w:r>
          </w:p>
        </w:tc>
        <w:tc>
          <w:tcPr>
            <w:tcW w:w="2069" w:type="dxa"/>
            <w:tcBorders>
              <w:top w:val="nil"/>
              <w:left w:val="nil"/>
              <w:bottom w:val="single" w:color="auto" w:sz="8" w:space="0"/>
              <w:right w:val="single" w:color="auto" w:sz="4" w:space="0"/>
            </w:tcBorders>
          </w:tcPr>
          <w:p w14:paraId="1AB59DD8">
            <w:pPr>
              <w:widowControl/>
              <w:jc w:val="left"/>
              <w:rPr>
                <w:rFonts w:eastAsia="仿宋"/>
                <w:color w:val="000000"/>
                <w:kern w:val="0"/>
                <w:sz w:val="24"/>
              </w:rPr>
            </w:pPr>
            <w:r>
              <w:rPr>
                <w:rFonts w:eastAsia="仿宋"/>
                <w:color w:val="000000"/>
                <w:kern w:val="0"/>
                <w:sz w:val="24"/>
              </w:rPr>
              <w:t>检查比如资金的使用，审计报告、验收报告等完成情况</w:t>
            </w:r>
          </w:p>
        </w:tc>
        <w:tc>
          <w:tcPr>
            <w:tcW w:w="799" w:type="dxa"/>
            <w:tcBorders>
              <w:top w:val="nil"/>
              <w:left w:val="single" w:color="auto" w:sz="4" w:space="0"/>
              <w:bottom w:val="single" w:color="auto" w:sz="8" w:space="0"/>
              <w:right w:val="single" w:color="auto" w:sz="8" w:space="0"/>
            </w:tcBorders>
            <w:shd w:val="clear" w:color="auto" w:fill="auto"/>
            <w:vAlign w:val="center"/>
          </w:tcPr>
          <w:p w14:paraId="2E0F61F3">
            <w:pPr>
              <w:widowControl/>
              <w:jc w:val="left"/>
              <w:rPr>
                <w:rFonts w:eastAsia="仿宋"/>
                <w:color w:val="000000"/>
                <w:kern w:val="0"/>
                <w:sz w:val="24"/>
              </w:rPr>
            </w:pPr>
            <w:r>
              <w:rPr>
                <w:rFonts w:eastAsia="仿宋"/>
                <w:color w:val="000000"/>
                <w:kern w:val="0"/>
                <w:sz w:val="24"/>
              </w:rPr>
              <w:t>　</w:t>
            </w:r>
            <w:r>
              <w:rPr>
                <w:rFonts w:hint="eastAsia" w:eastAsia="仿宋"/>
                <w:color w:val="000000"/>
                <w:kern w:val="0"/>
                <w:sz w:val="24"/>
              </w:rPr>
              <w:t>10</w:t>
            </w:r>
          </w:p>
        </w:tc>
        <w:tc>
          <w:tcPr>
            <w:tcW w:w="2176" w:type="dxa"/>
            <w:tcBorders>
              <w:top w:val="nil"/>
              <w:left w:val="single" w:color="auto" w:sz="4" w:space="0"/>
              <w:bottom w:val="single" w:color="auto" w:sz="8" w:space="0"/>
              <w:right w:val="single" w:color="auto" w:sz="8" w:space="0"/>
            </w:tcBorders>
            <w:shd w:val="clear" w:color="auto" w:fill="auto"/>
            <w:vAlign w:val="center"/>
          </w:tcPr>
          <w:p w14:paraId="1C14D53D">
            <w:pPr>
              <w:widowControl/>
              <w:jc w:val="left"/>
              <w:rPr>
                <w:rFonts w:eastAsia="仿宋"/>
                <w:color w:val="000000"/>
                <w:kern w:val="0"/>
                <w:sz w:val="24"/>
              </w:rPr>
            </w:pPr>
            <w:r>
              <w:rPr>
                <w:rFonts w:hint="eastAsia" w:eastAsia="仿宋"/>
                <w:bCs/>
                <w:color w:val="000000"/>
                <w:kern w:val="0"/>
                <w:sz w:val="24"/>
                <w:lang w:val="en-US" w:eastAsia="zh-CN"/>
              </w:rPr>
              <w:t>已完成</w:t>
            </w:r>
          </w:p>
        </w:tc>
      </w:tr>
      <w:tr w14:paraId="055B8C7E">
        <w:tblPrEx>
          <w:tblCellMar>
            <w:top w:w="0" w:type="dxa"/>
            <w:left w:w="108" w:type="dxa"/>
            <w:bottom w:w="0" w:type="dxa"/>
            <w:right w:w="108" w:type="dxa"/>
          </w:tblCellMar>
        </w:tblPrEx>
        <w:trPr>
          <w:trHeight w:val="600" w:hRule="atLeast"/>
        </w:trPr>
        <w:tc>
          <w:tcPr>
            <w:tcW w:w="1153" w:type="dxa"/>
            <w:vMerge w:val="restart"/>
            <w:tcBorders>
              <w:top w:val="nil"/>
              <w:left w:val="single" w:color="auto" w:sz="8" w:space="0"/>
              <w:right w:val="single" w:color="auto" w:sz="8" w:space="0"/>
            </w:tcBorders>
            <w:shd w:val="clear" w:color="auto" w:fill="auto"/>
            <w:vAlign w:val="center"/>
          </w:tcPr>
          <w:p w14:paraId="3485E5FB">
            <w:pPr>
              <w:widowControl/>
              <w:jc w:val="left"/>
              <w:rPr>
                <w:rFonts w:eastAsia="仿宋"/>
                <w:color w:val="000000"/>
                <w:kern w:val="0"/>
                <w:sz w:val="24"/>
              </w:rPr>
            </w:pPr>
            <w:r>
              <w:rPr>
                <w:rFonts w:eastAsia="仿宋"/>
                <w:color w:val="000000"/>
                <w:kern w:val="0"/>
                <w:sz w:val="24"/>
              </w:rPr>
              <w:t>D履职绩效（30分）</w:t>
            </w:r>
          </w:p>
        </w:tc>
        <w:tc>
          <w:tcPr>
            <w:tcW w:w="1267" w:type="dxa"/>
            <w:tcBorders>
              <w:top w:val="nil"/>
              <w:left w:val="nil"/>
              <w:bottom w:val="single" w:color="auto" w:sz="8" w:space="0"/>
              <w:right w:val="single" w:color="auto" w:sz="8" w:space="0"/>
            </w:tcBorders>
            <w:shd w:val="clear" w:color="auto" w:fill="auto"/>
            <w:vAlign w:val="center"/>
          </w:tcPr>
          <w:p w14:paraId="3250B90D">
            <w:pPr>
              <w:widowControl/>
              <w:jc w:val="left"/>
              <w:rPr>
                <w:rFonts w:eastAsia="仿宋"/>
                <w:color w:val="000000"/>
                <w:kern w:val="0"/>
                <w:sz w:val="24"/>
              </w:rPr>
            </w:pPr>
            <w:r>
              <w:rPr>
                <w:rFonts w:eastAsia="仿宋"/>
                <w:color w:val="000000"/>
                <w:kern w:val="0"/>
                <w:sz w:val="24"/>
              </w:rPr>
              <w:t>D1经济效益（8分）</w:t>
            </w:r>
          </w:p>
        </w:tc>
        <w:tc>
          <w:tcPr>
            <w:tcW w:w="3760" w:type="dxa"/>
            <w:tcBorders>
              <w:top w:val="nil"/>
              <w:left w:val="nil"/>
              <w:bottom w:val="single" w:color="auto" w:sz="8" w:space="0"/>
              <w:right w:val="single" w:color="auto" w:sz="8" w:space="0"/>
            </w:tcBorders>
            <w:shd w:val="clear" w:color="auto" w:fill="auto"/>
            <w:vAlign w:val="center"/>
          </w:tcPr>
          <w:p w14:paraId="786AB009">
            <w:pPr>
              <w:widowControl/>
              <w:jc w:val="left"/>
              <w:rPr>
                <w:rFonts w:eastAsia="仿宋"/>
                <w:color w:val="000000"/>
                <w:kern w:val="0"/>
                <w:sz w:val="24"/>
              </w:rPr>
            </w:pPr>
            <w:r>
              <w:rPr>
                <w:rFonts w:eastAsia="仿宋"/>
                <w:color w:val="000000"/>
                <w:kern w:val="0"/>
                <w:sz w:val="24"/>
              </w:rPr>
              <w:t>不设三级指标</w:t>
            </w:r>
          </w:p>
        </w:tc>
        <w:tc>
          <w:tcPr>
            <w:tcW w:w="2939" w:type="dxa"/>
            <w:tcBorders>
              <w:top w:val="nil"/>
              <w:left w:val="nil"/>
              <w:bottom w:val="single" w:color="auto" w:sz="8" w:space="0"/>
              <w:right w:val="single" w:color="auto" w:sz="8" w:space="0"/>
            </w:tcBorders>
            <w:shd w:val="clear" w:color="auto" w:fill="auto"/>
            <w:vAlign w:val="center"/>
          </w:tcPr>
          <w:p w14:paraId="5C508B83">
            <w:pPr>
              <w:widowControl/>
              <w:jc w:val="left"/>
              <w:rPr>
                <w:rFonts w:eastAsia="仿宋"/>
                <w:color w:val="000000"/>
                <w:kern w:val="0"/>
                <w:sz w:val="24"/>
              </w:rPr>
            </w:pPr>
            <w:r>
              <w:rPr>
                <w:rFonts w:eastAsia="仿宋"/>
                <w:color w:val="000000"/>
                <w:kern w:val="0"/>
                <w:sz w:val="24"/>
              </w:rPr>
              <w:t>经济活动中取得的收益性成果</w:t>
            </w:r>
          </w:p>
        </w:tc>
        <w:tc>
          <w:tcPr>
            <w:tcW w:w="2069" w:type="dxa"/>
            <w:tcBorders>
              <w:top w:val="nil"/>
              <w:left w:val="nil"/>
              <w:bottom w:val="single" w:color="auto" w:sz="8" w:space="0"/>
              <w:right w:val="single" w:color="auto" w:sz="4" w:space="0"/>
            </w:tcBorders>
          </w:tcPr>
          <w:p w14:paraId="0791838E">
            <w:pPr>
              <w:widowControl/>
              <w:jc w:val="left"/>
              <w:rPr>
                <w:rFonts w:eastAsia="仿宋"/>
                <w:color w:val="000000"/>
                <w:kern w:val="0"/>
                <w:sz w:val="24"/>
              </w:rPr>
            </w:pPr>
            <w:r>
              <w:rPr>
                <w:rFonts w:eastAsia="仿宋"/>
                <w:color w:val="000000"/>
                <w:kern w:val="0"/>
                <w:sz w:val="24"/>
              </w:rPr>
              <w:t>计算经济性成果</w:t>
            </w:r>
          </w:p>
        </w:tc>
        <w:tc>
          <w:tcPr>
            <w:tcW w:w="799" w:type="dxa"/>
            <w:tcBorders>
              <w:top w:val="nil"/>
              <w:left w:val="single" w:color="auto" w:sz="4" w:space="0"/>
              <w:bottom w:val="single" w:color="auto" w:sz="8" w:space="0"/>
              <w:right w:val="single" w:color="auto" w:sz="8" w:space="0"/>
            </w:tcBorders>
            <w:shd w:val="clear" w:color="auto" w:fill="auto"/>
            <w:vAlign w:val="center"/>
          </w:tcPr>
          <w:p w14:paraId="249D01F2">
            <w:pPr>
              <w:widowControl/>
              <w:jc w:val="left"/>
              <w:rPr>
                <w:rFonts w:eastAsia="仿宋"/>
                <w:color w:val="000000"/>
                <w:kern w:val="0"/>
                <w:sz w:val="24"/>
              </w:rPr>
            </w:pPr>
            <w:r>
              <w:rPr>
                <w:rFonts w:eastAsia="仿宋"/>
                <w:color w:val="000000"/>
                <w:kern w:val="0"/>
                <w:sz w:val="24"/>
              </w:rPr>
              <w:t>　8</w:t>
            </w:r>
          </w:p>
        </w:tc>
        <w:tc>
          <w:tcPr>
            <w:tcW w:w="2176" w:type="dxa"/>
            <w:tcBorders>
              <w:top w:val="nil"/>
              <w:left w:val="single" w:color="auto" w:sz="4" w:space="0"/>
              <w:bottom w:val="single" w:color="auto" w:sz="8" w:space="0"/>
              <w:right w:val="single" w:color="auto" w:sz="8" w:space="0"/>
            </w:tcBorders>
            <w:shd w:val="clear" w:color="auto" w:fill="auto"/>
            <w:vAlign w:val="center"/>
          </w:tcPr>
          <w:p w14:paraId="08B6EBA6">
            <w:pPr>
              <w:widowControl/>
              <w:jc w:val="left"/>
              <w:rPr>
                <w:rFonts w:eastAsia="仿宋"/>
                <w:color w:val="000000"/>
                <w:kern w:val="0"/>
                <w:sz w:val="24"/>
              </w:rPr>
            </w:pPr>
            <w:r>
              <w:rPr>
                <w:rFonts w:hint="eastAsia" w:eastAsia="仿宋"/>
                <w:bCs/>
                <w:color w:val="000000"/>
                <w:kern w:val="0"/>
                <w:sz w:val="24"/>
                <w:lang w:val="en-US" w:eastAsia="zh-CN"/>
              </w:rPr>
              <w:t>已完成</w:t>
            </w:r>
          </w:p>
        </w:tc>
      </w:tr>
      <w:tr w14:paraId="3A9429E6">
        <w:tblPrEx>
          <w:tblCellMar>
            <w:top w:w="0" w:type="dxa"/>
            <w:left w:w="108" w:type="dxa"/>
            <w:bottom w:w="0" w:type="dxa"/>
            <w:right w:w="108" w:type="dxa"/>
          </w:tblCellMar>
        </w:tblPrEx>
        <w:trPr>
          <w:trHeight w:val="600" w:hRule="atLeast"/>
        </w:trPr>
        <w:tc>
          <w:tcPr>
            <w:tcW w:w="1153" w:type="dxa"/>
            <w:vMerge w:val="continue"/>
            <w:tcBorders>
              <w:left w:val="single" w:color="auto" w:sz="8" w:space="0"/>
              <w:right w:val="single" w:color="auto" w:sz="8" w:space="0"/>
            </w:tcBorders>
            <w:vAlign w:val="center"/>
          </w:tcPr>
          <w:p w14:paraId="21F95060">
            <w:pPr>
              <w:widowControl/>
              <w:jc w:val="left"/>
              <w:rPr>
                <w:rFonts w:eastAsia="仿宋"/>
                <w:color w:val="000000"/>
                <w:kern w:val="0"/>
                <w:sz w:val="24"/>
              </w:rPr>
            </w:pPr>
          </w:p>
        </w:tc>
        <w:tc>
          <w:tcPr>
            <w:tcW w:w="1267" w:type="dxa"/>
            <w:tcBorders>
              <w:top w:val="nil"/>
              <w:left w:val="nil"/>
              <w:bottom w:val="single" w:color="auto" w:sz="8" w:space="0"/>
              <w:right w:val="single" w:color="auto" w:sz="8" w:space="0"/>
            </w:tcBorders>
            <w:shd w:val="clear" w:color="auto" w:fill="auto"/>
            <w:vAlign w:val="center"/>
          </w:tcPr>
          <w:p w14:paraId="7746E431">
            <w:pPr>
              <w:widowControl/>
              <w:jc w:val="left"/>
              <w:rPr>
                <w:rFonts w:eastAsia="仿宋"/>
                <w:color w:val="000000"/>
                <w:kern w:val="0"/>
                <w:sz w:val="24"/>
              </w:rPr>
            </w:pPr>
            <w:r>
              <w:rPr>
                <w:rFonts w:eastAsia="仿宋"/>
                <w:color w:val="000000"/>
                <w:kern w:val="0"/>
                <w:sz w:val="24"/>
              </w:rPr>
              <w:t>D2社会效益（8分）</w:t>
            </w:r>
          </w:p>
        </w:tc>
        <w:tc>
          <w:tcPr>
            <w:tcW w:w="3760" w:type="dxa"/>
            <w:tcBorders>
              <w:top w:val="nil"/>
              <w:left w:val="nil"/>
              <w:bottom w:val="single" w:color="auto" w:sz="8" w:space="0"/>
              <w:right w:val="single" w:color="auto" w:sz="8" w:space="0"/>
            </w:tcBorders>
            <w:shd w:val="clear" w:color="auto" w:fill="auto"/>
            <w:vAlign w:val="center"/>
          </w:tcPr>
          <w:p w14:paraId="311A949C">
            <w:pPr>
              <w:widowControl/>
              <w:jc w:val="left"/>
              <w:rPr>
                <w:rFonts w:eastAsia="仿宋"/>
                <w:color w:val="000000"/>
                <w:kern w:val="0"/>
                <w:sz w:val="24"/>
              </w:rPr>
            </w:pPr>
            <w:r>
              <w:rPr>
                <w:rFonts w:eastAsia="仿宋"/>
                <w:color w:val="000000"/>
                <w:kern w:val="0"/>
                <w:sz w:val="24"/>
              </w:rPr>
              <w:t>不设三级指标</w:t>
            </w:r>
          </w:p>
        </w:tc>
        <w:tc>
          <w:tcPr>
            <w:tcW w:w="2939" w:type="dxa"/>
            <w:tcBorders>
              <w:top w:val="nil"/>
              <w:left w:val="nil"/>
              <w:bottom w:val="single" w:color="auto" w:sz="8" w:space="0"/>
              <w:right w:val="single" w:color="auto" w:sz="8" w:space="0"/>
            </w:tcBorders>
            <w:shd w:val="clear" w:color="auto" w:fill="auto"/>
            <w:vAlign w:val="center"/>
          </w:tcPr>
          <w:p w14:paraId="0D10CAB9">
            <w:pPr>
              <w:widowControl/>
              <w:jc w:val="left"/>
              <w:rPr>
                <w:rFonts w:eastAsia="仿宋"/>
                <w:color w:val="000000"/>
                <w:kern w:val="0"/>
                <w:sz w:val="24"/>
              </w:rPr>
            </w:pPr>
            <w:r>
              <w:rPr>
                <w:rFonts w:eastAsia="仿宋"/>
                <w:color w:val="000000"/>
                <w:kern w:val="0"/>
                <w:sz w:val="24"/>
              </w:rPr>
              <w:t xml:space="preserve">经济效益之外的对社会有益的效果 </w:t>
            </w:r>
          </w:p>
        </w:tc>
        <w:tc>
          <w:tcPr>
            <w:tcW w:w="2069" w:type="dxa"/>
            <w:tcBorders>
              <w:top w:val="nil"/>
              <w:left w:val="nil"/>
              <w:bottom w:val="single" w:color="auto" w:sz="8" w:space="0"/>
              <w:right w:val="single" w:color="auto" w:sz="4" w:space="0"/>
            </w:tcBorders>
          </w:tcPr>
          <w:p w14:paraId="704093EE">
            <w:pPr>
              <w:widowControl/>
              <w:jc w:val="left"/>
              <w:rPr>
                <w:rFonts w:eastAsia="仿宋"/>
                <w:color w:val="000000"/>
                <w:kern w:val="0"/>
                <w:sz w:val="24"/>
              </w:rPr>
            </w:pPr>
            <w:r>
              <w:rPr>
                <w:rFonts w:eastAsia="仿宋"/>
                <w:color w:val="000000"/>
                <w:kern w:val="0"/>
                <w:sz w:val="24"/>
              </w:rPr>
              <w:t xml:space="preserve">评价社会性有益效果 </w:t>
            </w:r>
          </w:p>
        </w:tc>
        <w:tc>
          <w:tcPr>
            <w:tcW w:w="799" w:type="dxa"/>
            <w:tcBorders>
              <w:top w:val="nil"/>
              <w:left w:val="single" w:color="auto" w:sz="4" w:space="0"/>
              <w:bottom w:val="single" w:color="auto" w:sz="8" w:space="0"/>
              <w:right w:val="single" w:color="auto" w:sz="8" w:space="0"/>
            </w:tcBorders>
            <w:shd w:val="clear" w:color="auto" w:fill="auto"/>
            <w:vAlign w:val="center"/>
          </w:tcPr>
          <w:p w14:paraId="2364FBB9">
            <w:pPr>
              <w:widowControl/>
              <w:jc w:val="left"/>
              <w:rPr>
                <w:rFonts w:eastAsia="仿宋"/>
                <w:color w:val="000000"/>
                <w:kern w:val="0"/>
                <w:sz w:val="24"/>
              </w:rPr>
            </w:pPr>
            <w:r>
              <w:rPr>
                <w:rFonts w:eastAsia="仿宋"/>
                <w:color w:val="000000"/>
                <w:kern w:val="0"/>
                <w:sz w:val="24"/>
              </w:rPr>
              <w:t>　8</w:t>
            </w:r>
          </w:p>
        </w:tc>
        <w:tc>
          <w:tcPr>
            <w:tcW w:w="2176" w:type="dxa"/>
            <w:tcBorders>
              <w:top w:val="nil"/>
              <w:left w:val="single" w:color="auto" w:sz="4" w:space="0"/>
              <w:bottom w:val="single" w:color="auto" w:sz="8" w:space="0"/>
              <w:right w:val="single" w:color="auto" w:sz="8" w:space="0"/>
            </w:tcBorders>
            <w:shd w:val="clear" w:color="auto" w:fill="auto"/>
            <w:vAlign w:val="center"/>
          </w:tcPr>
          <w:p w14:paraId="7BA53BD3">
            <w:pPr>
              <w:widowControl/>
              <w:jc w:val="left"/>
              <w:rPr>
                <w:rFonts w:eastAsia="仿宋"/>
                <w:color w:val="000000"/>
                <w:kern w:val="0"/>
                <w:sz w:val="24"/>
              </w:rPr>
            </w:pPr>
            <w:r>
              <w:rPr>
                <w:rFonts w:hint="eastAsia" w:eastAsia="仿宋"/>
                <w:bCs/>
                <w:color w:val="000000"/>
                <w:kern w:val="0"/>
                <w:sz w:val="24"/>
                <w:lang w:val="en-US" w:eastAsia="zh-CN"/>
              </w:rPr>
              <w:t>已完成</w:t>
            </w:r>
          </w:p>
        </w:tc>
      </w:tr>
      <w:tr w14:paraId="50990C35">
        <w:tblPrEx>
          <w:tblCellMar>
            <w:top w:w="0" w:type="dxa"/>
            <w:left w:w="108" w:type="dxa"/>
            <w:bottom w:w="0" w:type="dxa"/>
            <w:right w:w="108" w:type="dxa"/>
          </w:tblCellMar>
        </w:tblPrEx>
        <w:trPr>
          <w:trHeight w:val="600" w:hRule="atLeast"/>
        </w:trPr>
        <w:tc>
          <w:tcPr>
            <w:tcW w:w="1153" w:type="dxa"/>
            <w:vMerge w:val="continue"/>
            <w:tcBorders>
              <w:left w:val="single" w:color="auto" w:sz="8" w:space="0"/>
              <w:right w:val="single" w:color="auto" w:sz="8" w:space="0"/>
            </w:tcBorders>
            <w:vAlign w:val="center"/>
          </w:tcPr>
          <w:p w14:paraId="46AED9F1">
            <w:pPr>
              <w:widowControl/>
              <w:jc w:val="left"/>
              <w:rPr>
                <w:rFonts w:eastAsia="仿宋"/>
                <w:color w:val="000000"/>
                <w:kern w:val="0"/>
                <w:sz w:val="24"/>
              </w:rPr>
            </w:pPr>
          </w:p>
        </w:tc>
        <w:tc>
          <w:tcPr>
            <w:tcW w:w="1267" w:type="dxa"/>
            <w:tcBorders>
              <w:top w:val="nil"/>
              <w:left w:val="nil"/>
              <w:bottom w:val="single" w:color="auto" w:sz="8" w:space="0"/>
              <w:right w:val="single" w:color="auto" w:sz="8" w:space="0"/>
            </w:tcBorders>
            <w:shd w:val="clear" w:color="auto" w:fill="auto"/>
            <w:vAlign w:val="center"/>
          </w:tcPr>
          <w:p w14:paraId="7A4AC442">
            <w:pPr>
              <w:widowControl/>
              <w:jc w:val="left"/>
              <w:rPr>
                <w:rFonts w:eastAsia="仿宋"/>
                <w:color w:val="000000"/>
                <w:kern w:val="0"/>
                <w:sz w:val="24"/>
              </w:rPr>
            </w:pPr>
            <w:r>
              <w:rPr>
                <w:rFonts w:eastAsia="仿宋"/>
                <w:color w:val="000000"/>
                <w:kern w:val="0"/>
                <w:sz w:val="24"/>
              </w:rPr>
              <w:t>D3生态效益（8分）</w:t>
            </w:r>
          </w:p>
        </w:tc>
        <w:tc>
          <w:tcPr>
            <w:tcW w:w="3760" w:type="dxa"/>
            <w:tcBorders>
              <w:top w:val="nil"/>
              <w:left w:val="nil"/>
              <w:bottom w:val="single" w:color="auto" w:sz="8" w:space="0"/>
              <w:right w:val="single" w:color="auto" w:sz="8" w:space="0"/>
            </w:tcBorders>
            <w:shd w:val="clear" w:color="auto" w:fill="auto"/>
            <w:vAlign w:val="center"/>
          </w:tcPr>
          <w:p w14:paraId="7E574383">
            <w:pPr>
              <w:widowControl/>
              <w:jc w:val="left"/>
              <w:rPr>
                <w:rFonts w:eastAsia="仿宋"/>
                <w:color w:val="000000"/>
                <w:kern w:val="0"/>
                <w:sz w:val="24"/>
              </w:rPr>
            </w:pPr>
            <w:r>
              <w:rPr>
                <w:rFonts w:eastAsia="仿宋"/>
                <w:color w:val="000000"/>
                <w:kern w:val="0"/>
                <w:sz w:val="24"/>
              </w:rPr>
              <w:t>不设三级指标</w:t>
            </w:r>
          </w:p>
        </w:tc>
        <w:tc>
          <w:tcPr>
            <w:tcW w:w="2939" w:type="dxa"/>
            <w:tcBorders>
              <w:top w:val="nil"/>
              <w:left w:val="nil"/>
              <w:bottom w:val="single" w:color="auto" w:sz="8" w:space="0"/>
              <w:right w:val="single" w:color="auto" w:sz="8" w:space="0"/>
            </w:tcBorders>
            <w:shd w:val="clear" w:color="auto" w:fill="auto"/>
            <w:vAlign w:val="center"/>
          </w:tcPr>
          <w:p w14:paraId="7199A547">
            <w:pPr>
              <w:widowControl/>
              <w:jc w:val="left"/>
              <w:rPr>
                <w:rFonts w:eastAsia="仿宋"/>
                <w:color w:val="000000"/>
                <w:kern w:val="0"/>
                <w:sz w:val="24"/>
              </w:rPr>
            </w:pPr>
            <w:r>
              <w:rPr>
                <w:rFonts w:eastAsia="仿宋"/>
                <w:color w:val="000000"/>
                <w:kern w:val="0"/>
                <w:sz w:val="24"/>
              </w:rPr>
              <w:t>生态平衡和生态系统的良性高效循环</w:t>
            </w:r>
          </w:p>
        </w:tc>
        <w:tc>
          <w:tcPr>
            <w:tcW w:w="2069" w:type="dxa"/>
            <w:tcBorders>
              <w:top w:val="nil"/>
              <w:left w:val="nil"/>
              <w:bottom w:val="single" w:color="auto" w:sz="8" w:space="0"/>
              <w:right w:val="single" w:color="auto" w:sz="4" w:space="0"/>
            </w:tcBorders>
          </w:tcPr>
          <w:p w14:paraId="6F472202">
            <w:pPr>
              <w:widowControl/>
              <w:jc w:val="left"/>
              <w:rPr>
                <w:rFonts w:eastAsia="仿宋"/>
                <w:color w:val="000000"/>
                <w:kern w:val="0"/>
                <w:sz w:val="24"/>
              </w:rPr>
            </w:pPr>
            <w:r>
              <w:rPr>
                <w:rFonts w:eastAsia="仿宋"/>
                <w:color w:val="000000"/>
                <w:kern w:val="0"/>
                <w:sz w:val="24"/>
              </w:rPr>
              <w:t>评价生态平衡及系统循环情况</w:t>
            </w:r>
          </w:p>
        </w:tc>
        <w:tc>
          <w:tcPr>
            <w:tcW w:w="799" w:type="dxa"/>
            <w:tcBorders>
              <w:top w:val="nil"/>
              <w:left w:val="single" w:color="auto" w:sz="4" w:space="0"/>
              <w:bottom w:val="single" w:color="auto" w:sz="8" w:space="0"/>
              <w:right w:val="single" w:color="auto" w:sz="8" w:space="0"/>
            </w:tcBorders>
            <w:shd w:val="clear" w:color="auto" w:fill="auto"/>
            <w:vAlign w:val="center"/>
          </w:tcPr>
          <w:p w14:paraId="1A4FD8AF">
            <w:pPr>
              <w:widowControl/>
              <w:jc w:val="left"/>
              <w:rPr>
                <w:rFonts w:eastAsia="仿宋"/>
                <w:color w:val="000000"/>
                <w:kern w:val="0"/>
                <w:sz w:val="24"/>
              </w:rPr>
            </w:pPr>
            <w:r>
              <w:rPr>
                <w:rFonts w:eastAsia="仿宋"/>
                <w:color w:val="000000"/>
                <w:kern w:val="0"/>
                <w:sz w:val="24"/>
              </w:rPr>
              <w:t>　8</w:t>
            </w:r>
          </w:p>
        </w:tc>
        <w:tc>
          <w:tcPr>
            <w:tcW w:w="2176" w:type="dxa"/>
            <w:tcBorders>
              <w:top w:val="nil"/>
              <w:left w:val="single" w:color="auto" w:sz="4" w:space="0"/>
              <w:bottom w:val="single" w:color="auto" w:sz="8" w:space="0"/>
              <w:right w:val="single" w:color="auto" w:sz="8" w:space="0"/>
            </w:tcBorders>
            <w:shd w:val="clear" w:color="auto" w:fill="auto"/>
            <w:vAlign w:val="center"/>
          </w:tcPr>
          <w:p w14:paraId="361E5139">
            <w:pPr>
              <w:widowControl/>
              <w:jc w:val="left"/>
              <w:rPr>
                <w:rFonts w:eastAsia="仿宋"/>
                <w:color w:val="000000"/>
                <w:kern w:val="0"/>
                <w:sz w:val="24"/>
              </w:rPr>
            </w:pPr>
            <w:r>
              <w:rPr>
                <w:rFonts w:hint="eastAsia" w:eastAsia="仿宋"/>
                <w:bCs/>
                <w:color w:val="000000"/>
                <w:kern w:val="0"/>
                <w:sz w:val="24"/>
                <w:lang w:val="en-US" w:eastAsia="zh-CN"/>
              </w:rPr>
              <w:t>已完成</w:t>
            </w:r>
          </w:p>
        </w:tc>
      </w:tr>
      <w:tr w14:paraId="6E1A2519">
        <w:tblPrEx>
          <w:tblCellMar>
            <w:top w:w="0" w:type="dxa"/>
            <w:left w:w="108" w:type="dxa"/>
            <w:bottom w:w="0" w:type="dxa"/>
            <w:right w:w="108" w:type="dxa"/>
          </w:tblCellMar>
        </w:tblPrEx>
        <w:trPr>
          <w:trHeight w:val="915" w:hRule="atLeast"/>
        </w:trPr>
        <w:tc>
          <w:tcPr>
            <w:tcW w:w="1153" w:type="dxa"/>
            <w:vMerge w:val="continue"/>
            <w:tcBorders>
              <w:left w:val="single" w:color="auto" w:sz="8" w:space="0"/>
              <w:bottom w:val="single" w:color="auto" w:sz="4" w:space="0"/>
              <w:right w:val="single" w:color="auto" w:sz="8" w:space="0"/>
            </w:tcBorders>
            <w:vAlign w:val="center"/>
          </w:tcPr>
          <w:p w14:paraId="513712B3">
            <w:pPr>
              <w:widowControl/>
              <w:jc w:val="left"/>
              <w:rPr>
                <w:rFonts w:eastAsia="仿宋"/>
                <w:color w:val="000000"/>
                <w:kern w:val="0"/>
                <w:sz w:val="24"/>
              </w:rPr>
            </w:pPr>
          </w:p>
        </w:tc>
        <w:tc>
          <w:tcPr>
            <w:tcW w:w="1267" w:type="dxa"/>
            <w:tcBorders>
              <w:top w:val="nil"/>
              <w:left w:val="nil"/>
              <w:bottom w:val="single" w:color="auto" w:sz="4" w:space="0"/>
              <w:right w:val="single" w:color="auto" w:sz="8" w:space="0"/>
            </w:tcBorders>
            <w:shd w:val="clear" w:color="auto" w:fill="auto"/>
            <w:vAlign w:val="center"/>
          </w:tcPr>
          <w:p w14:paraId="56C2B101">
            <w:pPr>
              <w:widowControl/>
              <w:jc w:val="left"/>
              <w:rPr>
                <w:rFonts w:eastAsia="仿宋"/>
                <w:color w:val="000000"/>
                <w:kern w:val="0"/>
                <w:sz w:val="24"/>
              </w:rPr>
            </w:pPr>
            <w:r>
              <w:rPr>
                <w:rFonts w:eastAsia="仿宋"/>
                <w:color w:val="000000"/>
                <w:kern w:val="0"/>
                <w:sz w:val="24"/>
              </w:rPr>
              <w:t>D4满意度（6分）</w:t>
            </w:r>
          </w:p>
        </w:tc>
        <w:tc>
          <w:tcPr>
            <w:tcW w:w="3760" w:type="dxa"/>
            <w:tcBorders>
              <w:top w:val="nil"/>
              <w:left w:val="nil"/>
              <w:bottom w:val="single" w:color="auto" w:sz="4" w:space="0"/>
              <w:right w:val="single" w:color="auto" w:sz="8" w:space="0"/>
            </w:tcBorders>
            <w:shd w:val="clear" w:color="auto" w:fill="auto"/>
            <w:vAlign w:val="center"/>
          </w:tcPr>
          <w:p w14:paraId="3FD75640">
            <w:pPr>
              <w:widowControl/>
              <w:jc w:val="left"/>
              <w:rPr>
                <w:rFonts w:eastAsia="仿宋"/>
                <w:color w:val="000000"/>
                <w:kern w:val="0"/>
                <w:sz w:val="24"/>
              </w:rPr>
            </w:pPr>
            <w:r>
              <w:rPr>
                <w:rFonts w:eastAsia="仿宋"/>
                <w:color w:val="000000"/>
                <w:kern w:val="0"/>
                <w:sz w:val="24"/>
              </w:rPr>
              <w:t>不设三级指标</w:t>
            </w:r>
          </w:p>
        </w:tc>
        <w:tc>
          <w:tcPr>
            <w:tcW w:w="2939" w:type="dxa"/>
            <w:tcBorders>
              <w:top w:val="nil"/>
              <w:left w:val="nil"/>
              <w:bottom w:val="single" w:color="auto" w:sz="4" w:space="0"/>
              <w:right w:val="single" w:color="auto" w:sz="8" w:space="0"/>
            </w:tcBorders>
            <w:shd w:val="clear" w:color="auto" w:fill="auto"/>
            <w:vAlign w:val="center"/>
          </w:tcPr>
          <w:p w14:paraId="45797658">
            <w:pPr>
              <w:widowControl/>
              <w:jc w:val="left"/>
              <w:rPr>
                <w:rFonts w:eastAsia="仿宋"/>
                <w:color w:val="000000"/>
                <w:kern w:val="0"/>
                <w:sz w:val="24"/>
              </w:rPr>
            </w:pPr>
            <w:r>
              <w:rPr>
                <w:rFonts w:eastAsia="仿宋"/>
                <w:color w:val="000000"/>
                <w:kern w:val="0"/>
                <w:sz w:val="24"/>
              </w:rPr>
              <w:t>包含服务对象（可选）、管理对象（可选）、间接受益对象（可选）等</w:t>
            </w:r>
          </w:p>
        </w:tc>
        <w:tc>
          <w:tcPr>
            <w:tcW w:w="2069" w:type="dxa"/>
            <w:tcBorders>
              <w:top w:val="nil"/>
              <w:left w:val="nil"/>
              <w:bottom w:val="single" w:color="auto" w:sz="4" w:space="0"/>
              <w:right w:val="single" w:color="auto" w:sz="4" w:space="0"/>
            </w:tcBorders>
            <w:vAlign w:val="center"/>
          </w:tcPr>
          <w:p w14:paraId="0F1C26D9">
            <w:pPr>
              <w:widowControl/>
              <w:jc w:val="left"/>
              <w:rPr>
                <w:rFonts w:eastAsia="仿宋"/>
                <w:color w:val="000000"/>
                <w:kern w:val="0"/>
                <w:sz w:val="24"/>
              </w:rPr>
            </w:pPr>
            <w:r>
              <w:rPr>
                <w:rFonts w:eastAsia="仿宋"/>
                <w:color w:val="000000"/>
                <w:kern w:val="0"/>
                <w:sz w:val="24"/>
              </w:rPr>
              <w:t>涉及检查服务对象、管理对象、间接受益对象评价表；未涉及可得满分</w:t>
            </w:r>
          </w:p>
        </w:tc>
        <w:tc>
          <w:tcPr>
            <w:tcW w:w="799" w:type="dxa"/>
            <w:tcBorders>
              <w:top w:val="nil"/>
              <w:left w:val="single" w:color="auto" w:sz="4" w:space="0"/>
              <w:bottom w:val="single" w:color="auto" w:sz="4" w:space="0"/>
              <w:right w:val="single" w:color="auto" w:sz="8" w:space="0"/>
            </w:tcBorders>
            <w:shd w:val="clear" w:color="auto" w:fill="auto"/>
            <w:vAlign w:val="center"/>
          </w:tcPr>
          <w:p w14:paraId="5F817FFE">
            <w:pPr>
              <w:widowControl/>
              <w:ind w:firstLine="240" w:firstLineChars="100"/>
              <w:jc w:val="left"/>
              <w:rPr>
                <w:rFonts w:eastAsia="仿宋"/>
                <w:color w:val="000000"/>
                <w:kern w:val="0"/>
                <w:sz w:val="24"/>
              </w:rPr>
            </w:pPr>
            <w:r>
              <w:rPr>
                <w:rFonts w:eastAsia="仿宋"/>
                <w:color w:val="000000"/>
                <w:kern w:val="0"/>
                <w:sz w:val="24"/>
              </w:rPr>
              <w:t>6</w:t>
            </w:r>
          </w:p>
        </w:tc>
        <w:tc>
          <w:tcPr>
            <w:tcW w:w="2176" w:type="dxa"/>
            <w:tcBorders>
              <w:top w:val="nil"/>
              <w:left w:val="single" w:color="auto" w:sz="4" w:space="0"/>
              <w:bottom w:val="single" w:color="auto" w:sz="4" w:space="0"/>
              <w:right w:val="single" w:color="auto" w:sz="8" w:space="0"/>
            </w:tcBorders>
            <w:shd w:val="clear" w:color="auto" w:fill="auto"/>
            <w:vAlign w:val="center"/>
          </w:tcPr>
          <w:p w14:paraId="1B5D94F8">
            <w:pPr>
              <w:widowControl/>
              <w:jc w:val="left"/>
              <w:rPr>
                <w:rFonts w:eastAsia="仿宋"/>
                <w:color w:val="000000"/>
                <w:kern w:val="0"/>
                <w:sz w:val="24"/>
              </w:rPr>
            </w:pPr>
            <w:r>
              <w:rPr>
                <w:rFonts w:hint="eastAsia" w:eastAsia="仿宋"/>
                <w:bCs/>
                <w:color w:val="000000"/>
                <w:kern w:val="0"/>
                <w:sz w:val="24"/>
                <w:lang w:val="en-US" w:eastAsia="zh-CN"/>
              </w:rPr>
              <w:t>已完成</w:t>
            </w:r>
          </w:p>
        </w:tc>
      </w:tr>
      <w:tr w14:paraId="3DC0E82D">
        <w:tblPrEx>
          <w:tblCellMar>
            <w:top w:w="0" w:type="dxa"/>
            <w:left w:w="108" w:type="dxa"/>
            <w:bottom w:w="0" w:type="dxa"/>
            <w:right w:w="108" w:type="dxa"/>
          </w:tblCellMar>
        </w:tblPrEx>
        <w:trPr>
          <w:trHeight w:val="600" w:hRule="atLeast"/>
        </w:trPr>
        <w:tc>
          <w:tcPr>
            <w:tcW w:w="1153" w:type="dxa"/>
            <w:vMerge w:val="restart"/>
            <w:tcBorders>
              <w:top w:val="single" w:color="auto" w:sz="8" w:space="0"/>
              <w:left w:val="single" w:color="auto" w:sz="8" w:space="0"/>
              <w:bottom w:val="single" w:color="auto" w:sz="8" w:space="0"/>
              <w:right w:val="single" w:color="auto" w:sz="8" w:space="0"/>
            </w:tcBorders>
            <w:shd w:val="clear" w:color="auto" w:fill="auto"/>
            <w:vAlign w:val="center"/>
          </w:tcPr>
          <w:p w14:paraId="2CE6FE55">
            <w:pPr>
              <w:widowControl/>
              <w:jc w:val="left"/>
              <w:rPr>
                <w:rFonts w:eastAsia="仿宋"/>
                <w:color w:val="000000"/>
                <w:kern w:val="0"/>
                <w:sz w:val="24"/>
              </w:rPr>
            </w:pPr>
            <w:r>
              <w:rPr>
                <w:rFonts w:eastAsia="仿宋"/>
                <w:color w:val="000000"/>
                <w:kern w:val="0"/>
                <w:sz w:val="24"/>
              </w:rPr>
              <w:t>E可持续发展能力（5分）</w:t>
            </w:r>
          </w:p>
        </w:tc>
        <w:tc>
          <w:tcPr>
            <w:tcW w:w="1267" w:type="dxa"/>
            <w:tcBorders>
              <w:top w:val="single" w:color="auto" w:sz="8" w:space="0"/>
              <w:left w:val="nil"/>
              <w:bottom w:val="single" w:color="auto" w:sz="8" w:space="0"/>
              <w:right w:val="single" w:color="auto" w:sz="8" w:space="0"/>
            </w:tcBorders>
            <w:shd w:val="clear" w:color="auto" w:fill="auto"/>
            <w:vAlign w:val="center"/>
          </w:tcPr>
          <w:p w14:paraId="6FB1DFB1">
            <w:pPr>
              <w:widowControl/>
              <w:jc w:val="left"/>
              <w:rPr>
                <w:rFonts w:eastAsia="仿宋"/>
                <w:color w:val="000000"/>
                <w:kern w:val="0"/>
                <w:sz w:val="24"/>
              </w:rPr>
            </w:pPr>
            <w:r>
              <w:rPr>
                <w:rFonts w:eastAsia="仿宋"/>
                <w:color w:val="000000"/>
                <w:kern w:val="0"/>
                <w:sz w:val="24"/>
              </w:rPr>
              <w:t>E1信息化建设情况（2分）</w:t>
            </w:r>
          </w:p>
        </w:tc>
        <w:tc>
          <w:tcPr>
            <w:tcW w:w="3760" w:type="dxa"/>
            <w:tcBorders>
              <w:top w:val="single" w:color="auto" w:sz="8" w:space="0"/>
              <w:left w:val="nil"/>
              <w:bottom w:val="single" w:color="auto" w:sz="8" w:space="0"/>
              <w:right w:val="single" w:color="auto" w:sz="8" w:space="0"/>
            </w:tcBorders>
            <w:shd w:val="clear" w:color="auto" w:fill="auto"/>
            <w:vAlign w:val="center"/>
          </w:tcPr>
          <w:p w14:paraId="750E7445">
            <w:pPr>
              <w:widowControl/>
              <w:jc w:val="left"/>
              <w:rPr>
                <w:rFonts w:eastAsia="仿宋"/>
                <w:color w:val="000000"/>
                <w:kern w:val="0"/>
                <w:sz w:val="24"/>
              </w:rPr>
            </w:pPr>
            <w:r>
              <w:rPr>
                <w:rFonts w:eastAsia="仿宋"/>
                <w:color w:val="000000"/>
                <w:kern w:val="0"/>
                <w:sz w:val="24"/>
              </w:rPr>
              <w:t>　不设三级指标</w:t>
            </w:r>
          </w:p>
        </w:tc>
        <w:tc>
          <w:tcPr>
            <w:tcW w:w="2939" w:type="dxa"/>
            <w:tcBorders>
              <w:top w:val="single" w:color="auto" w:sz="8" w:space="0"/>
              <w:left w:val="nil"/>
              <w:bottom w:val="single" w:color="auto" w:sz="8" w:space="0"/>
              <w:right w:val="single" w:color="auto" w:sz="8" w:space="0"/>
            </w:tcBorders>
            <w:shd w:val="clear" w:color="auto" w:fill="auto"/>
            <w:vAlign w:val="center"/>
          </w:tcPr>
          <w:p w14:paraId="392E8F07">
            <w:pPr>
              <w:widowControl/>
              <w:jc w:val="left"/>
              <w:rPr>
                <w:rFonts w:eastAsia="仿宋"/>
                <w:color w:val="000000"/>
                <w:kern w:val="0"/>
                <w:sz w:val="24"/>
              </w:rPr>
            </w:pPr>
            <w:r>
              <w:rPr>
                <w:rFonts w:eastAsia="仿宋"/>
                <w:color w:val="000000"/>
                <w:kern w:val="0"/>
                <w:sz w:val="24"/>
              </w:rPr>
              <w:t>办公流程、业务开展是否能通过单位的信息系统实现</w:t>
            </w:r>
          </w:p>
        </w:tc>
        <w:tc>
          <w:tcPr>
            <w:tcW w:w="2069" w:type="dxa"/>
            <w:tcBorders>
              <w:top w:val="single" w:color="auto" w:sz="8" w:space="0"/>
              <w:left w:val="nil"/>
              <w:bottom w:val="single" w:color="auto" w:sz="8" w:space="0"/>
              <w:right w:val="single" w:color="auto" w:sz="4" w:space="0"/>
            </w:tcBorders>
          </w:tcPr>
          <w:p w14:paraId="4645357F">
            <w:pPr>
              <w:widowControl/>
              <w:jc w:val="left"/>
              <w:rPr>
                <w:rFonts w:eastAsia="仿宋"/>
                <w:color w:val="000000"/>
                <w:kern w:val="0"/>
                <w:sz w:val="24"/>
              </w:rPr>
            </w:pPr>
            <w:r>
              <w:rPr>
                <w:rFonts w:eastAsia="仿宋"/>
                <w:color w:val="000000"/>
                <w:kern w:val="0"/>
                <w:sz w:val="24"/>
              </w:rPr>
              <w:t>检查或进行穿行测试</w:t>
            </w:r>
          </w:p>
        </w:tc>
        <w:tc>
          <w:tcPr>
            <w:tcW w:w="799" w:type="dxa"/>
            <w:tcBorders>
              <w:top w:val="single" w:color="auto" w:sz="8" w:space="0"/>
              <w:left w:val="single" w:color="auto" w:sz="4" w:space="0"/>
              <w:bottom w:val="single" w:color="auto" w:sz="8" w:space="0"/>
              <w:right w:val="single" w:color="auto" w:sz="8" w:space="0"/>
            </w:tcBorders>
            <w:shd w:val="clear" w:color="auto" w:fill="auto"/>
            <w:vAlign w:val="center"/>
          </w:tcPr>
          <w:p w14:paraId="2B2A1DAF">
            <w:pPr>
              <w:widowControl/>
              <w:jc w:val="left"/>
              <w:rPr>
                <w:rFonts w:hint="eastAsia" w:eastAsia="仿宋"/>
                <w:color w:val="000000"/>
                <w:kern w:val="0"/>
                <w:sz w:val="24"/>
                <w:lang w:val="en-US" w:eastAsia="zh-CN"/>
              </w:rPr>
            </w:pPr>
            <w:r>
              <w:rPr>
                <w:rFonts w:eastAsia="仿宋"/>
                <w:color w:val="FF0000"/>
                <w:kern w:val="0"/>
                <w:sz w:val="24"/>
              </w:rPr>
              <w:t>　</w:t>
            </w:r>
            <w:r>
              <w:rPr>
                <w:rFonts w:hint="eastAsia" w:eastAsia="仿宋"/>
                <w:color w:val="auto"/>
                <w:kern w:val="0"/>
                <w:sz w:val="24"/>
                <w:lang w:val="en-US" w:eastAsia="zh-CN"/>
              </w:rPr>
              <w:t>2</w:t>
            </w:r>
          </w:p>
        </w:tc>
        <w:tc>
          <w:tcPr>
            <w:tcW w:w="2176" w:type="dxa"/>
            <w:tcBorders>
              <w:top w:val="single" w:color="auto" w:sz="8" w:space="0"/>
              <w:left w:val="single" w:color="auto" w:sz="4" w:space="0"/>
              <w:bottom w:val="single" w:color="auto" w:sz="8" w:space="0"/>
              <w:right w:val="single" w:color="auto" w:sz="8" w:space="0"/>
            </w:tcBorders>
            <w:shd w:val="clear" w:color="auto" w:fill="auto"/>
            <w:vAlign w:val="center"/>
          </w:tcPr>
          <w:p w14:paraId="3FD486A0">
            <w:pPr>
              <w:widowControl/>
              <w:jc w:val="left"/>
              <w:rPr>
                <w:rFonts w:eastAsia="仿宋"/>
                <w:color w:val="FF0000"/>
                <w:kern w:val="0"/>
                <w:sz w:val="24"/>
              </w:rPr>
            </w:pPr>
            <w:r>
              <w:rPr>
                <w:rFonts w:hint="eastAsia" w:eastAsia="仿宋"/>
                <w:bCs/>
                <w:color w:val="000000"/>
                <w:kern w:val="0"/>
                <w:sz w:val="24"/>
                <w:lang w:val="en-US" w:eastAsia="zh-CN"/>
              </w:rPr>
              <w:t>已完成</w:t>
            </w:r>
          </w:p>
        </w:tc>
      </w:tr>
      <w:tr w14:paraId="665F3458">
        <w:tblPrEx>
          <w:tblCellMar>
            <w:top w:w="0" w:type="dxa"/>
            <w:left w:w="108" w:type="dxa"/>
            <w:bottom w:w="0" w:type="dxa"/>
            <w:right w:w="108" w:type="dxa"/>
          </w:tblCellMar>
        </w:tblPrEx>
        <w:trPr>
          <w:trHeight w:val="600" w:hRule="atLeast"/>
        </w:trPr>
        <w:tc>
          <w:tcPr>
            <w:tcW w:w="1153" w:type="dxa"/>
            <w:vMerge w:val="continue"/>
            <w:tcBorders>
              <w:top w:val="single" w:color="auto" w:sz="8" w:space="0"/>
              <w:left w:val="single" w:color="auto" w:sz="8" w:space="0"/>
              <w:bottom w:val="single" w:color="auto" w:sz="8" w:space="0"/>
              <w:right w:val="single" w:color="auto" w:sz="8" w:space="0"/>
            </w:tcBorders>
            <w:vAlign w:val="center"/>
          </w:tcPr>
          <w:p w14:paraId="489B74DE">
            <w:pPr>
              <w:widowControl/>
              <w:jc w:val="left"/>
              <w:rPr>
                <w:rFonts w:eastAsia="仿宋"/>
                <w:color w:val="000000"/>
                <w:kern w:val="0"/>
                <w:sz w:val="24"/>
              </w:rPr>
            </w:pPr>
          </w:p>
        </w:tc>
        <w:tc>
          <w:tcPr>
            <w:tcW w:w="1267" w:type="dxa"/>
            <w:tcBorders>
              <w:top w:val="nil"/>
              <w:left w:val="nil"/>
              <w:bottom w:val="single" w:color="auto" w:sz="8" w:space="0"/>
              <w:right w:val="single" w:color="auto" w:sz="8" w:space="0"/>
            </w:tcBorders>
            <w:shd w:val="clear" w:color="auto" w:fill="auto"/>
            <w:vAlign w:val="center"/>
          </w:tcPr>
          <w:p w14:paraId="388061BC">
            <w:pPr>
              <w:widowControl/>
              <w:jc w:val="left"/>
              <w:rPr>
                <w:rFonts w:eastAsia="仿宋"/>
                <w:color w:val="000000"/>
                <w:kern w:val="0"/>
                <w:sz w:val="24"/>
              </w:rPr>
            </w:pPr>
            <w:r>
              <w:rPr>
                <w:rFonts w:eastAsia="仿宋"/>
                <w:color w:val="000000"/>
                <w:kern w:val="0"/>
                <w:sz w:val="24"/>
              </w:rPr>
              <w:t>E2人力资源建设情况（1分）</w:t>
            </w:r>
          </w:p>
        </w:tc>
        <w:tc>
          <w:tcPr>
            <w:tcW w:w="3760" w:type="dxa"/>
            <w:tcBorders>
              <w:top w:val="nil"/>
              <w:left w:val="nil"/>
              <w:bottom w:val="single" w:color="auto" w:sz="8" w:space="0"/>
              <w:right w:val="single" w:color="auto" w:sz="8" w:space="0"/>
            </w:tcBorders>
            <w:shd w:val="clear" w:color="auto" w:fill="auto"/>
            <w:vAlign w:val="center"/>
          </w:tcPr>
          <w:p w14:paraId="0D1F98A4">
            <w:pPr>
              <w:widowControl/>
              <w:jc w:val="left"/>
              <w:rPr>
                <w:rFonts w:eastAsia="等线"/>
                <w:color w:val="000000"/>
                <w:kern w:val="0"/>
                <w:sz w:val="22"/>
              </w:rPr>
            </w:pPr>
            <w:r>
              <w:rPr>
                <w:rFonts w:eastAsia="等线"/>
                <w:color w:val="000000"/>
                <w:kern w:val="0"/>
                <w:sz w:val="22"/>
              </w:rPr>
              <w:t>　</w:t>
            </w:r>
            <w:r>
              <w:rPr>
                <w:rFonts w:eastAsia="仿宋"/>
                <w:color w:val="000000"/>
                <w:kern w:val="0"/>
                <w:sz w:val="24"/>
              </w:rPr>
              <w:t>不设三级指标</w:t>
            </w:r>
          </w:p>
        </w:tc>
        <w:tc>
          <w:tcPr>
            <w:tcW w:w="2939" w:type="dxa"/>
            <w:tcBorders>
              <w:top w:val="nil"/>
              <w:left w:val="nil"/>
              <w:bottom w:val="single" w:color="auto" w:sz="8" w:space="0"/>
              <w:right w:val="single" w:color="auto" w:sz="8" w:space="0"/>
            </w:tcBorders>
            <w:shd w:val="clear" w:color="auto" w:fill="auto"/>
            <w:vAlign w:val="center"/>
          </w:tcPr>
          <w:p w14:paraId="212E882F">
            <w:pPr>
              <w:widowControl/>
              <w:jc w:val="left"/>
              <w:rPr>
                <w:rFonts w:eastAsia="仿宋"/>
                <w:color w:val="000000"/>
                <w:kern w:val="0"/>
                <w:sz w:val="24"/>
              </w:rPr>
            </w:pPr>
            <w:r>
              <w:rPr>
                <w:rFonts w:eastAsia="仿宋"/>
                <w:color w:val="000000"/>
                <w:kern w:val="0"/>
                <w:sz w:val="24"/>
              </w:rPr>
              <w:t>包含人才培养计划、人才选拔运用、激励措施等</w:t>
            </w:r>
          </w:p>
        </w:tc>
        <w:tc>
          <w:tcPr>
            <w:tcW w:w="2069" w:type="dxa"/>
            <w:tcBorders>
              <w:top w:val="nil"/>
              <w:left w:val="nil"/>
              <w:bottom w:val="single" w:color="auto" w:sz="8" w:space="0"/>
              <w:right w:val="single" w:color="auto" w:sz="4" w:space="0"/>
            </w:tcBorders>
          </w:tcPr>
          <w:p w14:paraId="39149FB3">
            <w:pPr>
              <w:widowControl/>
              <w:jc w:val="left"/>
              <w:rPr>
                <w:rFonts w:eastAsia="仿宋"/>
                <w:color w:val="000000"/>
                <w:kern w:val="0"/>
                <w:sz w:val="24"/>
              </w:rPr>
            </w:pPr>
            <w:r>
              <w:rPr>
                <w:rFonts w:eastAsia="仿宋"/>
                <w:color w:val="000000"/>
                <w:kern w:val="0"/>
                <w:sz w:val="24"/>
              </w:rPr>
              <w:t>适用检查是否有人才培养计划、人才选拔运用及激励措施方面形成的文件；不适用可得满分</w:t>
            </w:r>
          </w:p>
        </w:tc>
        <w:tc>
          <w:tcPr>
            <w:tcW w:w="799" w:type="dxa"/>
            <w:tcBorders>
              <w:top w:val="nil"/>
              <w:left w:val="single" w:color="auto" w:sz="4" w:space="0"/>
              <w:bottom w:val="single" w:color="auto" w:sz="8" w:space="0"/>
              <w:right w:val="single" w:color="auto" w:sz="8" w:space="0"/>
            </w:tcBorders>
            <w:shd w:val="clear" w:color="auto" w:fill="auto"/>
            <w:vAlign w:val="center"/>
          </w:tcPr>
          <w:p w14:paraId="521E47A0">
            <w:pPr>
              <w:widowControl/>
              <w:jc w:val="left"/>
              <w:rPr>
                <w:rFonts w:eastAsia="等线"/>
                <w:color w:val="000000"/>
                <w:kern w:val="0"/>
                <w:sz w:val="22"/>
              </w:rPr>
            </w:pPr>
            <w:r>
              <w:rPr>
                <w:rFonts w:eastAsia="等线"/>
                <w:color w:val="000000"/>
                <w:kern w:val="0"/>
                <w:sz w:val="22"/>
              </w:rPr>
              <w:t>　1</w:t>
            </w:r>
          </w:p>
        </w:tc>
        <w:tc>
          <w:tcPr>
            <w:tcW w:w="2176" w:type="dxa"/>
            <w:tcBorders>
              <w:top w:val="nil"/>
              <w:left w:val="single" w:color="auto" w:sz="4" w:space="0"/>
              <w:bottom w:val="single" w:color="auto" w:sz="8" w:space="0"/>
              <w:right w:val="single" w:color="auto" w:sz="8" w:space="0"/>
            </w:tcBorders>
            <w:shd w:val="clear" w:color="auto" w:fill="auto"/>
            <w:vAlign w:val="center"/>
          </w:tcPr>
          <w:p w14:paraId="46566332">
            <w:pPr>
              <w:widowControl/>
              <w:jc w:val="left"/>
              <w:rPr>
                <w:rFonts w:eastAsia="等线"/>
                <w:color w:val="000000"/>
                <w:kern w:val="0"/>
                <w:sz w:val="22"/>
              </w:rPr>
            </w:pPr>
            <w:r>
              <w:rPr>
                <w:rFonts w:hint="eastAsia" w:eastAsia="仿宋"/>
                <w:bCs/>
                <w:color w:val="000000"/>
                <w:kern w:val="0"/>
                <w:sz w:val="24"/>
                <w:lang w:val="en-US" w:eastAsia="zh-CN"/>
              </w:rPr>
              <w:t>已完成</w:t>
            </w:r>
          </w:p>
        </w:tc>
      </w:tr>
      <w:tr w14:paraId="01202AD6">
        <w:tblPrEx>
          <w:tblCellMar>
            <w:top w:w="0" w:type="dxa"/>
            <w:left w:w="108" w:type="dxa"/>
            <w:bottom w:w="0" w:type="dxa"/>
            <w:right w:w="108" w:type="dxa"/>
          </w:tblCellMar>
        </w:tblPrEx>
        <w:trPr>
          <w:trHeight w:val="600" w:hRule="atLeast"/>
        </w:trPr>
        <w:tc>
          <w:tcPr>
            <w:tcW w:w="1153" w:type="dxa"/>
            <w:vMerge w:val="continue"/>
            <w:tcBorders>
              <w:top w:val="single" w:color="auto" w:sz="8" w:space="0"/>
              <w:left w:val="single" w:color="auto" w:sz="8" w:space="0"/>
              <w:bottom w:val="single" w:color="auto" w:sz="4" w:space="0"/>
              <w:right w:val="single" w:color="auto" w:sz="8" w:space="0"/>
            </w:tcBorders>
            <w:vAlign w:val="center"/>
          </w:tcPr>
          <w:p w14:paraId="145A3653">
            <w:pPr>
              <w:widowControl/>
              <w:jc w:val="left"/>
              <w:rPr>
                <w:rFonts w:eastAsia="仿宋"/>
                <w:color w:val="000000"/>
                <w:kern w:val="0"/>
                <w:sz w:val="24"/>
              </w:rPr>
            </w:pPr>
          </w:p>
        </w:tc>
        <w:tc>
          <w:tcPr>
            <w:tcW w:w="1267" w:type="dxa"/>
            <w:tcBorders>
              <w:top w:val="nil"/>
              <w:left w:val="nil"/>
              <w:bottom w:val="single" w:color="auto" w:sz="4" w:space="0"/>
              <w:right w:val="single" w:color="auto" w:sz="8" w:space="0"/>
            </w:tcBorders>
            <w:shd w:val="clear" w:color="auto" w:fill="auto"/>
            <w:vAlign w:val="center"/>
          </w:tcPr>
          <w:p w14:paraId="282B5348">
            <w:pPr>
              <w:widowControl/>
              <w:jc w:val="left"/>
              <w:rPr>
                <w:rFonts w:eastAsia="仿宋"/>
                <w:color w:val="000000"/>
                <w:kern w:val="0"/>
                <w:sz w:val="24"/>
              </w:rPr>
            </w:pPr>
            <w:r>
              <w:rPr>
                <w:rFonts w:eastAsia="仿宋"/>
                <w:color w:val="000000"/>
                <w:kern w:val="0"/>
                <w:sz w:val="24"/>
              </w:rPr>
              <w:t>E3部门创新情况（2分）</w:t>
            </w:r>
          </w:p>
        </w:tc>
        <w:tc>
          <w:tcPr>
            <w:tcW w:w="3760" w:type="dxa"/>
            <w:tcBorders>
              <w:top w:val="nil"/>
              <w:left w:val="nil"/>
              <w:bottom w:val="single" w:color="auto" w:sz="4" w:space="0"/>
              <w:right w:val="single" w:color="auto" w:sz="8" w:space="0"/>
            </w:tcBorders>
            <w:shd w:val="clear" w:color="auto" w:fill="auto"/>
            <w:vAlign w:val="center"/>
          </w:tcPr>
          <w:p w14:paraId="484C4F1A">
            <w:pPr>
              <w:widowControl/>
              <w:jc w:val="left"/>
              <w:rPr>
                <w:rFonts w:eastAsia="仿宋"/>
                <w:color w:val="000000"/>
                <w:kern w:val="0"/>
                <w:sz w:val="22"/>
              </w:rPr>
            </w:pPr>
            <w:r>
              <w:rPr>
                <w:rFonts w:eastAsia="仿宋"/>
                <w:color w:val="000000"/>
                <w:kern w:val="0"/>
                <w:sz w:val="22"/>
              </w:rPr>
              <w:t>　</w:t>
            </w:r>
            <w:r>
              <w:rPr>
                <w:rFonts w:eastAsia="仿宋"/>
                <w:color w:val="000000"/>
                <w:kern w:val="0"/>
                <w:sz w:val="24"/>
              </w:rPr>
              <w:t>不设三级指标</w:t>
            </w:r>
          </w:p>
        </w:tc>
        <w:tc>
          <w:tcPr>
            <w:tcW w:w="2939" w:type="dxa"/>
            <w:tcBorders>
              <w:top w:val="nil"/>
              <w:left w:val="nil"/>
              <w:bottom w:val="single" w:color="auto" w:sz="4" w:space="0"/>
              <w:right w:val="single" w:color="auto" w:sz="8" w:space="0"/>
            </w:tcBorders>
            <w:shd w:val="clear" w:color="auto" w:fill="auto"/>
            <w:vAlign w:val="center"/>
          </w:tcPr>
          <w:p w14:paraId="70EFE882">
            <w:pPr>
              <w:widowControl/>
              <w:jc w:val="left"/>
              <w:rPr>
                <w:rFonts w:eastAsia="仿宋"/>
                <w:color w:val="000000"/>
                <w:kern w:val="0"/>
                <w:sz w:val="24"/>
              </w:rPr>
            </w:pPr>
            <w:r>
              <w:rPr>
                <w:rFonts w:eastAsia="仿宋"/>
                <w:color w:val="000000"/>
                <w:kern w:val="0"/>
                <w:sz w:val="24"/>
              </w:rPr>
              <w:t>包含制度创新、方法创新等</w:t>
            </w:r>
          </w:p>
        </w:tc>
        <w:tc>
          <w:tcPr>
            <w:tcW w:w="2069" w:type="dxa"/>
            <w:tcBorders>
              <w:top w:val="nil"/>
              <w:left w:val="nil"/>
              <w:bottom w:val="single" w:color="auto" w:sz="4" w:space="0"/>
              <w:right w:val="single" w:color="auto" w:sz="4" w:space="0"/>
            </w:tcBorders>
            <w:vAlign w:val="center"/>
          </w:tcPr>
          <w:p w14:paraId="6C257526">
            <w:pPr>
              <w:widowControl/>
              <w:jc w:val="left"/>
              <w:rPr>
                <w:rFonts w:eastAsia="仿宋"/>
                <w:color w:val="000000"/>
                <w:kern w:val="0"/>
                <w:sz w:val="22"/>
              </w:rPr>
            </w:pPr>
            <w:r>
              <w:rPr>
                <w:rFonts w:eastAsia="仿宋"/>
                <w:color w:val="000000"/>
                <w:kern w:val="0"/>
                <w:sz w:val="22"/>
              </w:rPr>
              <w:t>部门（单位）需提供创新案例被官方媒体报道的佐证材料</w:t>
            </w:r>
          </w:p>
        </w:tc>
        <w:tc>
          <w:tcPr>
            <w:tcW w:w="799" w:type="dxa"/>
            <w:tcBorders>
              <w:top w:val="nil"/>
              <w:left w:val="single" w:color="auto" w:sz="4" w:space="0"/>
              <w:bottom w:val="single" w:color="auto" w:sz="4" w:space="0"/>
              <w:right w:val="single" w:color="auto" w:sz="8" w:space="0"/>
            </w:tcBorders>
            <w:shd w:val="clear" w:color="auto" w:fill="auto"/>
            <w:vAlign w:val="center"/>
          </w:tcPr>
          <w:p w14:paraId="2E5769DF">
            <w:pPr>
              <w:widowControl/>
              <w:ind w:firstLine="220" w:firstLineChars="100"/>
              <w:jc w:val="left"/>
              <w:rPr>
                <w:rFonts w:hint="eastAsia" w:eastAsia="仿宋"/>
                <w:color w:val="000000"/>
                <w:kern w:val="0"/>
                <w:sz w:val="22"/>
                <w:lang w:eastAsia="zh-CN"/>
              </w:rPr>
            </w:pPr>
            <w:r>
              <w:rPr>
                <w:rFonts w:hint="eastAsia" w:eastAsia="仿宋"/>
                <w:color w:val="000000"/>
                <w:kern w:val="0"/>
                <w:sz w:val="22"/>
                <w:lang w:val="en-US" w:eastAsia="zh-CN"/>
              </w:rPr>
              <w:t>2</w:t>
            </w:r>
          </w:p>
        </w:tc>
        <w:tc>
          <w:tcPr>
            <w:tcW w:w="2176" w:type="dxa"/>
            <w:tcBorders>
              <w:top w:val="nil"/>
              <w:left w:val="single" w:color="auto" w:sz="4" w:space="0"/>
              <w:bottom w:val="single" w:color="auto" w:sz="4" w:space="0"/>
              <w:right w:val="single" w:color="auto" w:sz="8" w:space="0"/>
            </w:tcBorders>
            <w:shd w:val="clear" w:color="auto" w:fill="auto"/>
            <w:vAlign w:val="center"/>
          </w:tcPr>
          <w:p w14:paraId="2813AB23">
            <w:pPr>
              <w:widowControl/>
              <w:jc w:val="left"/>
              <w:rPr>
                <w:rFonts w:hint="eastAsia" w:eastAsia="仿宋"/>
                <w:color w:val="000000"/>
                <w:kern w:val="0"/>
                <w:sz w:val="22"/>
                <w:lang w:val="en-US" w:eastAsia="zh-CN"/>
              </w:rPr>
            </w:pPr>
            <w:r>
              <w:rPr>
                <w:rFonts w:hint="eastAsia" w:eastAsia="仿宋"/>
                <w:bCs/>
                <w:color w:val="000000"/>
                <w:kern w:val="0"/>
                <w:sz w:val="24"/>
                <w:lang w:val="en-US" w:eastAsia="zh-CN"/>
              </w:rPr>
              <w:t>已完成</w:t>
            </w:r>
          </w:p>
        </w:tc>
      </w:tr>
      <w:tr w14:paraId="72C316C2">
        <w:tblPrEx>
          <w:tblCellMar>
            <w:top w:w="0" w:type="dxa"/>
            <w:left w:w="108" w:type="dxa"/>
            <w:bottom w:w="0" w:type="dxa"/>
            <w:right w:w="108" w:type="dxa"/>
          </w:tblCellMar>
        </w:tblPrEx>
        <w:trPr>
          <w:trHeight w:val="923" w:hRule="atLeast"/>
        </w:trPr>
        <w:tc>
          <w:tcPr>
            <w:tcW w:w="1153" w:type="dxa"/>
            <w:vMerge w:val="restart"/>
            <w:tcBorders>
              <w:top w:val="single" w:color="auto" w:sz="4" w:space="0"/>
              <w:left w:val="single" w:color="auto" w:sz="4" w:space="0"/>
              <w:bottom w:val="single" w:color="auto" w:sz="8" w:space="0"/>
              <w:right w:val="single" w:color="auto" w:sz="8" w:space="0"/>
            </w:tcBorders>
            <w:shd w:val="clear" w:color="auto" w:fill="auto"/>
            <w:vAlign w:val="center"/>
          </w:tcPr>
          <w:p w14:paraId="1E4EB333">
            <w:pPr>
              <w:widowControl/>
              <w:jc w:val="left"/>
              <w:rPr>
                <w:rFonts w:eastAsia="仿宋"/>
                <w:color w:val="000000"/>
                <w:kern w:val="0"/>
                <w:sz w:val="24"/>
              </w:rPr>
            </w:pPr>
            <w:r>
              <w:rPr>
                <w:rFonts w:eastAsia="仿宋"/>
                <w:color w:val="000000"/>
                <w:kern w:val="0"/>
                <w:sz w:val="24"/>
              </w:rPr>
              <w:t>F加减分项（≤5分）</w:t>
            </w:r>
          </w:p>
        </w:tc>
        <w:tc>
          <w:tcPr>
            <w:tcW w:w="1267" w:type="dxa"/>
            <w:tcBorders>
              <w:top w:val="single" w:color="auto" w:sz="4" w:space="0"/>
              <w:left w:val="nil"/>
              <w:bottom w:val="single" w:color="auto" w:sz="8" w:space="0"/>
              <w:right w:val="single" w:color="auto" w:sz="8" w:space="0"/>
            </w:tcBorders>
            <w:shd w:val="clear" w:color="auto" w:fill="auto"/>
            <w:vAlign w:val="center"/>
          </w:tcPr>
          <w:p w14:paraId="54534C21">
            <w:pPr>
              <w:widowControl/>
              <w:jc w:val="left"/>
              <w:rPr>
                <w:rFonts w:eastAsia="仿宋"/>
                <w:color w:val="000000"/>
                <w:kern w:val="0"/>
                <w:sz w:val="24"/>
              </w:rPr>
            </w:pPr>
            <w:r>
              <w:rPr>
                <w:rFonts w:eastAsia="仿宋"/>
                <w:color w:val="000000"/>
                <w:kern w:val="0"/>
                <w:sz w:val="24"/>
              </w:rPr>
              <w:t>F1加分项</w:t>
            </w:r>
          </w:p>
        </w:tc>
        <w:tc>
          <w:tcPr>
            <w:tcW w:w="3760" w:type="dxa"/>
            <w:tcBorders>
              <w:top w:val="single" w:color="auto" w:sz="4" w:space="0"/>
              <w:left w:val="nil"/>
              <w:bottom w:val="single" w:color="auto" w:sz="8" w:space="0"/>
              <w:right w:val="single" w:color="auto" w:sz="8" w:space="0"/>
            </w:tcBorders>
            <w:shd w:val="clear" w:color="auto" w:fill="auto"/>
            <w:vAlign w:val="center"/>
          </w:tcPr>
          <w:p w14:paraId="5DE19D31">
            <w:pPr>
              <w:widowControl/>
              <w:jc w:val="left"/>
              <w:rPr>
                <w:rFonts w:eastAsia="仿宋"/>
                <w:color w:val="000000"/>
                <w:kern w:val="0"/>
                <w:sz w:val="24"/>
              </w:rPr>
            </w:pPr>
            <w:r>
              <w:rPr>
                <w:rFonts w:eastAsia="仿宋"/>
                <w:color w:val="000000"/>
                <w:kern w:val="0"/>
                <w:sz w:val="24"/>
              </w:rPr>
              <w:t>　不设三级指标</w:t>
            </w:r>
          </w:p>
        </w:tc>
        <w:tc>
          <w:tcPr>
            <w:tcW w:w="2939" w:type="dxa"/>
            <w:tcBorders>
              <w:top w:val="single" w:color="auto" w:sz="4" w:space="0"/>
              <w:left w:val="nil"/>
              <w:bottom w:val="single" w:color="auto" w:sz="8" w:space="0"/>
              <w:right w:val="single" w:color="auto" w:sz="8" w:space="0"/>
            </w:tcBorders>
            <w:shd w:val="clear" w:color="auto" w:fill="auto"/>
            <w:vAlign w:val="center"/>
          </w:tcPr>
          <w:p w14:paraId="4B4A7022">
            <w:pPr>
              <w:widowControl/>
              <w:jc w:val="left"/>
              <w:rPr>
                <w:rFonts w:eastAsia="仿宋"/>
                <w:color w:val="000000"/>
                <w:kern w:val="0"/>
                <w:sz w:val="24"/>
              </w:rPr>
            </w:pPr>
            <w:r>
              <w:rPr>
                <w:rFonts w:eastAsia="仿宋"/>
                <w:color w:val="000000"/>
                <w:kern w:val="0"/>
                <w:sz w:val="24"/>
              </w:rPr>
              <w:t>部门（单位）受到国务院、省级、市级嘉奖</w:t>
            </w:r>
          </w:p>
        </w:tc>
        <w:tc>
          <w:tcPr>
            <w:tcW w:w="2069" w:type="dxa"/>
            <w:tcBorders>
              <w:top w:val="single" w:color="auto" w:sz="4" w:space="0"/>
              <w:left w:val="nil"/>
              <w:bottom w:val="single" w:color="auto" w:sz="8" w:space="0"/>
              <w:right w:val="single" w:color="auto" w:sz="4" w:space="0"/>
            </w:tcBorders>
            <w:vAlign w:val="center"/>
          </w:tcPr>
          <w:p w14:paraId="48AF3B1E">
            <w:pPr>
              <w:widowControl/>
              <w:jc w:val="left"/>
              <w:rPr>
                <w:rFonts w:eastAsia="仿宋"/>
                <w:color w:val="000000"/>
                <w:kern w:val="0"/>
                <w:sz w:val="24"/>
              </w:rPr>
            </w:pPr>
            <w:r>
              <w:rPr>
                <w:rFonts w:eastAsia="仿宋"/>
                <w:color w:val="000000"/>
                <w:kern w:val="0"/>
                <w:sz w:val="24"/>
              </w:rPr>
              <w:t>受到国务院嘉奖加3分，受到省级嘉奖加2分，得到市级考核一等奖加1分，得到市级考核二等奖加0.5分；同一项工作不累计加分</w:t>
            </w:r>
          </w:p>
        </w:tc>
        <w:tc>
          <w:tcPr>
            <w:tcW w:w="799" w:type="dxa"/>
            <w:tcBorders>
              <w:top w:val="single" w:color="auto" w:sz="4" w:space="0"/>
              <w:left w:val="single" w:color="auto" w:sz="4" w:space="0"/>
              <w:bottom w:val="single" w:color="auto" w:sz="8" w:space="0"/>
              <w:right w:val="single" w:color="auto" w:sz="8" w:space="0"/>
            </w:tcBorders>
            <w:shd w:val="clear" w:color="auto" w:fill="auto"/>
            <w:vAlign w:val="center"/>
          </w:tcPr>
          <w:p w14:paraId="04A24C26">
            <w:pPr>
              <w:widowControl/>
              <w:ind w:firstLine="220" w:firstLineChars="100"/>
              <w:jc w:val="left"/>
              <w:rPr>
                <w:rFonts w:hint="default" w:eastAsia="仿宋"/>
                <w:color w:val="000000"/>
                <w:kern w:val="0"/>
                <w:sz w:val="24"/>
                <w:lang w:val="en-US" w:eastAsia="zh-CN"/>
              </w:rPr>
            </w:pPr>
            <w:r>
              <w:rPr>
                <w:rFonts w:hint="eastAsia" w:eastAsia="仿宋"/>
                <w:color w:val="000000"/>
                <w:kern w:val="0"/>
                <w:sz w:val="22"/>
                <w:lang w:val="en-US" w:eastAsia="zh-CN"/>
              </w:rPr>
              <w:t>0</w:t>
            </w:r>
          </w:p>
        </w:tc>
        <w:tc>
          <w:tcPr>
            <w:tcW w:w="2176" w:type="dxa"/>
            <w:tcBorders>
              <w:top w:val="single" w:color="auto" w:sz="4" w:space="0"/>
              <w:left w:val="single" w:color="auto" w:sz="4" w:space="0"/>
              <w:bottom w:val="single" w:color="auto" w:sz="8" w:space="0"/>
              <w:right w:val="single" w:color="auto" w:sz="4" w:space="0"/>
            </w:tcBorders>
            <w:shd w:val="clear" w:color="auto" w:fill="auto"/>
            <w:vAlign w:val="center"/>
          </w:tcPr>
          <w:p w14:paraId="48B41F3F">
            <w:pPr>
              <w:widowControl/>
              <w:jc w:val="left"/>
              <w:rPr>
                <w:rFonts w:hint="default" w:eastAsia="仿宋"/>
                <w:color w:val="000000"/>
                <w:kern w:val="0"/>
                <w:sz w:val="22"/>
                <w:lang w:val="en-US" w:eastAsia="zh-CN"/>
              </w:rPr>
            </w:pPr>
            <w:r>
              <w:rPr>
                <w:rFonts w:hint="eastAsia" w:eastAsia="仿宋"/>
                <w:color w:val="000000"/>
                <w:kern w:val="0"/>
                <w:sz w:val="22"/>
                <w:lang w:val="en-US" w:eastAsia="zh-CN"/>
              </w:rPr>
              <w:t>无相关嘉奖</w:t>
            </w:r>
          </w:p>
        </w:tc>
      </w:tr>
      <w:tr w14:paraId="02F38668">
        <w:tblPrEx>
          <w:tblCellMar>
            <w:top w:w="0" w:type="dxa"/>
            <w:left w:w="108" w:type="dxa"/>
            <w:bottom w:w="0" w:type="dxa"/>
            <w:right w:w="108" w:type="dxa"/>
          </w:tblCellMar>
        </w:tblPrEx>
        <w:trPr>
          <w:trHeight w:val="600" w:hRule="atLeast"/>
        </w:trPr>
        <w:tc>
          <w:tcPr>
            <w:tcW w:w="1153" w:type="dxa"/>
            <w:vMerge w:val="continue"/>
            <w:tcBorders>
              <w:top w:val="nil"/>
              <w:left w:val="single" w:color="auto" w:sz="4" w:space="0"/>
              <w:bottom w:val="single" w:color="auto" w:sz="4" w:space="0"/>
              <w:right w:val="single" w:color="auto" w:sz="8" w:space="0"/>
            </w:tcBorders>
            <w:vAlign w:val="center"/>
          </w:tcPr>
          <w:p w14:paraId="35D09529">
            <w:pPr>
              <w:widowControl/>
              <w:jc w:val="left"/>
              <w:rPr>
                <w:rFonts w:eastAsia="仿宋"/>
                <w:color w:val="000000"/>
                <w:kern w:val="0"/>
                <w:sz w:val="24"/>
              </w:rPr>
            </w:pPr>
          </w:p>
        </w:tc>
        <w:tc>
          <w:tcPr>
            <w:tcW w:w="1267" w:type="dxa"/>
            <w:tcBorders>
              <w:top w:val="nil"/>
              <w:left w:val="nil"/>
              <w:bottom w:val="single" w:color="auto" w:sz="4" w:space="0"/>
              <w:right w:val="single" w:color="auto" w:sz="8" w:space="0"/>
            </w:tcBorders>
            <w:shd w:val="clear" w:color="auto" w:fill="auto"/>
            <w:vAlign w:val="center"/>
          </w:tcPr>
          <w:p w14:paraId="52BA49D2">
            <w:pPr>
              <w:widowControl/>
              <w:jc w:val="left"/>
              <w:rPr>
                <w:rFonts w:eastAsia="仿宋"/>
                <w:color w:val="000000"/>
                <w:kern w:val="0"/>
                <w:sz w:val="24"/>
              </w:rPr>
            </w:pPr>
            <w:r>
              <w:rPr>
                <w:rFonts w:eastAsia="仿宋"/>
                <w:color w:val="000000"/>
                <w:kern w:val="0"/>
                <w:sz w:val="24"/>
              </w:rPr>
              <w:t>F2减分项</w:t>
            </w:r>
          </w:p>
        </w:tc>
        <w:tc>
          <w:tcPr>
            <w:tcW w:w="3760" w:type="dxa"/>
            <w:tcBorders>
              <w:top w:val="nil"/>
              <w:left w:val="nil"/>
              <w:bottom w:val="single" w:color="auto" w:sz="4" w:space="0"/>
              <w:right w:val="single" w:color="auto" w:sz="8" w:space="0"/>
            </w:tcBorders>
            <w:shd w:val="clear" w:color="auto" w:fill="auto"/>
            <w:vAlign w:val="center"/>
          </w:tcPr>
          <w:p w14:paraId="55A31602">
            <w:pPr>
              <w:widowControl/>
              <w:jc w:val="left"/>
              <w:rPr>
                <w:rFonts w:eastAsia="等线"/>
                <w:color w:val="000000"/>
                <w:kern w:val="0"/>
                <w:sz w:val="22"/>
              </w:rPr>
            </w:pPr>
            <w:r>
              <w:rPr>
                <w:rFonts w:eastAsia="等线"/>
                <w:color w:val="000000"/>
                <w:kern w:val="0"/>
                <w:sz w:val="22"/>
              </w:rPr>
              <w:t>　</w:t>
            </w:r>
            <w:r>
              <w:rPr>
                <w:rFonts w:eastAsia="仿宋"/>
                <w:color w:val="000000"/>
                <w:kern w:val="0"/>
                <w:sz w:val="24"/>
              </w:rPr>
              <w:t>不设三级指标</w:t>
            </w:r>
          </w:p>
        </w:tc>
        <w:tc>
          <w:tcPr>
            <w:tcW w:w="2939" w:type="dxa"/>
            <w:tcBorders>
              <w:top w:val="nil"/>
              <w:left w:val="nil"/>
              <w:bottom w:val="single" w:color="auto" w:sz="4" w:space="0"/>
              <w:right w:val="single" w:color="auto" w:sz="8" w:space="0"/>
            </w:tcBorders>
            <w:shd w:val="clear" w:color="auto" w:fill="auto"/>
            <w:vAlign w:val="center"/>
          </w:tcPr>
          <w:p w14:paraId="7280ED49">
            <w:pPr>
              <w:widowControl/>
              <w:jc w:val="left"/>
              <w:rPr>
                <w:rFonts w:eastAsia="仿宋"/>
                <w:color w:val="000000"/>
                <w:kern w:val="0"/>
                <w:sz w:val="24"/>
              </w:rPr>
            </w:pPr>
            <w:r>
              <w:rPr>
                <w:rFonts w:eastAsia="仿宋"/>
                <w:color w:val="000000"/>
                <w:kern w:val="0"/>
                <w:sz w:val="24"/>
              </w:rPr>
              <w:t>部门（单位）或工作人员违法违纪</w:t>
            </w:r>
          </w:p>
        </w:tc>
        <w:tc>
          <w:tcPr>
            <w:tcW w:w="2069" w:type="dxa"/>
            <w:tcBorders>
              <w:top w:val="nil"/>
              <w:left w:val="nil"/>
              <w:bottom w:val="single" w:color="auto" w:sz="4" w:space="0"/>
              <w:right w:val="single" w:color="auto" w:sz="4" w:space="0"/>
            </w:tcBorders>
            <w:vAlign w:val="center"/>
          </w:tcPr>
          <w:p w14:paraId="0135160F">
            <w:pPr>
              <w:widowControl/>
              <w:jc w:val="left"/>
              <w:rPr>
                <w:rFonts w:eastAsia="仿宋"/>
                <w:color w:val="000000"/>
                <w:kern w:val="0"/>
                <w:sz w:val="24"/>
              </w:rPr>
            </w:pPr>
            <w:r>
              <w:rPr>
                <w:rFonts w:eastAsia="仿宋"/>
                <w:color w:val="000000"/>
                <w:kern w:val="0"/>
                <w:sz w:val="24"/>
              </w:rPr>
              <w:t>酌情扣分</w:t>
            </w:r>
          </w:p>
        </w:tc>
        <w:tc>
          <w:tcPr>
            <w:tcW w:w="799" w:type="dxa"/>
            <w:tcBorders>
              <w:top w:val="nil"/>
              <w:left w:val="single" w:color="auto" w:sz="4" w:space="0"/>
              <w:bottom w:val="single" w:color="auto" w:sz="4" w:space="0"/>
              <w:right w:val="single" w:color="auto" w:sz="8" w:space="0"/>
            </w:tcBorders>
            <w:shd w:val="clear" w:color="auto" w:fill="auto"/>
            <w:vAlign w:val="center"/>
          </w:tcPr>
          <w:p w14:paraId="01EE7AA5">
            <w:pPr>
              <w:widowControl/>
              <w:jc w:val="left"/>
              <w:rPr>
                <w:rFonts w:eastAsia="仿宋"/>
                <w:color w:val="000000"/>
                <w:kern w:val="0"/>
                <w:sz w:val="24"/>
              </w:rPr>
            </w:pPr>
          </w:p>
        </w:tc>
        <w:tc>
          <w:tcPr>
            <w:tcW w:w="2176" w:type="dxa"/>
            <w:tcBorders>
              <w:top w:val="nil"/>
              <w:left w:val="single" w:color="auto" w:sz="4" w:space="0"/>
              <w:bottom w:val="single" w:color="auto" w:sz="4" w:space="0"/>
              <w:right w:val="single" w:color="auto" w:sz="4" w:space="0"/>
            </w:tcBorders>
            <w:shd w:val="clear" w:color="auto" w:fill="auto"/>
            <w:vAlign w:val="center"/>
          </w:tcPr>
          <w:p w14:paraId="2B12661B">
            <w:pPr>
              <w:widowControl/>
              <w:jc w:val="left"/>
              <w:rPr>
                <w:rFonts w:hint="default" w:eastAsia="仿宋"/>
                <w:color w:val="000000"/>
                <w:kern w:val="0"/>
                <w:sz w:val="24"/>
                <w:lang w:val="en-US" w:eastAsia="zh-CN"/>
              </w:rPr>
            </w:pPr>
            <w:r>
              <w:rPr>
                <w:rFonts w:hint="eastAsia" w:eastAsia="仿宋"/>
                <w:color w:val="000000"/>
                <w:kern w:val="0"/>
                <w:sz w:val="24"/>
                <w:lang w:val="en-US" w:eastAsia="zh-CN"/>
              </w:rPr>
              <w:t>无违纪违法</w:t>
            </w:r>
          </w:p>
        </w:tc>
      </w:tr>
      <w:tr w14:paraId="1E9DABB7">
        <w:tblPrEx>
          <w:tblCellMar>
            <w:top w:w="0" w:type="dxa"/>
            <w:left w:w="108" w:type="dxa"/>
            <w:bottom w:w="0" w:type="dxa"/>
            <w:right w:w="108" w:type="dxa"/>
          </w:tblCellMar>
        </w:tblPrEx>
        <w:trPr>
          <w:trHeight w:val="600" w:hRule="atLeast"/>
        </w:trPr>
        <w:tc>
          <w:tcPr>
            <w:tcW w:w="1153" w:type="dxa"/>
            <w:tcBorders>
              <w:top w:val="single" w:color="auto" w:sz="4" w:space="0"/>
              <w:left w:val="single" w:color="auto" w:sz="8" w:space="0"/>
              <w:bottom w:val="single" w:color="auto" w:sz="8" w:space="0"/>
              <w:right w:val="single" w:color="auto" w:sz="8" w:space="0"/>
            </w:tcBorders>
            <w:vAlign w:val="center"/>
          </w:tcPr>
          <w:p w14:paraId="634A2AA7">
            <w:pPr>
              <w:widowControl/>
              <w:jc w:val="left"/>
              <w:rPr>
                <w:rFonts w:hint="eastAsia" w:eastAsia="仿宋"/>
                <w:color w:val="000000"/>
                <w:kern w:val="0"/>
                <w:sz w:val="24"/>
                <w:lang w:val="en-US" w:eastAsia="zh-CN"/>
              </w:rPr>
            </w:pPr>
            <w:r>
              <w:rPr>
                <w:rFonts w:hint="eastAsia" w:eastAsia="仿宋"/>
                <w:color w:val="000000"/>
                <w:kern w:val="0"/>
                <w:sz w:val="24"/>
                <w:lang w:val="en-US" w:eastAsia="zh-CN"/>
              </w:rPr>
              <w:t>合计</w:t>
            </w:r>
          </w:p>
        </w:tc>
        <w:tc>
          <w:tcPr>
            <w:tcW w:w="1267" w:type="dxa"/>
            <w:tcBorders>
              <w:top w:val="single" w:color="auto" w:sz="4" w:space="0"/>
              <w:left w:val="nil"/>
              <w:bottom w:val="single" w:color="auto" w:sz="8" w:space="0"/>
              <w:right w:val="single" w:color="auto" w:sz="8" w:space="0"/>
            </w:tcBorders>
            <w:shd w:val="clear" w:color="auto" w:fill="auto"/>
            <w:vAlign w:val="center"/>
          </w:tcPr>
          <w:p w14:paraId="5CC9A295">
            <w:pPr>
              <w:widowControl/>
              <w:jc w:val="left"/>
              <w:rPr>
                <w:rFonts w:eastAsia="仿宋"/>
                <w:color w:val="000000"/>
                <w:kern w:val="0"/>
                <w:sz w:val="24"/>
              </w:rPr>
            </w:pPr>
          </w:p>
        </w:tc>
        <w:tc>
          <w:tcPr>
            <w:tcW w:w="3760" w:type="dxa"/>
            <w:tcBorders>
              <w:top w:val="single" w:color="auto" w:sz="4" w:space="0"/>
              <w:left w:val="nil"/>
              <w:bottom w:val="single" w:color="auto" w:sz="8" w:space="0"/>
              <w:right w:val="single" w:color="auto" w:sz="8" w:space="0"/>
            </w:tcBorders>
            <w:shd w:val="clear" w:color="auto" w:fill="auto"/>
            <w:vAlign w:val="center"/>
          </w:tcPr>
          <w:p w14:paraId="4B4D72A9">
            <w:pPr>
              <w:widowControl/>
              <w:jc w:val="left"/>
              <w:rPr>
                <w:rFonts w:eastAsia="等线"/>
                <w:color w:val="000000"/>
                <w:kern w:val="0"/>
                <w:sz w:val="22"/>
              </w:rPr>
            </w:pPr>
          </w:p>
        </w:tc>
        <w:tc>
          <w:tcPr>
            <w:tcW w:w="2939" w:type="dxa"/>
            <w:tcBorders>
              <w:top w:val="single" w:color="auto" w:sz="4" w:space="0"/>
              <w:left w:val="nil"/>
              <w:bottom w:val="single" w:color="auto" w:sz="8" w:space="0"/>
              <w:right w:val="single" w:color="auto" w:sz="8" w:space="0"/>
            </w:tcBorders>
            <w:shd w:val="clear" w:color="auto" w:fill="auto"/>
            <w:vAlign w:val="center"/>
          </w:tcPr>
          <w:p w14:paraId="540FE45D">
            <w:pPr>
              <w:widowControl/>
              <w:jc w:val="left"/>
              <w:rPr>
                <w:rFonts w:eastAsia="仿宋"/>
                <w:color w:val="000000"/>
                <w:kern w:val="0"/>
                <w:sz w:val="24"/>
              </w:rPr>
            </w:pPr>
          </w:p>
        </w:tc>
        <w:tc>
          <w:tcPr>
            <w:tcW w:w="2069" w:type="dxa"/>
            <w:tcBorders>
              <w:top w:val="single" w:color="auto" w:sz="4" w:space="0"/>
              <w:left w:val="nil"/>
              <w:bottom w:val="single" w:color="auto" w:sz="8" w:space="0"/>
              <w:right w:val="single" w:color="auto" w:sz="4" w:space="0"/>
            </w:tcBorders>
            <w:vAlign w:val="center"/>
          </w:tcPr>
          <w:p w14:paraId="16CEFB29">
            <w:pPr>
              <w:widowControl/>
              <w:jc w:val="left"/>
              <w:rPr>
                <w:rFonts w:eastAsia="仿宋"/>
                <w:color w:val="000000"/>
                <w:kern w:val="0"/>
                <w:sz w:val="24"/>
              </w:rPr>
            </w:pPr>
          </w:p>
        </w:tc>
        <w:tc>
          <w:tcPr>
            <w:tcW w:w="799" w:type="dxa"/>
            <w:tcBorders>
              <w:top w:val="single" w:color="auto" w:sz="4" w:space="0"/>
              <w:left w:val="single" w:color="auto" w:sz="4" w:space="0"/>
              <w:bottom w:val="single" w:color="auto" w:sz="8" w:space="0"/>
              <w:right w:val="single" w:color="auto" w:sz="8" w:space="0"/>
            </w:tcBorders>
            <w:shd w:val="clear" w:color="auto" w:fill="auto"/>
            <w:vAlign w:val="center"/>
          </w:tcPr>
          <w:p w14:paraId="1D5A83C2">
            <w:pPr>
              <w:widowControl/>
              <w:jc w:val="left"/>
              <w:rPr>
                <w:rFonts w:hint="default" w:eastAsia="仿宋"/>
                <w:color w:val="000000"/>
                <w:kern w:val="0"/>
                <w:sz w:val="24"/>
                <w:lang w:val="en-US" w:eastAsia="zh-CN"/>
              </w:rPr>
            </w:pPr>
            <w:r>
              <w:rPr>
                <w:rFonts w:hint="eastAsia" w:eastAsia="仿宋"/>
                <w:color w:val="000000"/>
                <w:kern w:val="0"/>
                <w:sz w:val="24"/>
                <w:lang w:val="en-US" w:eastAsia="zh-CN"/>
              </w:rPr>
              <w:t>100</w:t>
            </w:r>
          </w:p>
        </w:tc>
        <w:tc>
          <w:tcPr>
            <w:tcW w:w="2176" w:type="dxa"/>
            <w:tcBorders>
              <w:top w:val="single" w:color="auto" w:sz="4" w:space="0"/>
              <w:left w:val="single" w:color="auto" w:sz="4" w:space="0"/>
              <w:bottom w:val="single" w:color="auto" w:sz="8" w:space="0"/>
              <w:right w:val="single" w:color="auto" w:sz="8" w:space="0"/>
            </w:tcBorders>
            <w:shd w:val="clear" w:color="auto" w:fill="auto"/>
            <w:vAlign w:val="center"/>
          </w:tcPr>
          <w:p w14:paraId="494E8574">
            <w:pPr>
              <w:widowControl/>
              <w:jc w:val="left"/>
              <w:rPr>
                <w:rFonts w:hint="eastAsia" w:eastAsia="仿宋"/>
                <w:color w:val="000000"/>
                <w:kern w:val="0"/>
                <w:sz w:val="24"/>
                <w:lang w:val="en-US" w:eastAsia="zh-CN"/>
              </w:rPr>
            </w:pPr>
          </w:p>
        </w:tc>
      </w:tr>
    </w:tbl>
    <w:p w14:paraId="224C5D94">
      <w:pPr>
        <w:keepNext w:val="0"/>
        <w:keepLines w:val="0"/>
        <w:pageBreakBefore w:val="0"/>
        <w:widowControl w:val="0"/>
        <w:tabs>
          <w:tab w:val="left" w:pos="1298"/>
        </w:tabs>
        <w:kinsoku/>
        <w:wordWrap/>
        <w:overflowPunct/>
        <w:topLinePunct w:val="0"/>
        <w:autoSpaceDE/>
        <w:autoSpaceDN/>
        <w:bidi w:val="0"/>
        <w:adjustRightInd/>
        <w:snapToGrid/>
        <w:spacing w:line="20" w:lineRule="exact"/>
        <w:jc w:val="left"/>
        <w:textAlignment w:val="auto"/>
        <w:rPr>
          <w:rFonts w:hint="eastAsia"/>
          <w:lang w:val="en-US" w:eastAsia="zh-CN"/>
        </w:rPr>
      </w:pPr>
    </w:p>
    <w:sectPr>
      <w:type w:val="continuous"/>
      <w:pgSz w:w="16838" w:h="11906" w:orient="landscape"/>
      <w:pgMar w:top="1800" w:right="1440" w:bottom="1800" w:left="144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8F631C">
    <w:pPr>
      <w:spacing w:line="233" w:lineRule="auto"/>
      <w:ind w:left="3932"/>
      <w:rPr>
        <w:rFonts w:ascii="宋体" w:hAnsi="宋体" w:eastAsia="宋体" w:cs="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8A540F">
                          <w:pPr>
                            <w:pStyle w:val="4"/>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248A540F">
                    <w:pPr>
                      <w:pStyle w:val="4"/>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9930E6"/>
    <w:multiLevelType w:val="singleLevel"/>
    <w:tmpl w:val="CB9930E6"/>
    <w:lvl w:ilvl="0" w:tentative="0">
      <w:start w:val="2"/>
      <w:numFmt w:val="chineseCounting"/>
      <w:suff w:val="nothing"/>
      <w:lvlText w:val="（%1）"/>
      <w:lvlJc w:val="left"/>
      <w:rPr>
        <w:rFonts w:hint="eastAsia"/>
      </w:rPr>
    </w:lvl>
  </w:abstractNum>
  <w:abstractNum w:abstractNumId="1">
    <w:nsid w:val="718018A0"/>
    <w:multiLevelType w:val="singleLevel"/>
    <w:tmpl w:val="718018A0"/>
    <w:lvl w:ilvl="0" w:tentative="0">
      <w:start w:val="4"/>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UwOGM0ZThlMDZlYjMxNjRjNzAyZTI0ZGVjZDVjYzgifQ=="/>
  </w:docVars>
  <w:rsids>
    <w:rsidRoot w:val="002036E7"/>
    <w:rsid w:val="0007400B"/>
    <w:rsid w:val="000C4B61"/>
    <w:rsid w:val="002036E7"/>
    <w:rsid w:val="003F377E"/>
    <w:rsid w:val="00400FD6"/>
    <w:rsid w:val="00580005"/>
    <w:rsid w:val="005C0391"/>
    <w:rsid w:val="00670BA6"/>
    <w:rsid w:val="007677A4"/>
    <w:rsid w:val="00911340"/>
    <w:rsid w:val="009D42E3"/>
    <w:rsid w:val="00A407C6"/>
    <w:rsid w:val="00A64D6B"/>
    <w:rsid w:val="00AB3D7C"/>
    <w:rsid w:val="00AD4E23"/>
    <w:rsid w:val="00AE17F5"/>
    <w:rsid w:val="00CB1446"/>
    <w:rsid w:val="00E10BE8"/>
    <w:rsid w:val="00FF5E66"/>
    <w:rsid w:val="036B7036"/>
    <w:rsid w:val="0584137A"/>
    <w:rsid w:val="074958E1"/>
    <w:rsid w:val="090A060C"/>
    <w:rsid w:val="0BEA0735"/>
    <w:rsid w:val="0EAC3AD6"/>
    <w:rsid w:val="0F660215"/>
    <w:rsid w:val="1BC12E5B"/>
    <w:rsid w:val="1CA509FB"/>
    <w:rsid w:val="1CA83FD4"/>
    <w:rsid w:val="30C4484E"/>
    <w:rsid w:val="36CF0DA9"/>
    <w:rsid w:val="393F6743"/>
    <w:rsid w:val="3C047071"/>
    <w:rsid w:val="3CE44B03"/>
    <w:rsid w:val="3E130EB6"/>
    <w:rsid w:val="3E1A2F31"/>
    <w:rsid w:val="3E4A6348"/>
    <w:rsid w:val="42131432"/>
    <w:rsid w:val="42F75369"/>
    <w:rsid w:val="46A771C9"/>
    <w:rsid w:val="47AB1F78"/>
    <w:rsid w:val="53F97EB1"/>
    <w:rsid w:val="542C4131"/>
    <w:rsid w:val="62187015"/>
    <w:rsid w:val="63FC34E2"/>
    <w:rsid w:val="64C810C7"/>
    <w:rsid w:val="687A72EA"/>
    <w:rsid w:val="694E7A05"/>
    <w:rsid w:val="6BB8648D"/>
    <w:rsid w:val="73177E6E"/>
    <w:rsid w:val="7A446742"/>
    <w:rsid w:val="7E283A12"/>
    <w:rsid w:val="7EDE06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2"/>
    <w:qFormat/>
    <w:uiPriority w:val="1"/>
    <w:pPr>
      <w:autoSpaceDE w:val="0"/>
      <w:autoSpaceDN w:val="0"/>
      <w:jc w:val="left"/>
    </w:pPr>
    <w:rPr>
      <w:rFonts w:ascii="仿宋" w:hAnsi="仿宋" w:eastAsia="仿宋" w:cs="仿宋"/>
      <w:kern w:val="0"/>
      <w:sz w:val="32"/>
      <w:szCs w:val="32"/>
      <w:lang w:val="zh-CN" w:bidi="zh-CN"/>
    </w:rPr>
  </w:style>
  <w:style w:type="paragraph" w:styleId="3">
    <w:name w:val="Balloon Text"/>
    <w:basedOn w:val="1"/>
    <w:link w:val="16"/>
    <w:semiHidden/>
    <w:unhideWhenUsed/>
    <w:qFormat/>
    <w:uiPriority w:val="99"/>
    <w:rPr>
      <w:sz w:val="18"/>
      <w:szCs w:val="18"/>
    </w:rPr>
  </w:style>
  <w:style w:type="paragraph" w:styleId="4">
    <w:name w:val="footer"/>
    <w:basedOn w:val="1"/>
    <w:link w:val="10"/>
    <w:unhideWhenUsed/>
    <w:qFormat/>
    <w:uiPriority w:val="99"/>
    <w:pPr>
      <w:tabs>
        <w:tab w:val="center" w:pos="4153"/>
        <w:tab w:val="right" w:pos="8306"/>
      </w:tabs>
      <w:snapToGrid w:val="0"/>
      <w:jc w:val="left"/>
    </w:pPr>
    <w:rPr>
      <w:sz w:val="18"/>
      <w:szCs w:val="18"/>
    </w:rPr>
  </w:style>
  <w:style w:type="paragraph" w:styleId="5">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59"/>
    <w:rPr>
      <w:rFonts w:ascii="Calibri" w:hAnsi="Calibri" w:eastAsia="宋体"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customStyle="1" w:styleId="9">
    <w:name w:val="页眉 Char"/>
    <w:basedOn w:val="8"/>
    <w:link w:val="5"/>
    <w:qFormat/>
    <w:uiPriority w:val="99"/>
    <w:rPr>
      <w:rFonts w:ascii="Times New Roman" w:hAnsi="Times New Roman" w:eastAsia="宋体" w:cs="Times New Roman"/>
      <w:sz w:val="18"/>
      <w:szCs w:val="18"/>
    </w:rPr>
  </w:style>
  <w:style w:type="character" w:customStyle="1" w:styleId="10">
    <w:name w:val="页脚 Char"/>
    <w:basedOn w:val="8"/>
    <w:link w:val="4"/>
    <w:qFormat/>
    <w:uiPriority w:val="99"/>
    <w:rPr>
      <w:rFonts w:ascii="Times New Roman" w:hAnsi="Times New Roman" w:eastAsia="宋体" w:cs="Times New Roman"/>
      <w:sz w:val="18"/>
      <w:szCs w:val="18"/>
    </w:rPr>
  </w:style>
  <w:style w:type="table" w:customStyle="1" w:styleId="11">
    <w:name w:val="Table Normal"/>
    <w:semiHidden/>
    <w:unhideWhenUsed/>
    <w:qFormat/>
    <w:uiPriority w:val="2"/>
    <w:pPr>
      <w:widowControl w:val="0"/>
      <w:autoSpaceDE w:val="0"/>
      <w:autoSpaceDN w:val="0"/>
    </w:pPr>
    <w:rPr>
      <w:kern w:val="0"/>
      <w:sz w:val="22"/>
      <w:lang w:eastAsia="en-US"/>
    </w:rPr>
    <w:tblPr>
      <w:tblCellMar>
        <w:top w:w="0" w:type="dxa"/>
        <w:left w:w="0" w:type="dxa"/>
        <w:bottom w:w="0" w:type="dxa"/>
        <w:right w:w="0" w:type="dxa"/>
      </w:tblCellMar>
    </w:tblPr>
  </w:style>
  <w:style w:type="character" w:customStyle="1" w:styleId="12">
    <w:name w:val="正文文本 Char"/>
    <w:basedOn w:val="8"/>
    <w:link w:val="2"/>
    <w:qFormat/>
    <w:uiPriority w:val="1"/>
    <w:rPr>
      <w:rFonts w:ascii="仿宋" w:hAnsi="仿宋" w:eastAsia="仿宋" w:cs="仿宋"/>
      <w:kern w:val="0"/>
      <w:sz w:val="32"/>
      <w:szCs w:val="32"/>
      <w:lang w:val="zh-CN" w:bidi="zh-CN"/>
    </w:rPr>
  </w:style>
  <w:style w:type="paragraph" w:customStyle="1" w:styleId="13">
    <w:name w:val="标题 11"/>
    <w:basedOn w:val="1"/>
    <w:qFormat/>
    <w:uiPriority w:val="1"/>
    <w:pPr>
      <w:autoSpaceDE w:val="0"/>
      <w:autoSpaceDN w:val="0"/>
      <w:ind w:left="150" w:right="96"/>
      <w:jc w:val="center"/>
      <w:outlineLvl w:val="1"/>
    </w:pPr>
    <w:rPr>
      <w:rFonts w:ascii="方正小标宋简体" w:hAnsi="方正小标宋简体" w:eastAsia="方正小标宋简体" w:cs="方正小标宋简体"/>
      <w:kern w:val="0"/>
      <w:sz w:val="44"/>
      <w:szCs w:val="44"/>
      <w:lang w:val="zh-CN" w:bidi="zh-CN"/>
    </w:rPr>
  </w:style>
  <w:style w:type="paragraph" w:customStyle="1" w:styleId="14">
    <w:name w:val="Table Paragraph"/>
    <w:basedOn w:val="1"/>
    <w:qFormat/>
    <w:uiPriority w:val="1"/>
    <w:pPr>
      <w:autoSpaceDE w:val="0"/>
      <w:autoSpaceDN w:val="0"/>
      <w:jc w:val="left"/>
    </w:pPr>
    <w:rPr>
      <w:rFonts w:ascii="仿宋" w:hAnsi="仿宋" w:eastAsia="仿宋" w:cs="仿宋"/>
      <w:kern w:val="0"/>
      <w:sz w:val="22"/>
      <w:szCs w:val="22"/>
      <w:lang w:val="zh-CN" w:bidi="zh-CN"/>
    </w:rPr>
  </w:style>
  <w:style w:type="paragraph" w:customStyle="1" w:styleId="15">
    <w:name w:val="Default"/>
    <w:qFormat/>
    <w:uiPriority w:val="0"/>
    <w:pPr>
      <w:widowControl w:val="0"/>
      <w:autoSpaceDE w:val="0"/>
      <w:autoSpaceDN w:val="0"/>
      <w:adjustRightInd w:val="0"/>
    </w:pPr>
    <w:rPr>
      <w:rFonts w:ascii="仿宋_GB2312" w:hAnsi="Times New Roman" w:eastAsia="仿宋_GB2312" w:cs="仿宋_GB2312"/>
      <w:color w:val="000000"/>
      <w:kern w:val="0"/>
      <w:sz w:val="24"/>
      <w:szCs w:val="24"/>
      <w:lang w:val="en-US" w:eastAsia="zh-CN" w:bidi="ar-SA"/>
    </w:rPr>
  </w:style>
  <w:style w:type="character" w:customStyle="1" w:styleId="16">
    <w:name w:val="批注框文本 Char"/>
    <w:basedOn w:val="8"/>
    <w:link w:val="3"/>
    <w:semiHidden/>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723</Words>
  <Characters>899</Characters>
  <Lines>31</Lines>
  <Paragraphs>8</Paragraphs>
  <TotalTime>87</TotalTime>
  <ScaleCrop>false</ScaleCrop>
  <LinksUpToDate>false</LinksUpToDate>
  <CharactersWithSpaces>902</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2023-02-17T03:29:00Z</dcterms:created>
  <dc:creator>lenovo1</dc:creator>
  <cp:lastModifiedBy>陌生的路人</cp:lastModifiedBy>
  <cp:lastPrinted>2026-06-25T02:23:15Z</cp:lastPrinted>
  <dcterms:modified xsi:type="dcterms:W3CDTF">2026-06-25T04:23:58Z</dcterms:modified>
  <dc:title>2024年度南京市农村合作经济经营管理站</dc:title>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8E7193944D684732A58D013ED81097A9_13</vt:lpwstr>
  </property>
  <property fmtid="{D5CDD505-2E9C-101B-9397-08002B2CF9AE}" pid="4" name="KSOTemplateDocerSaveRecord">
    <vt:lpwstr>eyJoZGlkIjoiNmZkN2M5MjNmZDlhNjExMjA0ODljZjUyOTNkNjhiNzYiLCJ1c2VySWQiOiIzOTczMDc0MDEifQ==</vt:lpwstr>
  </property>
</Properties>
</file>