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FD6" w:rsidRPr="00FD1D81" w:rsidRDefault="00FB0C76" w:rsidP="0021061D">
      <w:pPr>
        <w:widowControl/>
        <w:spacing w:line="560" w:lineRule="exact"/>
        <w:ind w:firstLineChars="200" w:firstLine="880"/>
        <w:jc w:val="center"/>
        <w:rPr>
          <w:rFonts w:asciiTheme="majorEastAsia" w:eastAsiaTheme="majorEastAsia" w:hAnsiTheme="majorEastAsia"/>
          <w:color w:val="000000" w:themeColor="text1"/>
          <w:sz w:val="44"/>
          <w:szCs w:val="44"/>
        </w:rPr>
      </w:pPr>
      <w:bookmarkStart w:id="0" w:name="OLE_LINK3"/>
      <w:r w:rsidRPr="00FD1D81">
        <w:rPr>
          <w:rFonts w:asciiTheme="majorEastAsia" w:eastAsiaTheme="majorEastAsia" w:hAnsiTheme="majorEastAsia"/>
          <w:color w:val="000000" w:themeColor="text1"/>
          <w:sz w:val="44"/>
          <w:szCs w:val="44"/>
        </w:rPr>
        <w:t>2025年度南京市蔬菜科学研究所</w:t>
      </w:r>
    </w:p>
    <w:p w:rsidR="00F12FD6" w:rsidRPr="00FD1D81" w:rsidRDefault="00F02F63" w:rsidP="0021061D">
      <w:pPr>
        <w:widowControl/>
        <w:spacing w:line="560" w:lineRule="exact"/>
        <w:ind w:firstLineChars="200" w:firstLine="880"/>
        <w:jc w:val="center"/>
        <w:rPr>
          <w:rFonts w:asciiTheme="majorEastAsia" w:eastAsiaTheme="majorEastAsia" w:hAnsiTheme="majorEastAsia"/>
          <w:color w:val="000000" w:themeColor="text1"/>
          <w:kern w:val="0"/>
          <w:sz w:val="44"/>
          <w:szCs w:val="44"/>
        </w:rPr>
      </w:pPr>
      <w:r>
        <w:rPr>
          <w:rFonts w:asciiTheme="majorEastAsia" w:eastAsiaTheme="majorEastAsia" w:hAnsiTheme="majorEastAsia"/>
          <w:color w:val="000000" w:themeColor="text1"/>
          <w:sz w:val="44"/>
          <w:szCs w:val="44"/>
        </w:rPr>
        <w:t>整体绩效</w:t>
      </w:r>
      <w:r w:rsidR="00FB0C76" w:rsidRPr="00FD1D81">
        <w:rPr>
          <w:rFonts w:asciiTheme="majorEastAsia" w:eastAsiaTheme="majorEastAsia" w:hAnsiTheme="majorEastAsia"/>
          <w:color w:val="000000" w:themeColor="text1"/>
          <w:sz w:val="44"/>
          <w:szCs w:val="44"/>
        </w:rPr>
        <w:t>评价报告</w:t>
      </w:r>
    </w:p>
    <w:p w:rsidR="00F12FD6" w:rsidRDefault="00F12FD6" w:rsidP="0021061D">
      <w:pPr>
        <w:widowControl/>
        <w:spacing w:line="560" w:lineRule="exact"/>
        <w:ind w:firstLineChars="200" w:firstLine="643"/>
        <w:rPr>
          <w:rFonts w:eastAsia="仿宋"/>
          <w:b/>
          <w:bCs/>
          <w:color w:val="000000" w:themeColor="text1"/>
          <w:kern w:val="0"/>
          <w:sz w:val="32"/>
          <w:szCs w:val="32"/>
        </w:rPr>
      </w:pPr>
    </w:p>
    <w:p w:rsidR="00F12FD6" w:rsidRPr="00FD1D81" w:rsidRDefault="00FB0C76" w:rsidP="0021061D">
      <w:pPr>
        <w:widowControl/>
        <w:spacing w:line="560" w:lineRule="exact"/>
        <w:ind w:firstLineChars="200" w:firstLine="640"/>
        <w:rPr>
          <w:rFonts w:ascii="黑体" w:eastAsia="黑体" w:hAnsi="黑体"/>
          <w:color w:val="000000" w:themeColor="text1"/>
          <w:kern w:val="0"/>
          <w:sz w:val="32"/>
          <w:szCs w:val="32"/>
        </w:rPr>
      </w:pPr>
      <w:r w:rsidRPr="00FD1D81">
        <w:rPr>
          <w:rFonts w:ascii="黑体" w:eastAsia="黑体" w:hAnsi="黑体"/>
          <w:color w:val="000000" w:themeColor="text1"/>
          <w:kern w:val="0"/>
          <w:sz w:val="32"/>
          <w:szCs w:val="32"/>
        </w:rPr>
        <w:t>一、</w:t>
      </w:r>
      <w:r w:rsidR="00FD1D81" w:rsidRPr="00FD1D81">
        <w:rPr>
          <w:rFonts w:ascii="黑体" w:eastAsia="黑体" w:hAnsi="黑体" w:hint="eastAsia"/>
          <w:color w:val="000000" w:themeColor="text1"/>
          <w:kern w:val="0"/>
          <w:sz w:val="32"/>
          <w:szCs w:val="32"/>
        </w:rPr>
        <w:t>部门</w:t>
      </w:r>
      <w:r w:rsidR="00FD1D81" w:rsidRPr="00FD1D81">
        <w:rPr>
          <w:rFonts w:ascii="黑体" w:eastAsia="黑体" w:hAnsi="黑体"/>
          <w:color w:val="000000" w:themeColor="text1"/>
          <w:kern w:val="0"/>
          <w:sz w:val="32"/>
          <w:szCs w:val="32"/>
        </w:rPr>
        <w:t>概况</w:t>
      </w:r>
    </w:p>
    <w:p w:rsidR="00F12FD6" w:rsidRPr="00FD1D81" w:rsidRDefault="00FB0C76" w:rsidP="0021061D">
      <w:pPr>
        <w:widowControl/>
        <w:spacing w:line="560" w:lineRule="exact"/>
        <w:ind w:firstLineChars="200" w:firstLine="640"/>
        <w:rPr>
          <w:rFonts w:ascii="楷体" w:eastAsia="楷体" w:hAnsi="楷体"/>
          <w:kern w:val="0"/>
          <w:sz w:val="32"/>
          <w:szCs w:val="32"/>
        </w:rPr>
      </w:pPr>
      <w:r w:rsidRPr="00FD1D81">
        <w:rPr>
          <w:rFonts w:ascii="楷体" w:eastAsia="楷体" w:hAnsi="楷体"/>
          <w:kern w:val="0"/>
          <w:sz w:val="32"/>
          <w:szCs w:val="32"/>
        </w:rPr>
        <w:t>(</w:t>
      </w:r>
      <w:proofErr w:type="gramStart"/>
      <w:r w:rsidRPr="00FD1D81">
        <w:rPr>
          <w:rFonts w:ascii="楷体" w:eastAsia="楷体" w:hAnsi="楷体"/>
          <w:kern w:val="0"/>
          <w:sz w:val="32"/>
          <w:szCs w:val="32"/>
        </w:rPr>
        <w:t>一</w:t>
      </w:r>
      <w:proofErr w:type="gramEnd"/>
      <w:r w:rsidRPr="00FD1D81">
        <w:rPr>
          <w:rFonts w:ascii="楷体" w:eastAsia="楷体" w:hAnsi="楷体"/>
          <w:kern w:val="0"/>
          <w:sz w:val="32"/>
          <w:szCs w:val="32"/>
        </w:rPr>
        <w:t>)</w:t>
      </w:r>
      <w:r w:rsidR="00FD1D81" w:rsidRPr="00FD1D81">
        <w:rPr>
          <w:rFonts w:ascii="楷体" w:eastAsia="楷体" w:hAnsi="楷体" w:hint="eastAsia"/>
          <w:kern w:val="0"/>
          <w:sz w:val="32"/>
          <w:szCs w:val="32"/>
        </w:rPr>
        <w:t>部门</w:t>
      </w:r>
      <w:r w:rsidR="00FD1D81" w:rsidRPr="00FD1D81">
        <w:rPr>
          <w:rFonts w:ascii="楷体" w:eastAsia="楷体" w:hAnsi="楷体"/>
          <w:kern w:val="0"/>
          <w:sz w:val="32"/>
          <w:szCs w:val="32"/>
        </w:rPr>
        <w:t>基本情况</w:t>
      </w:r>
    </w:p>
    <w:p w:rsidR="00F12FD6" w:rsidRPr="00FD1D81" w:rsidRDefault="00FB0C76" w:rsidP="0021061D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FD1D81">
        <w:rPr>
          <w:rFonts w:ascii="仿宋" w:eastAsia="仿宋" w:hAnsi="仿宋"/>
          <w:color w:val="000000" w:themeColor="text1"/>
          <w:sz w:val="32"/>
          <w:szCs w:val="32"/>
        </w:rPr>
        <w:t>南京市蔬菜科学研究所（南京市花卉科学研究所）为全额财政拨款事业单位，属于南京市农业农村局二级预算单位，取得南京市事业单位登记管理局颁发的事业单位法人证书，统一社会信用代码12320100425801356F。法定代表人</w:t>
      </w:r>
      <w:proofErr w:type="gramStart"/>
      <w:r w:rsidRPr="00FD1D81">
        <w:rPr>
          <w:rFonts w:ascii="仿宋" w:eastAsia="仿宋" w:hAnsi="仿宋"/>
          <w:color w:val="000000" w:themeColor="text1"/>
          <w:sz w:val="32"/>
          <w:szCs w:val="32"/>
        </w:rPr>
        <w:t>伍冠锁</w:t>
      </w:r>
      <w:proofErr w:type="gramEnd"/>
      <w:r w:rsidRPr="00FD1D81">
        <w:rPr>
          <w:rFonts w:ascii="仿宋" w:eastAsia="仿宋" w:hAnsi="仿宋"/>
          <w:color w:val="000000" w:themeColor="text1"/>
          <w:sz w:val="32"/>
          <w:szCs w:val="32"/>
        </w:rPr>
        <w:t>。经费来源全额拨款。开办资金1101万元。地址为南京市玄武区龙</w:t>
      </w:r>
      <w:proofErr w:type="gramStart"/>
      <w:r w:rsidRPr="00FD1D81">
        <w:rPr>
          <w:rFonts w:ascii="仿宋" w:eastAsia="仿宋" w:hAnsi="仿宋"/>
          <w:color w:val="000000" w:themeColor="text1"/>
          <w:sz w:val="32"/>
          <w:szCs w:val="32"/>
        </w:rPr>
        <w:t>蟠</w:t>
      </w:r>
      <w:proofErr w:type="gramEnd"/>
      <w:r w:rsidRPr="00FD1D81">
        <w:rPr>
          <w:rFonts w:ascii="仿宋" w:eastAsia="仿宋" w:hAnsi="仿宋"/>
          <w:color w:val="000000" w:themeColor="text1"/>
          <w:sz w:val="32"/>
          <w:szCs w:val="32"/>
        </w:rPr>
        <w:t>路183号。主要职责是开展蔬菜花卉种质资源收集保护、新品种引进培育和示范推广工作；开展蔬菜花卉病虫害发生规律及防治技术研究工作；开展土壤地力提升和设施蔬菜连作障碍防控技术研究推广；承担蔬菜、花卉技术标准的制定、指导；开展蔬菜花卉共性技术研究推广、培训工作。</w:t>
      </w:r>
    </w:p>
    <w:p w:rsidR="00F12FD6" w:rsidRPr="00FD1D81" w:rsidRDefault="00FB0C76" w:rsidP="0021061D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FD1D81">
        <w:rPr>
          <w:rFonts w:ascii="仿宋" w:eastAsia="仿宋" w:hAnsi="仿宋"/>
          <w:color w:val="000000" w:themeColor="text1"/>
          <w:sz w:val="32"/>
          <w:szCs w:val="32"/>
        </w:rPr>
        <w:t>内设蔬菜研究室、生态环境与土壤研究室、种质资源研究室、综合管理办公室、园区管理办公室、财务与资产管理办公室。截至2025年12月，核定事业编制为67人，编外人员编制17人。现实有工作人员7</w:t>
      </w:r>
      <w:r w:rsidRPr="00FD1D81">
        <w:rPr>
          <w:rFonts w:ascii="仿宋" w:eastAsia="仿宋" w:hAnsi="仿宋" w:hint="eastAsia"/>
          <w:color w:val="000000" w:themeColor="text1"/>
          <w:sz w:val="32"/>
          <w:szCs w:val="32"/>
        </w:rPr>
        <w:t>3</w:t>
      </w:r>
      <w:r w:rsidRPr="00FD1D81">
        <w:rPr>
          <w:rFonts w:ascii="仿宋" w:eastAsia="仿宋" w:hAnsi="仿宋"/>
          <w:color w:val="000000" w:themeColor="text1"/>
          <w:sz w:val="32"/>
          <w:szCs w:val="32"/>
        </w:rPr>
        <w:t>人，其中事业编人员56人，编外人员17人。</w:t>
      </w:r>
    </w:p>
    <w:p w:rsidR="00F12FD6" w:rsidRPr="00FD1D81" w:rsidRDefault="00FB0C76" w:rsidP="0021061D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FD1D81">
        <w:rPr>
          <w:rFonts w:ascii="仿宋" w:eastAsia="仿宋" w:hAnsi="仿宋"/>
          <w:color w:val="000000" w:themeColor="text1"/>
          <w:sz w:val="32"/>
          <w:szCs w:val="32"/>
        </w:rPr>
        <w:t>在江宁区横溪建有南京市蔬菜科学研究</w:t>
      </w:r>
      <w:proofErr w:type="gramStart"/>
      <w:r w:rsidRPr="00FD1D81">
        <w:rPr>
          <w:rFonts w:ascii="仿宋" w:eastAsia="仿宋" w:hAnsi="仿宋"/>
          <w:color w:val="000000" w:themeColor="text1"/>
          <w:sz w:val="32"/>
          <w:szCs w:val="32"/>
        </w:rPr>
        <w:t>所蔬菜</w:t>
      </w:r>
      <w:proofErr w:type="gramEnd"/>
      <w:r w:rsidRPr="00FD1D81">
        <w:rPr>
          <w:rFonts w:ascii="仿宋" w:eastAsia="仿宋" w:hAnsi="仿宋"/>
          <w:color w:val="000000" w:themeColor="text1"/>
          <w:sz w:val="32"/>
          <w:szCs w:val="32"/>
        </w:rPr>
        <w:t>科技园，1997年始建，占地1020亩。已成为集科研、生产、展示、培训、辐射带动能力强的多功能园区。被评为(授牌）农业部南方工厂化育苗中心、江苏省第一批农业科技园、江苏省现代农业产业</w:t>
      </w:r>
      <w:r w:rsidRPr="00FD1D81">
        <w:rPr>
          <w:rFonts w:ascii="仿宋" w:eastAsia="仿宋" w:hAnsi="仿宋"/>
          <w:color w:val="000000" w:themeColor="text1"/>
          <w:sz w:val="32"/>
          <w:szCs w:val="32"/>
        </w:rPr>
        <w:lastRenderedPageBreak/>
        <w:t>园、江苏省蔬菜科技综合展示基地等。</w:t>
      </w:r>
    </w:p>
    <w:p w:rsidR="00F12FD6" w:rsidRPr="00607B90" w:rsidRDefault="00FB0C76" w:rsidP="0021061D">
      <w:pPr>
        <w:widowControl/>
        <w:spacing w:line="560" w:lineRule="exact"/>
        <w:ind w:firstLineChars="200" w:firstLine="640"/>
        <w:rPr>
          <w:rFonts w:ascii="楷体" w:eastAsia="楷体" w:hAnsi="楷体"/>
          <w:color w:val="000000" w:themeColor="text1"/>
          <w:kern w:val="0"/>
          <w:sz w:val="32"/>
          <w:szCs w:val="32"/>
        </w:rPr>
      </w:pPr>
      <w:r w:rsidRPr="00607B90">
        <w:rPr>
          <w:rFonts w:ascii="楷体" w:eastAsia="楷体" w:hAnsi="楷体"/>
          <w:color w:val="000000" w:themeColor="text1"/>
          <w:kern w:val="0"/>
          <w:sz w:val="32"/>
          <w:szCs w:val="32"/>
        </w:rPr>
        <w:t>（二）</w:t>
      </w:r>
      <w:r w:rsidR="00FD1D81" w:rsidRPr="00607B90">
        <w:rPr>
          <w:rFonts w:ascii="楷体" w:eastAsia="楷体" w:hAnsi="楷体" w:hint="eastAsia"/>
          <w:color w:val="000000" w:themeColor="text1"/>
          <w:kern w:val="0"/>
          <w:sz w:val="32"/>
          <w:szCs w:val="32"/>
        </w:rPr>
        <w:t>部门</w:t>
      </w:r>
      <w:r w:rsidR="00FD1D81" w:rsidRPr="00607B90">
        <w:rPr>
          <w:rFonts w:ascii="楷体" w:eastAsia="楷体" w:hAnsi="楷体"/>
          <w:color w:val="000000" w:themeColor="text1"/>
          <w:kern w:val="0"/>
          <w:sz w:val="32"/>
          <w:szCs w:val="32"/>
        </w:rPr>
        <w:t>资金</w:t>
      </w:r>
      <w:r w:rsidRPr="00607B90">
        <w:rPr>
          <w:rFonts w:ascii="楷体" w:eastAsia="楷体" w:hAnsi="楷体"/>
          <w:color w:val="000000" w:themeColor="text1"/>
          <w:kern w:val="0"/>
          <w:sz w:val="32"/>
          <w:szCs w:val="32"/>
        </w:rPr>
        <w:t>情况</w:t>
      </w:r>
    </w:p>
    <w:p w:rsidR="00FD1D81" w:rsidRPr="00FD1D81" w:rsidRDefault="00FD1D81" w:rsidP="0021061D">
      <w:pPr>
        <w:widowControl/>
        <w:spacing w:line="560" w:lineRule="exact"/>
        <w:ind w:firstLineChars="200" w:firstLine="640"/>
        <w:jc w:val="left"/>
        <w:rPr>
          <w:rFonts w:ascii="仿宋" w:eastAsia="仿宋" w:hAnsi="仿宋" w:cs="Arial"/>
          <w:color w:val="1F2329"/>
          <w:kern w:val="0"/>
          <w:sz w:val="32"/>
          <w:szCs w:val="32"/>
        </w:rPr>
      </w:pPr>
      <w:r w:rsidRPr="00FD1D81">
        <w:rPr>
          <w:rFonts w:ascii="仿宋" w:eastAsia="仿宋" w:hAnsi="仿宋" w:cs="Arial" w:hint="eastAsia"/>
          <w:color w:val="1F2329"/>
          <w:kern w:val="0"/>
          <w:sz w:val="32"/>
          <w:szCs w:val="32"/>
        </w:rPr>
        <w:t>1、部门收支情况</w:t>
      </w:r>
    </w:p>
    <w:p w:rsidR="00FD1D81" w:rsidRPr="00FD1D81" w:rsidRDefault="00FD1D81" w:rsidP="0021061D">
      <w:pPr>
        <w:widowControl/>
        <w:spacing w:line="560" w:lineRule="exact"/>
        <w:ind w:firstLineChars="200" w:firstLine="640"/>
        <w:jc w:val="left"/>
        <w:rPr>
          <w:rFonts w:ascii="仿宋" w:eastAsia="仿宋" w:hAnsi="仿宋" w:cs="Arial"/>
          <w:color w:val="1F2329"/>
          <w:kern w:val="0"/>
          <w:sz w:val="32"/>
          <w:szCs w:val="32"/>
        </w:rPr>
      </w:pPr>
      <w:r w:rsidRPr="00FD1D81">
        <w:rPr>
          <w:rFonts w:ascii="仿宋" w:eastAsia="仿宋" w:hAnsi="仿宋" w:cs="Arial"/>
          <w:color w:val="1F2329"/>
          <w:kern w:val="0"/>
          <w:sz w:val="32"/>
          <w:szCs w:val="32"/>
        </w:rPr>
        <w:t>2025 年年初预算合计 2490.31 万元，其中：基本支出 2416.19 万元，项目支出 74.12 万元。调整后全年预算合计 3104.11 万元，其中：基本支出 2337.90 万元，净调减 78.29 万元，主要原因是人员经费根据实际在编人员、社保缴费标准核减，公用经费落实厉行节约要求压缩日常办公开支；项目支出 766.21 万元，净调增 692.09 万元，主要原因是新增上级专项业务工作补助、业务设备购置项目经费。</w:t>
      </w:r>
    </w:p>
    <w:p w:rsidR="00FD1D81" w:rsidRPr="00FD1D81" w:rsidRDefault="00FD1D81" w:rsidP="0021061D">
      <w:pPr>
        <w:widowControl/>
        <w:spacing w:line="560" w:lineRule="exact"/>
        <w:ind w:firstLineChars="200" w:firstLine="640"/>
        <w:jc w:val="left"/>
        <w:rPr>
          <w:rFonts w:ascii="仿宋" w:eastAsia="仿宋" w:hAnsi="仿宋" w:cs="Arial"/>
          <w:color w:val="1F2329"/>
          <w:kern w:val="0"/>
          <w:sz w:val="32"/>
          <w:szCs w:val="32"/>
        </w:rPr>
      </w:pPr>
      <w:r w:rsidRPr="00FD1D81">
        <w:rPr>
          <w:rFonts w:ascii="仿宋" w:eastAsia="仿宋" w:hAnsi="仿宋" w:cs="Arial"/>
          <w:color w:val="1F2329"/>
          <w:kern w:val="0"/>
          <w:sz w:val="32"/>
          <w:szCs w:val="32"/>
        </w:rPr>
        <w:t xml:space="preserve">2025 </w:t>
      </w:r>
      <w:proofErr w:type="gramStart"/>
      <w:r w:rsidRPr="00FD1D81">
        <w:rPr>
          <w:rFonts w:ascii="仿宋" w:eastAsia="仿宋" w:hAnsi="仿宋" w:cs="Arial"/>
          <w:color w:val="1F2329"/>
          <w:kern w:val="0"/>
          <w:sz w:val="32"/>
          <w:szCs w:val="32"/>
        </w:rPr>
        <w:t>年单位</w:t>
      </w:r>
      <w:proofErr w:type="gramEnd"/>
      <w:r w:rsidRPr="00FD1D81">
        <w:rPr>
          <w:rFonts w:ascii="仿宋" w:eastAsia="仿宋" w:hAnsi="仿宋" w:cs="Arial"/>
          <w:color w:val="1F2329"/>
          <w:kern w:val="0"/>
          <w:sz w:val="32"/>
          <w:szCs w:val="32"/>
        </w:rPr>
        <w:t>全年实际决算支出 3104.11 万元，整体预算执行率 100%。其中：基本支出 2337.90 万元，预算执行率 100%；项目支出 766.21 万元，预算执行率 100%。详情见下表。</w:t>
      </w:r>
    </w:p>
    <w:p w:rsidR="00FD1D81" w:rsidRPr="00FD1D81" w:rsidRDefault="00FD1D81" w:rsidP="008F1156">
      <w:pPr>
        <w:widowControl/>
        <w:spacing w:line="560" w:lineRule="exact"/>
        <w:jc w:val="center"/>
        <w:outlineLvl w:val="2"/>
        <w:rPr>
          <w:rFonts w:ascii="仿宋" w:eastAsia="仿宋" w:hAnsi="仿宋" w:cs="Arial"/>
          <w:color w:val="1F2329"/>
          <w:kern w:val="0"/>
          <w:sz w:val="32"/>
          <w:szCs w:val="32"/>
        </w:rPr>
      </w:pPr>
      <w:r w:rsidRPr="00FD1D81">
        <w:rPr>
          <w:rFonts w:ascii="仿宋" w:eastAsia="仿宋" w:hAnsi="仿宋" w:cs="Arial"/>
          <w:color w:val="1F2329"/>
          <w:kern w:val="0"/>
          <w:sz w:val="32"/>
          <w:szCs w:val="32"/>
        </w:rPr>
        <w:t xml:space="preserve">表 1 2025 </w:t>
      </w:r>
      <w:proofErr w:type="gramStart"/>
      <w:r w:rsidRPr="00FD1D81">
        <w:rPr>
          <w:rFonts w:ascii="仿宋" w:eastAsia="仿宋" w:hAnsi="仿宋" w:cs="Arial"/>
          <w:color w:val="1F2329"/>
          <w:kern w:val="0"/>
          <w:sz w:val="32"/>
          <w:szCs w:val="32"/>
        </w:rPr>
        <w:t>年本单位</w:t>
      </w:r>
      <w:proofErr w:type="gramEnd"/>
      <w:r w:rsidRPr="00FD1D81">
        <w:rPr>
          <w:rFonts w:ascii="仿宋" w:eastAsia="仿宋" w:hAnsi="仿宋" w:cs="Arial"/>
          <w:color w:val="1F2329"/>
          <w:kern w:val="0"/>
          <w:sz w:val="32"/>
          <w:szCs w:val="32"/>
        </w:rPr>
        <w:t>部门预算安排与支出情况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2"/>
        <w:gridCol w:w="2094"/>
        <w:gridCol w:w="2395"/>
        <w:gridCol w:w="2000"/>
        <w:gridCol w:w="1399"/>
      </w:tblGrid>
      <w:tr w:rsidR="00FD1D81" w:rsidRPr="00FD1D81" w:rsidTr="001D7B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D1D81" w:rsidRPr="00FD1D81" w:rsidRDefault="00FD1D81" w:rsidP="0021061D">
            <w:pPr>
              <w:widowControl/>
              <w:spacing w:line="560" w:lineRule="exact"/>
              <w:jc w:val="left"/>
              <w:rPr>
                <w:rFonts w:ascii="仿宋" w:eastAsia="仿宋" w:hAnsi="仿宋" w:cs="Arial"/>
                <w:b/>
                <w:bCs/>
                <w:color w:val="1F2329"/>
                <w:kern w:val="0"/>
                <w:sz w:val="32"/>
                <w:szCs w:val="32"/>
              </w:rPr>
            </w:pPr>
            <w:r w:rsidRPr="00FD1D81">
              <w:rPr>
                <w:rFonts w:ascii="仿宋" w:eastAsia="仿宋" w:hAnsi="仿宋" w:cs="Arial"/>
                <w:b/>
                <w:bCs/>
                <w:color w:val="1F2329"/>
                <w:kern w:val="0"/>
                <w:sz w:val="32"/>
                <w:szCs w:val="32"/>
              </w:rPr>
              <w:t>支出类别</w:t>
            </w:r>
          </w:p>
        </w:tc>
        <w:tc>
          <w:tcPr>
            <w:tcW w:w="2064" w:type="dxa"/>
            <w:vAlign w:val="center"/>
            <w:hideMark/>
          </w:tcPr>
          <w:p w:rsidR="00FD1D81" w:rsidRPr="00FD1D81" w:rsidRDefault="00FD1D81" w:rsidP="0021061D">
            <w:pPr>
              <w:widowControl/>
              <w:spacing w:line="560" w:lineRule="exact"/>
              <w:jc w:val="left"/>
              <w:rPr>
                <w:rFonts w:ascii="仿宋" w:eastAsia="仿宋" w:hAnsi="仿宋" w:cs="Arial"/>
                <w:b/>
                <w:bCs/>
                <w:color w:val="1F2329"/>
                <w:kern w:val="0"/>
                <w:sz w:val="32"/>
                <w:szCs w:val="32"/>
              </w:rPr>
            </w:pPr>
            <w:r w:rsidRPr="00FD1D81">
              <w:rPr>
                <w:rFonts w:ascii="仿宋" w:eastAsia="仿宋" w:hAnsi="仿宋" w:cs="Arial"/>
                <w:b/>
                <w:bCs/>
                <w:color w:val="1F2329"/>
                <w:kern w:val="0"/>
                <w:sz w:val="32"/>
                <w:szCs w:val="32"/>
              </w:rPr>
              <w:t>年初预算数（万元）</w:t>
            </w:r>
          </w:p>
        </w:tc>
        <w:tc>
          <w:tcPr>
            <w:tcW w:w="2365" w:type="dxa"/>
            <w:vAlign w:val="center"/>
            <w:hideMark/>
          </w:tcPr>
          <w:p w:rsidR="00FD1D81" w:rsidRPr="00FD1D81" w:rsidRDefault="00FD1D81" w:rsidP="0021061D">
            <w:pPr>
              <w:widowControl/>
              <w:spacing w:line="560" w:lineRule="exact"/>
              <w:jc w:val="left"/>
              <w:rPr>
                <w:rFonts w:ascii="仿宋" w:eastAsia="仿宋" w:hAnsi="仿宋" w:cs="Arial"/>
                <w:b/>
                <w:bCs/>
                <w:color w:val="1F2329"/>
                <w:kern w:val="0"/>
                <w:sz w:val="32"/>
                <w:szCs w:val="32"/>
              </w:rPr>
            </w:pPr>
            <w:r w:rsidRPr="00FD1D81">
              <w:rPr>
                <w:rFonts w:ascii="仿宋" w:eastAsia="仿宋" w:hAnsi="仿宋" w:cs="Arial"/>
                <w:b/>
                <w:bCs/>
                <w:color w:val="1F2329"/>
                <w:kern w:val="0"/>
                <w:sz w:val="32"/>
                <w:szCs w:val="32"/>
              </w:rPr>
              <w:t>调整</w:t>
            </w:r>
            <w:proofErr w:type="gramStart"/>
            <w:r w:rsidRPr="00FD1D81">
              <w:rPr>
                <w:rFonts w:ascii="仿宋" w:eastAsia="仿宋" w:hAnsi="仿宋" w:cs="Arial"/>
                <w:b/>
                <w:bCs/>
                <w:color w:val="1F2329"/>
                <w:kern w:val="0"/>
                <w:sz w:val="32"/>
                <w:szCs w:val="32"/>
              </w:rPr>
              <w:t>后预算</w:t>
            </w:r>
            <w:proofErr w:type="gramEnd"/>
            <w:r w:rsidRPr="00FD1D81">
              <w:rPr>
                <w:rFonts w:ascii="仿宋" w:eastAsia="仿宋" w:hAnsi="仿宋" w:cs="Arial"/>
                <w:b/>
                <w:bCs/>
                <w:color w:val="1F2329"/>
                <w:kern w:val="0"/>
                <w:sz w:val="32"/>
                <w:szCs w:val="32"/>
              </w:rPr>
              <w:t>数（万元）</w:t>
            </w:r>
          </w:p>
        </w:tc>
        <w:tc>
          <w:tcPr>
            <w:tcW w:w="1970" w:type="dxa"/>
            <w:vAlign w:val="center"/>
            <w:hideMark/>
          </w:tcPr>
          <w:p w:rsidR="00FD1D81" w:rsidRPr="00FD1D81" w:rsidRDefault="00FD1D81" w:rsidP="0021061D">
            <w:pPr>
              <w:widowControl/>
              <w:spacing w:line="560" w:lineRule="exact"/>
              <w:jc w:val="left"/>
              <w:rPr>
                <w:rFonts w:ascii="仿宋" w:eastAsia="仿宋" w:hAnsi="仿宋" w:cs="Arial"/>
                <w:b/>
                <w:bCs/>
                <w:color w:val="1F2329"/>
                <w:kern w:val="0"/>
                <w:sz w:val="32"/>
                <w:szCs w:val="32"/>
              </w:rPr>
            </w:pPr>
            <w:r w:rsidRPr="00FD1D81">
              <w:rPr>
                <w:rFonts w:ascii="仿宋" w:eastAsia="仿宋" w:hAnsi="仿宋" w:cs="Arial"/>
                <w:b/>
                <w:bCs/>
                <w:color w:val="1F2329"/>
                <w:kern w:val="0"/>
                <w:sz w:val="32"/>
                <w:szCs w:val="32"/>
              </w:rPr>
              <w:t>实际支出数（万元）</w:t>
            </w:r>
          </w:p>
        </w:tc>
        <w:tc>
          <w:tcPr>
            <w:tcW w:w="1354" w:type="dxa"/>
            <w:vAlign w:val="center"/>
            <w:hideMark/>
          </w:tcPr>
          <w:p w:rsidR="00FD1D81" w:rsidRPr="00FD1D81" w:rsidRDefault="00FD1D81" w:rsidP="0021061D">
            <w:pPr>
              <w:widowControl/>
              <w:spacing w:line="560" w:lineRule="exact"/>
              <w:jc w:val="left"/>
              <w:rPr>
                <w:rFonts w:ascii="仿宋" w:eastAsia="仿宋" w:hAnsi="仿宋" w:cs="Arial"/>
                <w:b/>
                <w:bCs/>
                <w:color w:val="1F2329"/>
                <w:kern w:val="0"/>
                <w:sz w:val="32"/>
                <w:szCs w:val="32"/>
              </w:rPr>
            </w:pPr>
            <w:r w:rsidRPr="00FD1D81">
              <w:rPr>
                <w:rFonts w:ascii="仿宋" w:eastAsia="仿宋" w:hAnsi="仿宋" w:cs="Arial"/>
                <w:b/>
                <w:bCs/>
                <w:color w:val="1F2329"/>
                <w:kern w:val="0"/>
                <w:sz w:val="32"/>
                <w:szCs w:val="32"/>
              </w:rPr>
              <w:t>预算执行率</w:t>
            </w:r>
          </w:p>
        </w:tc>
      </w:tr>
      <w:tr w:rsidR="00FD1D81" w:rsidRPr="00FD1D81" w:rsidTr="001D7B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1D81" w:rsidRPr="00FD1D81" w:rsidRDefault="00FD1D81" w:rsidP="0021061D">
            <w:pPr>
              <w:widowControl/>
              <w:spacing w:line="560" w:lineRule="exact"/>
              <w:jc w:val="left"/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</w:pPr>
            <w:r w:rsidRPr="00FD1D81"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  <w:t>基本支出</w:t>
            </w:r>
          </w:p>
        </w:tc>
        <w:tc>
          <w:tcPr>
            <w:tcW w:w="2064" w:type="dxa"/>
            <w:vAlign w:val="center"/>
            <w:hideMark/>
          </w:tcPr>
          <w:p w:rsidR="00FD1D81" w:rsidRPr="00FD1D81" w:rsidRDefault="00FD1D81" w:rsidP="0021061D">
            <w:pPr>
              <w:widowControl/>
              <w:spacing w:line="560" w:lineRule="exact"/>
              <w:ind w:firstLineChars="200" w:firstLine="640"/>
              <w:jc w:val="left"/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</w:pPr>
            <w:r w:rsidRPr="00FD1D81"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  <w:t>2416.19</w:t>
            </w:r>
          </w:p>
        </w:tc>
        <w:tc>
          <w:tcPr>
            <w:tcW w:w="2365" w:type="dxa"/>
            <w:vAlign w:val="center"/>
            <w:hideMark/>
          </w:tcPr>
          <w:p w:rsidR="00FD1D81" w:rsidRPr="00FD1D81" w:rsidRDefault="00FD1D81" w:rsidP="0021061D">
            <w:pPr>
              <w:widowControl/>
              <w:spacing w:line="560" w:lineRule="exact"/>
              <w:ind w:firstLineChars="200" w:firstLine="640"/>
              <w:jc w:val="left"/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</w:pPr>
            <w:r w:rsidRPr="00FD1D81"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  <w:t>2337.90</w:t>
            </w:r>
          </w:p>
        </w:tc>
        <w:tc>
          <w:tcPr>
            <w:tcW w:w="1970" w:type="dxa"/>
            <w:vAlign w:val="center"/>
            <w:hideMark/>
          </w:tcPr>
          <w:p w:rsidR="00FD1D81" w:rsidRPr="00FD1D81" w:rsidRDefault="00FD1D81" w:rsidP="0021061D">
            <w:pPr>
              <w:widowControl/>
              <w:spacing w:line="560" w:lineRule="exact"/>
              <w:ind w:firstLineChars="200" w:firstLine="640"/>
              <w:jc w:val="left"/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</w:pPr>
            <w:r w:rsidRPr="00FD1D81"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  <w:t>2337.90</w:t>
            </w:r>
          </w:p>
        </w:tc>
        <w:tc>
          <w:tcPr>
            <w:tcW w:w="1354" w:type="dxa"/>
            <w:vAlign w:val="center"/>
            <w:hideMark/>
          </w:tcPr>
          <w:p w:rsidR="00FD1D81" w:rsidRPr="00FD1D81" w:rsidRDefault="00FD1D81" w:rsidP="0021061D">
            <w:pPr>
              <w:widowControl/>
              <w:spacing w:line="560" w:lineRule="exact"/>
              <w:ind w:firstLineChars="200" w:firstLine="640"/>
              <w:jc w:val="left"/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</w:pPr>
            <w:r w:rsidRPr="00FD1D81"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  <w:t>100%</w:t>
            </w:r>
          </w:p>
        </w:tc>
      </w:tr>
      <w:tr w:rsidR="00FD1D81" w:rsidRPr="00FD1D81" w:rsidTr="001D7B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1D81" w:rsidRPr="00FD1D81" w:rsidRDefault="00FD1D81" w:rsidP="0021061D">
            <w:pPr>
              <w:widowControl/>
              <w:spacing w:line="560" w:lineRule="exact"/>
              <w:jc w:val="left"/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</w:pPr>
            <w:r w:rsidRPr="00FD1D81"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  <w:t>项目支出</w:t>
            </w:r>
          </w:p>
        </w:tc>
        <w:tc>
          <w:tcPr>
            <w:tcW w:w="2064" w:type="dxa"/>
            <w:vAlign w:val="center"/>
            <w:hideMark/>
          </w:tcPr>
          <w:p w:rsidR="00FD1D81" w:rsidRPr="00FD1D81" w:rsidRDefault="00FD1D81" w:rsidP="0021061D">
            <w:pPr>
              <w:widowControl/>
              <w:spacing w:line="560" w:lineRule="exact"/>
              <w:ind w:firstLineChars="200" w:firstLine="640"/>
              <w:jc w:val="left"/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</w:pPr>
            <w:r w:rsidRPr="00FD1D81"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  <w:t>74.12</w:t>
            </w:r>
          </w:p>
        </w:tc>
        <w:tc>
          <w:tcPr>
            <w:tcW w:w="2365" w:type="dxa"/>
            <w:vAlign w:val="center"/>
            <w:hideMark/>
          </w:tcPr>
          <w:p w:rsidR="00FD1D81" w:rsidRPr="00FD1D81" w:rsidRDefault="00FD1D81" w:rsidP="0021061D">
            <w:pPr>
              <w:widowControl/>
              <w:spacing w:line="560" w:lineRule="exact"/>
              <w:ind w:firstLineChars="200" w:firstLine="640"/>
              <w:jc w:val="left"/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</w:pPr>
            <w:r w:rsidRPr="00FD1D81"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  <w:t>766.21</w:t>
            </w:r>
          </w:p>
        </w:tc>
        <w:tc>
          <w:tcPr>
            <w:tcW w:w="1970" w:type="dxa"/>
            <w:vAlign w:val="center"/>
            <w:hideMark/>
          </w:tcPr>
          <w:p w:rsidR="00FD1D81" w:rsidRPr="00FD1D81" w:rsidRDefault="00FD1D81" w:rsidP="0021061D">
            <w:pPr>
              <w:widowControl/>
              <w:spacing w:line="560" w:lineRule="exact"/>
              <w:ind w:firstLineChars="200" w:firstLine="640"/>
              <w:jc w:val="left"/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</w:pPr>
            <w:r w:rsidRPr="00FD1D81"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  <w:t>766.21</w:t>
            </w:r>
          </w:p>
        </w:tc>
        <w:tc>
          <w:tcPr>
            <w:tcW w:w="1354" w:type="dxa"/>
            <w:vAlign w:val="center"/>
            <w:hideMark/>
          </w:tcPr>
          <w:p w:rsidR="00FD1D81" w:rsidRPr="00FD1D81" w:rsidRDefault="00FD1D81" w:rsidP="0021061D">
            <w:pPr>
              <w:widowControl/>
              <w:spacing w:line="560" w:lineRule="exact"/>
              <w:ind w:firstLineChars="200" w:firstLine="640"/>
              <w:jc w:val="left"/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</w:pPr>
            <w:r w:rsidRPr="00FD1D81"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  <w:t>100%</w:t>
            </w:r>
          </w:p>
        </w:tc>
      </w:tr>
      <w:tr w:rsidR="00FD1D81" w:rsidRPr="00FD1D81" w:rsidTr="001D7B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1D81" w:rsidRPr="00FD1D81" w:rsidRDefault="00FD1D81" w:rsidP="0021061D">
            <w:pPr>
              <w:widowControl/>
              <w:spacing w:line="560" w:lineRule="exact"/>
              <w:jc w:val="left"/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</w:pPr>
            <w:r w:rsidRPr="00FD1D81"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  <w:t>合计</w:t>
            </w:r>
          </w:p>
        </w:tc>
        <w:tc>
          <w:tcPr>
            <w:tcW w:w="2064" w:type="dxa"/>
            <w:vAlign w:val="center"/>
            <w:hideMark/>
          </w:tcPr>
          <w:p w:rsidR="00FD1D81" w:rsidRPr="00FD1D81" w:rsidRDefault="00FD1D81" w:rsidP="0021061D">
            <w:pPr>
              <w:widowControl/>
              <w:spacing w:line="560" w:lineRule="exact"/>
              <w:ind w:firstLineChars="200" w:firstLine="640"/>
              <w:jc w:val="left"/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</w:pPr>
            <w:r w:rsidRPr="00FD1D81"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  <w:t>2490.31</w:t>
            </w:r>
          </w:p>
        </w:tc>
        <w:tc>
          <w:tcPr>
            <w:tcW w:w="2365" w:type="dxa"/>
            <w:vAlign w:val="center"/>
            <w:hideMark/>
          </w:tcPr>
          <w:p w:rsidR="00FD1D81" w:rsidRPr="00FD1D81" w:rsidRDefault="00FD1D81" w:rsidP="0021061D">
            <w:pPr>
              <w:widowControl/>
              <w:spacing w:line="560" w:lineRule="exact"/>
              <w:ind w:firstLineChars="200" w:firstLine="640"/>
              <w:jc w:val="left"/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</w:pPr>
            <w:r w:rsidRPr="00FD1D81"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  <w:t>3104.11</w:t>
            </w:r>
          </w:p>
        </w:tc>
        <w:tc>
          <w:tcPr>
            <w:tcW w:w="1970" w:type="dxa"/>
            <w:vAlign w:val="center"/>
            <w:hideMark/>
          </w:tcPr>
          <w:p w:rsidR="00FD1D81" w:rsidRPr="00FD1D81" w:rsidRDefault="00FD1D81" w:rsidP="0021061D">
            <w:pPr>
              <w:widowControl/>
              <w:spacing w:line="560" w:lineRule="exact"/>
              <w:ind w:firstLineChars="200" w:firstLine="640"/>
              <w:jc w:val="left"/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</w:pPr>
            <w:r w:rsidRPr="00FD1D81"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  <w:t>3104.11</w:t>
            </w:r>
          </w:p>
        </w:tc>
        <w:tc>
          <w:tcPr>
            <w:tcW w:w="1354" w:type="dxa"/>
            <w:vAlign w:val="center"/>
            <w:hideMark/>
          </w:tcPr>
          <w:p w:rsidR="00FD1D81" w:rsidRPr="00FD1D81" w:rsidRDefault="00FD1D81" w:rsidP="0021061D">
            <w:pPr>
              <w:widowControl/>
              <w:spacing w:line="560" w:lineRule="exact"/>
              <w:ind w:firstLineChars="200" w:firstLine="640"/>
              <w:jc w:val="left"/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</w:pPr>
            <w:r w:rsidRPr="00FD1D81">
              <w:rPr>
                <w:rFonts w:ascii="仿宋" w:eastAsia="仿宋" w:hAnsi="仿宋" w:cs="Arial"/>
                <w:color w:val="1F2329"/>
                <w:kern w:val="0"/>
                <w:sz w:val="32"/>
                <w:szCs w:val="32"/>
              </w:rPr>
              <w:t>100%</w:t>
            </w:r>
          </w:p>
        </w:tc>
      </w:tr>
    </w:tbl>
    <w:p w:rsidR="00FD1D81" w:rsidRPr="00FD1D81" w:rsidRDefault="00FD1D81" w:rsidP="0021061D">
      <w:pPr>
        <w:widowControl/>
        <w:spacing w:line="560" w:lineRule="exact"/>
        <w:ind w:firstLineChars="200" w:firstLine="640"/>
        <w:jc w:val="left"/>
        <w:outlineLvl w:val="0"/>
        <w:rPr>
          <w:rFonts w:ascii="仿宋" w:eastAsia="仿宋" w:hAnsi="仿宋" w:cs="Arial"/>
          <w:color w:val="1F2329"/>
          <w:kern w:val="36"/>
          <w:sz w:val="32"/>
          <w:szCs w:val="32"/>
        </w:rPr>
      </w:pPr>
      <w:r w:rsidRPr="00FD1D81">
        <w:rPr>
          <w:rFonts w:ascii="仿宋" w:eastAsia="仿宋" w:hAnsi="仿宋" w:cs="Arial" w:hint="eastAsia"/>
          <w:color w:val="1F2329"/>
          <w:kern w:val="36"/>
          <w:sz w:val="32"/>
          <w:szCs w:val="32"/>
        </w:rPr>
        <w:t>2、</w:t>
      </w:r>
      <w:r w:rsidRPr="00FD1D81">
        <w:rPr>
          <w:rFonts w:ascii="仿宋" w:eastAsia="仿宋" w:hAnsi="仿宋" w:cs="Arial"/>
          <w:color w:val="1F2329"/>
          <w:kern w:val="36"/>
          <w:sz w:val="32"/>
          <w:szCs w:val="32"/>
        </w:rPr>
        <w:t>三</w:t>
      </w:r>
      <w:proofErr w:type="gramStart"/>
      <w:r w:rsidRPr="00FD1D81">
        <w:rPr>
          <w:rFonts w:ascii="仿宋" w:eastAsia="仿宋" w:hAnsi="仿宋" w:cs="Arial"/>
          <w:color w:val="1F2329"/>
          <w:kern w:val="36"/>
          <w:sz w:val="32"/>
          <w:szCs w:val="32"/>
        </w:rPr>
        <w:t>公经费</w:t>
      </w:r>
      <w:proofErr w:type="gramEnd"/>
      <w:r w:rsidRPr="00FD1D81">
        <w:rPr>
          <w:rFonts w:ascii="仿宋" w:eastAsia="仿宋" w:hAnsi="仿宋" w:cs="Arial"/>
          <w:color w:val="1F2329"/>
          <w:kern w:val="36"/>
          <w:sz w:val="32"/>
          <w:szCs w:val="32"/>
        </w:rPr>
        <w:t>情况</w:t>
      </w:r>
    </w:p>
    <w:p w:rsidR="00FD1D81" w:rsidRPr="00FD1D81" w:rsidRDefault="00FD1D81" w:rsidP="0021061D">
      <w:pPr>
        <w:widowControl/>
        <w:spacing w:line="560" w:lineRule="exact"/>
        <w:ind w:firstLineChars="200" w:firstLine="640"/>
        <w:jc w:val="left"/>
        <w:rPr>
          <w:rFonts w:ascii="仿宋" w:eastAsia="仿宋" w:hAnsi="仿宋" w:cs="Arial"/>
          <w:color w:val="1F2329"/>
          <w:kern w:val="0"/>
          <w:sz w:val="32"/>
          <w:szCs w:val="32"/>
        </w:rPr>
      </w:pPr>
      <w:r w:rsidRPr="00FD1D81">
        <w:rPr>
          <w:rFonts w:ascii="仿宋" w:eastAsia="仿宋" w:hAnsi="仿宋" w:cs="Arial"/>
          <w:color w:val="1F2329"/>
          <w:kern w:val="0"/>
          <w:sz w:val="32"/>
          <w:szCs w:val="32"/>
        </w:rPr>
        <w:t>本单位 2025 年 “三公” 经费年初预算合计 6.48 万元，调整后全年预算合计 4.53 万元，净调减 1.95 万元，调减主</w:t>
      </w:r>
      <w:r w:rsidRPr="00FD1D81">
        <w:rPr>
          <w:rFonts w:ascii="仿宋" w:eastAsia="仿宋" w:hAnsi="仿宋" w:cs="Arial"/>
          <w:color w:val="1F2329"/>
          <w:kern w:val="0"/>
          <w:sz w:val="32"/>
          <w:szCs w:val="32"/>
        </w:rPr>
        <w:lastRenderedPageBreak/>
        <w:t>要原因为严格落实公务用车、公务接待节约管控要求，压缩相关开支预算。全年实际决算支出 4.53 万元，预算执行率 100%。分项明细如下：</w:t>
      </w:r>
    </w:p>
    <w:p w:rsidR="00FD1D81" w:rsidRPr="00607B90" w:rsidRDefault="00BC751A" w:rsidP="0021061D">
      <w:pPr>
        <w:widowControl/>
        <w:spacing w:line="560" w:lineRule="exact"/>
        <w:ind w:firstLineChars="200" w:firstLine="640"/>
        <w:jc w:val="left"/>
        <w:rPr>
          <w:rFonts w:ascii="仿宋" w:eastAsia="仿宋" w:hAnsi="仿宋" w:cs="Arial"/>
          <w:color w:val="1F2329"/>
          <w:kern w:val="0"/>
          <w:sz w:val="32"/>
          <w:szCs w:val="32"/>
        </w:rPr>
      </w:pPr>
      <w:r>
        <w:rPr>
          <w:rFonts w:ascii="仿宋" w:eastAsia="仿宋" w:hAnsi="仿宋" w:cs="Arial" w:hint="eastAsia"/>
          <w:color w:val="1F2329"/>
          <w:kern w:val="0"/>
          <w:sz w:val="32"/>
          <w:szCs w:val="32"/>
        </w:rPr>
        <w:t>（</w:t>
      </w:r>
      <w:r w:rsidR="00607B90">
        <w:rPr>
          <w:rFonts w:ascii="仿宋" w:eastAsia="仿宋" w:hAnsi="仿宋" w:cs="Arial" w:hint="eastAsia"/>
          <w:color w:val="1F2329"/>
          <w:kern w:val="0"/>
          <w:sz w:val="32"/>
          <w:szCs w:val="32"/>
        </w:rPr>
        <w:t>1</w:t>
      </w:r>
      <w:r>
        <w:rPr>
          <w:rFonts w:ascii="仿宋" w:eastAsia="仿宋" w:hAnsi="仿宋" w:cs="Arial" w:hint="eastAsia"/>
          <w:color w:val="1F2329"/>
          <w:kern w:val="0"/>
          <w:sz w:val="32"/>
          <w:szCs w:val="32"/>
        </w:rPr>
        <w:t>）</w:t>
      </w:r>
      <w:r w:rsidR="00FD1D81" w:rsidRPr="00607B90">
        <w:rPr>
          <w:rFonts w:ascii="仿宋" w:eastAsia="仿宋" w:hAnsi="仿宋" w:cs="Arial"/>
          <w:color w:val="1F2329"/>
          <w:kern w:val="0"/>
          <w:sz w:val="32"/>
          <w:szCs w:val="32"/>
        </w:rPr>
        <w:t>因公出国（境）费用：无预算、无支出；</w:t>
      </w:r>
    </w:p>
    <w:p w:rsidR="00FD1D81" w:rsidRPr="00607B90" w:rsidRDefault="00BC751A" w:rsidP="0021061D">
      <w:pPr>
        <w:widowControl/>
        <w:spacing w:line="560" w:lineRule="exact"/>
        <w:ind w:firstLineChars="200" w:firstLine="640"/>
        <w:jc w:val="left"/>
        <w:rPr>
          <w:rFonts w:ascii="仿宋" w:eastAsia="仿宋" w:hAnsi="仿宋" w:cs="Arial"/>
          <w:color w:val="1F2329"/>
          <w:kern w:val="0"/>
          <w:sz w:val="32"/>
          <w:szCs w:val="32"/>
        </w:rPr>
      </w:pPr>
      <w:r>
        <w:rPr>
          <w:rFonts w:ascii="仿宋" w:eastAsia="仿宋" w:hAnsi="仿宋" w:cs="Arial" w:hint="eastAsia"/>
          <w:color w:val="1F2329"/>
          <w:kern w:val="0"/>
          <w:sz w:val="32"/>
          <w:szCs w:val="32"/>
        </w:rPr>
        <w:t>（2）</w:t>
      </w:r>
      <w:r w:rsidR="00FD1D81" w:rsidRPr="00607B90">
        <w:rPr>
          <w:rFonts w:ascii="仿宋" w:eastAsia="仿宋" w:hAnsi="仿宋" w:cs="Arial"/>
          <w:color w:val="1F2329"/>
          <w:kern w:val="0"/>
          <w:sz w:val="32"/>
          <w:szCs w:val="32"/>
        </w:rPr>
        <w:t>公务用车购置及运行维护费：年初预算 4.48 万元，全年预算 4.48 万元，实际支出 4.48 万元，执行率 100%。其中无公车购置支出，公车运行维护费全年支出 4.48 万元；单位保有公务用车 2 辆；</w:t>
      </w:r>
    </w:p>
    <w:p w:rsidR="00FD1D81" w:rsidRPr="00FD1D81" w:rsidRDefault="00BC751A" w:rsidP="0021061D">
      <w:pPr>
        <w:widowControl/>
        <w:spacing w:line="560" w:lineRule="exact"/>
        <w:ind w:firstLineChars="200" w:firstLine="640"/>
        <w:jc w:val="left"/>
        <w:rPr>
          <w:rFonts w:ascii="仿宋" w:eastAsia="仿宋" w:hAnsi="仿宋" w:cs="Arial"/>
          <w:color w:val="1F2329"/>
          <w:kern w:val="0"/>
          <w:sz w:val="32"/>
          <w:szCs w:val="32"/>
        </w:rPr>
      </w:pPr>
      <w:r>
        <w:rPr>
          <w:rFonts w:ascii="仿宋" w:eastAsia="仿宋" w:hAnsi="仿宋" w:cs="Arial" w:hint="eastAsia"/>
          <w:color w:val="1F2329"/>
          <w:kern w:val="0"/>
          <w:sz w:val="32"/>
          <w:szCs w:val="32"/>
        </w:rPr>
        <w:t>（3）</w:t>
      </w:r>
      <w:r w:rsidR="00FD1D81" w:rsidRPr="00FD1D81">
        <w:rPr>
          <w:rFonts w:ascii="仿宋" w:eastAsia="仿宋" w:hAnsi="仿宋" w:cs="Arial"/>
          <w:color w:val="1F2329"/>
          <w:kern w:val="0"/>
          <w:sz w:val="32"/>
          <w:szCs w:val="32"/>
        </w:rPr>
        <w:t>公务接待费：年初无预算，全年预算 0.05 万元，实际支出 0.05 万元，执行率 100%。全年国内公务接待 1 批次、5 人次，无外事、国境接待业务。</w:t>
      </w:r>
    </w:p>
    <w:p w:rsidR="00F12FD6" w:rsidRPr="00FD1D81" w:rsidRDefault="00FB0C76" w:rsidP="0021061D">
      <w:pPr>
        <w:widowControl/>
        <w:spacing w:line="560" w:lineRule="exact"/>
        <w:ind w:firstLineChars="200" w:firstLine="640"/>
        <w:rPr>
          <w:rFonts w:ascii="楷体" w:eastAsia="楷体" w:hAnsi="楷体"/>
          <w:kern w:val="0"/>
          <w:sz w:val="32"/>
          <w:szCs w:val="32"/>
        </w:rPr>
      </w:pPr>
      <w:r w:rsidRPr="00FD1D81">
        <w:rPr>
          <w:rFonts w:ascii="楷体" w:eastAsia="楷体" w:hAnsi="楷体"/>
          <w:kern w:val="0"/>
          <w:sz w:val="32"/>
          <w:szCs w:val="32"/>
        </w:rPr>
        <w:t>（三）</w:t>
      </w:r>
      <w:r w:rsidR="00FD1D81" w:rsidRPr="00FD1D81">
        <w:rPr>
          <w:rFonts w:ascii="楷体" w:eastAsia="楷体" w:hAnsi="楷体" w:hint="eastAsia"/>
          <w:kern w:val="0"/>
          <w:sz w:val="32"/>
          <w:szCs w:val="32"/>
        </w:rPr>
        <w:t>部门</w:t>
      </w:r>
      <w:r w:rsidRPr="00FD1D81">
        <w:rPr>
          <w:rFonts w:ascii="楷体" w:eastAsia="楷体" w:hAnsi="楷体"/>
          <w:kern w:val="0"/>
          <w:sz w:val="32"/>
          <w:szCs w:val="32"/>
        </w:rPr>
        <w:t>绩效目标</w:t>
      </w:r>
      <w:r w:rsidRPr="00FD1D81">
        <w:rPr>
          <w:rFonts w:ascii="楷体" w:eastAsia="楷体" w:hAnsi="楷体"/>
          <w:kern w:val="0"/>
          <w:sz w:val="32"/>
          <w:szCs w:val="32"/>
        </w:rPr>
        <w:tab/>
      </w:r>
    </w:p>
    <w:p w:rsidR="00F12FD6" w:rsidRPr="00FD1D81" w:rsidRDefault="00FB0C76" w:rsidP="0021061D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FD1D81">
        <w:rPr>
          <w:rFonts w:ascii="仿宋" w:eastAsia="仿宋" w:hAnsi="仿宋"/>
          <w:color w:val="000000" w:themeColor="text1"/>
          <w:sz w:val="32"/>
          <w:szCs w:val="32"/>
        </w:rPr>
        <w:t>1、科研工作目标</w:t>
      </w:r>
    </w:p>
    <w:p w:rsidR="00F12FD6" w:rsidRPr="00FD1D81" w:rsidRDefault="00FB0C76" w:rsidP="0021061D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FD1D81">
        <w:rPr>
          <w:rFonts w:ascii="仿宋" w:eastAsia="仿宋" w:hAnsi="仿宋"/>
          <w:color w:val="000000" w:themeColor="text1"/>
          <w:sz w:val="32"/>
          <w:szCs w:val="32"/>
        </w:rPr>
        <w:t>（1）申报科技奖项3项，申请或授权专利1项，发表论文5篇。</w:t>
      </w:r>
    </w:p>
    <w:p w:rsidR="00F12FD6" w:rsidRPr="00FD1D81" w:rsidRDefault="00FB0C76" w:rsidP="0021061D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FD1D81">
        <w:rPr>
          <w:rFonts w:ascii="仿宋" w:eastAsia="仿宋" w:hAnsi="仿宋"/>
          <w:color w:val="000000" w:themeColor="text1"/>
          <w:sz w:val="32"/>
          <w:szCs w:val="32"/>
        </w:rPr>
        <w:t xml:space="preserve">（2）完成省市两级种质资源保护利用项目、省种业振兴揭榜挂帅项目。开展种质鉴定20份，提纯复壮5个品种。申请参加区试或审定新品种1个。 </w:t>
      </w:r>
    </w:p>
    <w:p w:rsidR="00F12FD6" w:rsidRPr="00FD1D81" w:rsidRDefault="00FB0C76" w:rsidP="0021061D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FD1D81">
        <w:rPr>
          <w:rFonts w:ascii="仿宋" w:eastAsia="仿宋" w:hAnsi="仿宋"/>
          <w:color w:val="000000" w:themeColor="text1"/>
          <w:sz w:val="32"/>
          <w:szCs w:val="32"/>
        </w:rPr>
        <w:t>（3）开展蔬菜产业链工作。在园区宜机化连栋塑料大棚内打造叶菜全程机械化技术示范样板。在南京古理生态农业科技发展有限公司等5个园区打造番茄产业四新技术示范样板。</w:t>
      </w:r>
    </w:p>
    <w:p w:rsidR="00F12FD6" w:rsidRPr="00FD1D81" w:rsidRDefault="00FB0C76" w:rsidP="0021061D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FD1D81">
        <w:rPr>
          <w:rFonts w:ascii="仿宋" w:eastAsia="仿宋" w:hAnsi="仿宋"/>
          <w:color w:val="000000" w:themeColor="text1"/>
          <w:sz w:val="32"/>
          <w:szCs w:val="32"/>
        </w:rPr>
        <w:t>2、农业科技服务工作目标</w:t>
      </w:r>
    </w:p>
    <w:p w:rsidR="00F12FD6" w:rsidRPr="00FD1D81" w:rsidRDefault="00FB0C76" w:rsidP="0021061D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FD1D81">
        <w:rPr>
          <w:rFonts w:ascii="仿宋" w:eastAsia="仿宋" w:hAnsi="仿宋"/>
          <w:color w:val="000000" w:themeColor="text1"/>
          <w:sz w:val="32"/>
          <w:szCs w:val="32"/>
        </w:rPr>
        <w:t>开展蔬菜科技服务，围绕全市30亩以上的农业主体开展技术服务，服务200人次，培训300人次。</w:t>
      </w:r>
    </w:p>
    <w:p w:rsidR="00F12FD6" w:rsidRPr="00FD1D81" w:rsidRDefault="00FB0C76" w:rsidP="0021061D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FD1D81">
        <w:rPr>
          <w:rFonts w:ascii="仿宋" w:eastAsia="仿宋" w:hAnsi="仿宋"/>
          <w:color w:val="000000" w:themeColor="text1"/>
          <w:sz w:val="32"/>
          <w:szCs w:val="32"/>
        </w:rPr>
        <w:lastRenderedPageBreak/>
        <w:t>3、内部管理目标</w:t>
      </w:r>
    </w:p>
    <w:p w:rsidR="00F12FD6" w:rsidRPr="00FD1D81" w:rsidRDefault="00FB0C76" w:rsidP="0021061D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FD1D81">
        <w:rPr>
          <w:rFonts w:ascii="仿宋" w:eastAsia="仿宋" w:hAnsi="仿宋"/>
          <w:color w:val="000000" w:themeColor="text1"/>
          <w:sz w:val="32"/>
          <w:szCs w:val="32"/>
        </w:rPr>
        <w:t>全年媒体报道、网络宣传等5次。全年至少报送5篇政务信息。严格落实安全生产责任制，加强内部安全管理，确保不发生安全事故。做好后勤服务保障，规范公务用车管理，加强驾驶员安全教育。</w:t>
      </w:r>
    </w:p>
    <w:p w:rsidR="00F12FD6" w:rsidRPr="00FD1D81" w:rsidRDefault="00FB0C76" w:rsidP="0021061D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FD1D81">
        <w:rPr>
          <w:rFonts w:ascii="仿宋" w:eastAsia="仿宋" w:hAnsi="仿宋"/>
          <w:color w:val="000000" w:themeColor="text1"/>
          <w:sz w:val="32"/>
          <w:szCs w:val="32"/>
        </w:rPr>
        <w:t>4、党风廉政建设目标</w:t>
      </w:r>
    </w:p>
    <w:p w:rsidR="00F12FD6" w:rsidRPr="00FD1D81" w:rsidRDefault="00FB0C76" w:rsidP="0021061D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kern w:val="0"/>
          <w:sz w:val="32"/>
          <w:szCs w:val="32"/>
        </w:rPr>
      </w:pPr>
      <w:r w:rsidRPr="00FD1D81">
        <w:rPr>
          <w:rFonts w:ascii="仿宋" w:eastAsia="仿宋" w:hAnsi="仿宋"/>
          <w:color w:val="000000" w:themeColor="text1"/>
          <w:sz w:val="32"/>
          <w:szCs w:val="32"/>
        </w:rPr>
        <w:t>深入学习贯彻习近平新时代中国特色社会主义思想，扎实开展深入贯彻中央八项规定精神学习教育，筑牢“四个意识”，增强“四个自信”，坚决做到“两个维护”，严格落实“三会一课”制度。按照上级主管部门要求，定期及时开展意识形态、网络意识形态领域风险隐患排查整治；党员干部网络行为规范，无“翻墙”访问境外涉政网站等违规网络行为；严格网络媒体等宣传审批审核。能够及时发现、积极应对、科学处置网络舆情；全年无网络舆情。落实网络安全主体责任，及时梳理报送互联网资产、政务数据资源等情况；开展网络和数据安全检查，发现问题及时整改，无重大网络安全事件。</w:t>
      </w:r>
    </w:p>
    <w:p w:rsidR="00F12FD6" w:rsidRPr="00FD1D81" w:rsidRDefault="00FB0C76" w:rsidP="0021061D">
      <w:pPr>
        <w:widowControl/>
        <w:spacing w:line="560" w:lineRule="exact"/>
        <w:ind w:firstLineChars="200" w:firstLine="640"/>
        <w:rPr>
          <w:rFonts w:ascii="黑体" w:eastAsia="黑体" w:hAnsi="黑体"/>
          <w:color w:val="000000" w:themeColor="text1"/>
          <w:kern w:val="0"/>
          <w:sz w:val="32"/>
          <w:szCs w:val="32"/>
        </w:rPr>
      </w:pPr>
      <w:r w:rsidRPr="00FD1D81">
        <w:rPr>
          <w:rFonts w:ascii="黑体" w:eastAsia="黑体" w:hAnsi="黑体"/>
          <w:color w:val="000000" w:themeColor="text1"/>
          <w:kern w:val="0"/>
          <w:sz w:val="32"/>
          <w:szCs w:val="32"/>
        </w:rPr>
        <w:t>二、评价结论</w:t>
      </w:r>
    </w:p>
    <w:p w:rsidR="00F12FD6" w:rsidRPr="00FD1D81" w:rsidRDefault="00FB0C76" w:rsidP="0021061D">
      <w:pPr>
        <w:widowControl/>
        <w:spacing w:line="560" w:lineRule="exact"/>
        <w:ind w:firstLineChars="200" w:firstLine="640"/>
        <w:rPr>
          <w:rFonts w:ascii="仿宋" w:eastAsia="仿宋" w:hAnsi="仿宋"/>
          <w:color w:val="000000" w:themeColor="text1"/>
          <w:kern w:val="0"/>
          <w:sz w:val="32"/>
          <w:szCs w:val="32"/>
        </w:rPr>
      </w:pPr>
      <w:r w:rsidRPr="00FD1D81">
        <w:rPr>
          <w:rFonts w:ascii="仿宋" w:eastAsia="仿宋" w:hAnsi="仿宋"/>
          <w:color w:val="000000" w:themeColor="text1"/>
          <w:kern w:val="0"/>
          <w:sz w:val="32"/>
          <w:szCs w:val="32"/>
        </w:rPr>
        <w:t>单位决策及内控管理中决策制度、流程科学，严格按照“所三重一大”制度要求，对重点工作、重要事项召开所务会议研究决定。内控管理健全，设立内控工作领导小组，设置督查人员，对重点工作事项进行督查督办。所内中长期规划明确，目标任务分解至部门，加强部门目标任务的考核，确保目标任务完成。</w:t>
      </w:r>
    </w:p>
    <w:p w:rsidR="00F12FD6" w:rsidRPr="00FD1D81" w:rsidRDefault="00FB0C76" w:rsidP="0021061D">
      <w:pPr>
        <w:widowControl/>
        <w:spacing w:line="560" w:lineRule="exact"/>
        <w:ind w:firstLineChars="200" w:firstLine="640"/>
        <w:rPr>
          <w:rFonts w:ascii="仿宋" w:eastAsia="仿宋" w:hAnsi="仿宋"/>
          <w:color w:val="000000" w:themeColor="text1"/>
          <w:kern w:val="0"/>
          <w:sz w:val="32"/>
          <w:szCs w:val="32"/>
        </w:rPr>
      </w:pPr>
      <w:r w:rsidRPr="00FD1D81">
        <w:rPr>
          <w:rFonts w:ascii="仿宋" w:eastAsia="仿宋" w:hAnsi="仿宋"/>
          <w:color w:val="000000" w:themeColor="text1"/>
          <w:kern w:val="0"/>
          <w:sz w:val="32"/>
          <w:szCs w:val="32"/>
        </w:rPr>
        <w:lastRenderedPageBreak/>
        <w:t>预算编制科学，与重点工作匹配度高。预算执行率高，严格按照“三公”经费预算执行，一年两次在中层干部会议上公开预决算信息。收支管理制度健全，报销审核管理严格。加强资产管理，资产管理制度完备，需政府采购的严格按照政府采购程序采购。基建项目管理制度健全，项目立项、审批、建设、审计、验收等流程健全。</w:t>
      </w:r>
    </w:p>
    <w:p w:rsidR="00F12FD6" w:rsidRPr="00FD1D81" w:rsidRDefault="00FB0C76" w:rsidP="0021061D">
      <w:pPr>
        <w:widowControl/>
        <w:spacing w:line="560" w:lineRule="exact"/>
        <w:ind w:firstLineChars="200" w:firstLine="640"/>
        <w:rPr>
          <w:rFonts w:ascii="仿宋" w:eastAsia="仿宋" w:hAnsi="仿宋"/>
          <w:color w:val="000000" w:themeColor="text1"/>
          <w:kern w:val="0"/>
          <w:sz w:val="32"/>
          <w:szCs w:val="32"/>
        </w:rPr>
      </w:pPr>
      <w:r w:rsidRPr="00FD1D81">
        <w:rPr>
          <w:rFonts w:ascii="仿宋" w:eastAsia="仿宋" w:hAnsi="仿宋"/>
          <w:color w:val="000000" w:themeColor="text1"/>
          <w:kern w:val="0"/>
          <w:sz w:val="32"/>
          <w:szCs w:val="32"/>
        </w:rPr>
        <w:t>强化人才管理，加强单位人员的培训，制定了科学合理的绩效分配方案及各项工作奖励制度，充分调动了人员的积极性。</w:t>
      </w:r>
    </w:p>
    <w:p w:rsidR="00F12FD6" w:rsidRPr="00FD1D81" w:rsidRDefault="00FB0C76" w:rsidP="0021061D">
      <w:pPr>
        <w:widowControl/>
        <w:spacing w:line="560" w:lineRule="exact"/>
        <w:ind w:firstLineChars="200" w:firstLine="640"/>
        <w:rPr>
          <w:rFonts w:ascii="仿宋" w:eastAsia="仿宋" w:hAnsi="仿宋"/>
          <w:color w:val="000000" w:themeColor="text1"/>
          <w:kern w:val="0"/>
          <w:sz w:val="32"/>
          <w:szCs w:val="32"/>
        </w:rPr>
      </w:pPr>
      <w:r w:rsidRPr="00FD1D81">
        <w:rPr>
          <w:rFonts w:ascii="仿宋" w:eastAsia="仿宋" w:hAnsi="仿宋"/>
          <w:color w:val="000000" w:themeColor="text1"/>
          <w:kern w:val="0"/>
          <w:sz w:val="32"/>
          <w:szCs w:val="32"/>
        </w:rPr>
        <w:t>单位履职尽责，完成了202</w:t>
      </w:r>
      <w:r w:rsidR="00FD1D81" w:rsidRPr="00FD1D81">
        <w:rPr>
          <w:rFonts w:ascii="仿宋" w:eastAsia="仿宋" w:hAnsi="仿宋" w:hint="eastAsia"/>
          <w:color w:val="000000" w:themeColor="text1"/>
          <w:kern w:val="0"/>
          <w:sz w:val="32"/>
          <w:szCs w:val="32"/>
        </w:rPr>
        <w:t>5</w:t>
      </w:r>
      <w:r w:rsidRPr="00FD1D81">
        <w:rPr>
          <w:rFonts w:ascii="仿宋" w:eastAsia="仿宋" w:hAnsi="仿宋"/>
          <w:color w:val="000000" w:themeColor="text1"/>
          <w:kern w:val="0"/>
          <w:sz w:val="32"/>
          <w:szCs w:val="32"/>
        </w:rPr>
        <w:t>年度科研、科技服务、园区管理、内部管理、党建等工作目标任务，促进了南京农业增效、农民增收，提高了服务的农业企业、种植大户、农业园区的经济效益，获得社会广泛好评，取得了良好的社会效益。</w:t>
      </w:r>
      <w:proofErr w:type="gramStart"/>
      <w:r w:rsidRPr="00FD1D81">
        <w:rPr>
          <w:rFonts w:ascii="仿宋" w:eastAsia="仿宋" w:hAnsi="仿宋"/>
          <w:color w:val="000000" w:themeColor="text1"/>
          <w:kern w:val="0"/>
          <w:sz w:val="32"/>
          <w:szCs w:val="32"/>
        </w:rPr>
        <w:t>自评价</w:t>
      </w:r>
      <w:proofErr w:type="gramEnd"/>
      <w:r w:rsidRPr="00FD1D81">
        <w:rPr>
          <w:rFonts w:ascii="仿宋" w:eastAsia="仿宋" w:hAnsi="仿宋"/>
          <w:color w:val="000000" w:themeColor="text1"/>
          <w:kern w:val="0"/>
          <w:sz w:val="32"/>
          <w:szCs w:val="32"/>
        </w:rPr>
        <w:t>100分。</w:t>
      </w:r>
    </w:p>
    <w:p w:rsidR="00F12FD6" w:rsidRPr="00FD1D81" w:rsidRDefault="00FB0C76" w:rsidP="0021061D">
      <w:pPr>
        <w:widowControl/>
        <w:spacing w:line="560" w:lineRule="exact"/>
        <w:ind w:firstLineChars="200" w:firstLine="640"/>
        <w:rPr>
          <w:rFonts w:ascii="黑体" w:eastAsia="黑体" w:hAnsi="黑体"/>
          <w:color w:val="000000" w:themeColor="text1"/>
          <w:kern w:val="0"/>
          <w:sz w:val="32"/>
          <w:szCs w:val="32"/>
        </w:rPr>
      </w:pPr>
      <w:r w:rsidRPr="00FD1D81">
        <w:rPr>
          <w:rFonts w:ascii="黑体" w:eastAsia="黑体" w:hAnsi="黑体"/>
          <w:color w:val="000000" w:themeColor="text1"/>
          <w:kern w:val="0"/>
          <w:sz w:val="32"/>
          <w:szCs w:val="32"/>
        </w:rPr>
        <w:t>三、部门履职成效</w:t>
      </w:r>
    </w:p>
    <w:p w:rsidR="00F12FD6" w:rsidRPr="00FD1D81" w:rsidRDefault="00FB0C76" w:rsidP="0021061D">
      <w:pPr>
        <w:widowControl/>
        <w:spacing w:line="560" w:lineRule="exact"/>
        <w:ind w:firstLineChars="200" w:firstLine="640"/>
        <w:rPr>
          <w:rFonts w:ascii="楷体" w:eastAsia="楷体" w:hAnsi="楷体"/>
          <w:kern w:val="0"/>
          <w:sz w:val="32"/>
          <w:szCs w:val="32"/>
        </w:rPr>
      </w:pPr>
      <w:r w:rsidRPr="00FD1D81">
        <w:rPr>
          <w:rFonts w:ascii="楷体" w:eastAsia="楷体" w:hAnsi="楷体"/>
          <w:kern w:val="0"/>
          <w:sz w:val="32"/>
          <w:szCs w:val="32"/>
        </w:rPr>
        <w:t>（一）高质量完成科研工作目标</w:t>
      </w:r>
    </w:p>
    <w:p w:rsidR="00F12FD6" w:rsidRPr="00FD1D81" w:rsidRDefault="00FB0C76" w:rsidP="0021061D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FD1D81">
        <w:rPr>
          <w:rFonts w:ascii="仿宋" w:eastAsia="仿宋" w:hAnsi="仿宋"/>
          <w:color w:val="000000" w:themeColor="text1"/>
          <w:sz w:val="32"/>
          <w:szCs w:val="32"/>
        </w:rPr>
        <w:t>1、促进科研成果产出。获得6项科技奖；申报项目28项，下达14项，其中省级4项、市级10项；授权专利3项；制定标准4项；发表北大核心期刊论文3篇、SCI论文4篇。经江苏省技术合同登记平台认定，签订2个委托技术服务协议。</w:t>
      </w:r>
    </w:p>
    <w:p w:rsidR="00F12FD6" w:rsidRPr="00FD1D81" w:rsidRDefault="00FB0C76" w:rsidP="0021061D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FD1D81">
        <w:rPr>
          <w:rFonts w:ascii="仿宋" w:eastAsia="仿宋" w:hAnsi="仿宋"/>
          <w:color w:val="000000" w:themeColor="text1"/>
          <w:sz w:val="32"/>
          <w:szCs w:val="32"/>
        </w:rPr>
        <w:t>2、完成重点科研项目。完成省市两级种质资源保护利用项目、省种业振兴“揭榜挂帅”项目。完成110个地方种质的繁育更新，11个地方品种</w:t>
      </w:r>
      <w:proofErr w:type="gramStart"/>
      <w:r w:rsidRPr="00FD1D81">
        <w:rPr>
          <w:rFonts w:ascii="仿宋" w:eastAsia="仿宋" w:hAnsi="仿宋"/>
          <w:color w:val="000000" w:themeColor="text1"/>
          <w:sz w:val="32"/>
          <w:szCs w:val="32"/>
        </w:rPr>
        <w:t>提纯复壮并扩繁</w:t>
      </w:r>
      <w:proofErr w:type="gramEnd"/>
      <w:r w:rsidRPr="00FD1D81">
        <w:rPr>
          <w:rFonts w:ascii="仿宋" w:eastAsia="仿宋" w:hAnsi="仿宋"/>
          <w:color w:val="000000" w:themeColor="text1"/>
          <w:sz w:val="32"/>
          <w:szCs w:val="32"/>
        </w:rPr>
        <w:t>原种，3个萝卜新组合的试验制种。以优质、高产、耐储运为目标，种植200余个鲜食玉米新组合10余亩进行田间筛选，选育的‘晶甜598’申请</w:t>
      </w:r>
      <w:r w:rsidRPr="00FD1D81">
        <w:rPr>
          <w:rFonts w:ascii="仿宋" w:eastAsia="仿宋" w:hAnsi="仿宋"/>
          <w:color w:val="000000" w:themeColor="text1"/>
          <w:sz w:val="32"/>
          <w:szCs w:val="32"/>
        </w:rPr>
        <w:lastRenderedPageBreak/>
        <w:t>江苏省区试，‘晶甜6256’申请国家南方（西南区）区试；‘晶甜6158’、‘晶甜6256’、‘H1627B’申请植物新品种权。以选育多季开花重瓣绣球花新品种为目标，完成杂交组合75个，申请绣球花植物新品种权7个。</w:t>
      </w:r>
    </w:p>
    <w:p w:rsidR="00F12FD6" w:rsidRPr="00FD1D81" w:rsidRDefault="00FB0C76" w:rsidP="0021061D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FD1D81">
        <w:rPr>
          <w:rFonts w:ascii="仿宋" w:eastAsia="仿宋" w:hAnsi="仿宋"/>
          <w:color w:val="000000" w:themeColor="text1"/>
          <w:sz w:val="32"/>
          <w:szCs w:val="32"/>
        </w:rPr>
        <w:t>3、完成蔬菜产业链工作。围绕蔬菜产业链，在江宁区南京古理生态农业科技发展有限公司、浦口区陈正</w:t>
      </w:r>
      <w:proofErr w:type="gramStart"/>
      <w:r w:rsidRPr="00FD1D81">
        <w:rPr>
          <w:rFonts w:ascii="仿宋" w:eastAsia="仿宋" w:hAnsi="仿宋"/>
          <w:color w:val="000000" w:themeColor="text1"/>
          <w:sz w:val="32"/>
          <w:szCs w:val="32"/>
        </w:rPr>
        <w:t>华家庭</w:t>
      </w:r>
      <w:proofErr w:type="gramEnd"/>
      <w:r w:rsidRPr="00FD1D81">
        <w:rPr>
          <w:rFonts w:ascii="仿宋" w:eastAsia="仿宋" w:hAnsi="仿宋"/>
          <w:color w:val="000000" w:themeColor="text1"/>
          <w:sz w:val="32"/>
          <w:szCs w:val="32"/>
        </w:rPr>
        <w:t>农场、</w:t>
      </w:r>
      <w:proofErr w:type="gramStart"/>
      <w:r w:rsidRPr="00FD1D81">
        <w:rPr>
          <w:rFonts w:ascii="仿宋" w:eastAsia="仿宋" w:hAnsi="仿宋"/>
          <w:color w:val="000000" w:themeColor="text1"/>
          <w:sz w:val="32"/>
          <w:szCs w:val="32"/>
        </w:rPr>
        <w:t>六合区南京汇涛</w:t>
      </w:r>
      <w:proofErr w:type="gramEnd"/>
      <w:r w:rsidRPr="00FD1D81">
        <w:rPr>
          <w:rFonts w:ascii="仿宋" w:eastAsia="仿宋" w:hAnsi="仿宋"/>
          <w:color w:val="000000" w:themeColor="text1"/>
          <w:sz w:val="32"/>
          <w:szCs w:val="32"/>
        </w:rPr>
        <w:t>生态农业有限公司、溧水区傅家</w:t>
      </w:r>
      <w:proofErr w:type="gramStart"/>
      <w:r w:rsidRPr="00FD1D81">
        <w:rPr>
          <w:rFonts w:ascii="仿宋" w:eastAsia="仿宋" w:hAnsi="仿宋"/>
          <w:color w:val="000000" w:themeColor="text1"/>
          <w:sz w:val="32"/>
          <w:szCs w:val="32"/>
        </w:rPr>
        <w:t>边天润果</w:t>
      </w:r>
      <w:proofErr w:type="gramEnd"/>
      <w:r w:rsidRPr="00FD1D81">
        <w:rPr>
          <w:rFonts w:ascii="仿宋" w:eastAsia="仿宋" w:hAnsi="仿宋"/>
          <w:color w:val="000000" w:themeColor="text1"/>
          <w:sz w:val="32"/>
          <w:szCs w:val="32"/>
        </w:rPr>
        <w:t>蔬专业合作社、高淳区江苏归来</w:t>
      </w:r>
      <w:proofErr w:type="gramStart"/>
      <w:r w:rsidRPr="00FD1D81">
        <w:rPr>
          <w:rFonts w:ascii="仿宋" w:eastAsia="仿宋" w:hAnsi="仿宋"/>
          <w:color w:val="000000" w:themeColor="text1"/>
          <w:sz w:val="32"/>
          <w:szCs w:val="32"/>
        </w:rPr>
        <w:t>兮</w:t>
      </w:r>
      <w:proofErr w:type="gramEnd"/>
      <w:r w:rsidRPr="00FD1D81">
        <w:rPr>
          <w:rFonts w:ascii="仿宋" w:eastAsia="仿宋" w:hAnsi="仿宋"/>
          <w:color w:val="000000" w:themeColor="text1"/>
          <w:sz w:val="32"/>
          <w:szCs w:val="32"/>
        </w:rPr>
        <w:t>生态农业开发有限公司打造五个示范点，选用玻璃温室、薄膜连栋温室、普通8332大棚、宽体大棚等设施结构类型，采用无土栽培和土壤栽培等多种番茄栽培形式，示范推广‘青霞66’、‘艳玉’、‘粉晶灵’、‘桃太粉’、‘普罗旺斯’等优良番茄品种，集成推广番茄轻简化栽培、绿色新型</w:t>
      </w:r>
      <w:proofErr w:type="gramStart"/>
      <w:r w:rsidRPr="00FD1D81">
        <w:rPr>
          <w:rFonts w:ascii="仿宋" w:eastAsia="仿宋" w:hAnsi="仿宋"/>
          <w:color w:val="000000" w:themeColor="text1"/>
          <w:sz w:val="32"/>
          <w:szCs w:val="32"/>
        </w:rPr>
        <w:t>水溶肥施用</w:t>
      </w:r>
      <w:proofErr w:type="gramEnd"/>
      <w:r w:rsidRPr="00FD1D81">
        <w:rPr>
          <w:rFonts w:ascii="仿宋" w:eastAsia="仿宋" w:hAnsi="仿宋"/>
          <w:color w:val="000000" w:themeColor="text1"/>
          <w:sz w:val="32"/>
          <w:szCs w:val="32"/>
        </w:rPr>
        <w:t>、土壤新型绿色</w:t>
      </w:r>
      <w:proofErr w:type="gramStart"/>
      <w:r w:rsidRPr="00FD1D81">
        <w:rPr>
          <w:rFonts w:ascii="仿宋" w:eastAsia="仿宋" w:hAnsi="仿宋"/>
          <w:color w:val="000000" w:themeColor="text1"/>
          <w:sz w:val="32"/>
          <w:szCs w:val="32"/>
        </w:rPr>
        <w:t>高温闷棚和</w:t>
      </w:r>
      <w:proofErr w:type="gramEnd"/>
      <w:r w:rsidRPr="00FD1D81">
        <w:rPr>
          <w:rFonts w:ascii="仿宋" w:eastAsia="仿宋" w:hAnsi="仿宋"/>
          <w:color w:val="000000" w:themeColor="text1"/>
          <w:sz w:val="32"/>
          <w:szCs w:val="32"/>
        </w:rPr>
        <w:t>生物有机肥施用技术</w:t>
      </w:r>
      <w:bookmarkStart w:id="1" w:name="_GoBack"/>
      <w:r w:rsidRPr="00FD1D81">
        <w:rPr>
          <w:rFonts w:ascii="仿宋" w:eastAsia="仿宋" w:hAnsi="仿宋"/>
          <w:color w:val="000000" w:themeColor="text1"/>
          <w:sz w:val="32"/>
          <w:szCs w:val="32"/>
        </w:rPr>
        <w:t>、“</w:t>
      </w:r>
      <w:bookmarkEnd w:id="1"/>
      <w:r w:rsidRPr="00FD1D81">
        <w:rPr>
          <w:rFonts w:ascii="仿宋" w:eastAsia="仿宋" w:hAnsi="仿宋"/>
          <w:color w:val="000000" w:themeColor="text1"/>
          <w:sz w:val="32"/>
          <w:szCs w:val="32"/>
        </w:rPr>
        <w:t>宽沟窄畦”种植模式，提高番茄品质和综合效益，对周边农业企业及种植大户辐射带动。协助蔬菜园艺处举办第四届南京市最好吃番茄大赛，展示“四新”成果。</w:t>
      </w:r>
    </w:p>
    <w:p w:rsidR="00F12FD6" w:rsidRPr="00FD1D81" w:rsidRDefault="00FB0C76" w:rsidP="0021061D">
      <w:pPr>
        <w:widowControl/>
        <w:spacing w:line="560" w:lineRule="exact"/>
        <w:ind w:firstLineChars="200" w:firstLine="640"/>
        <w:rPr>
          <w:rFonts w:ascii="楷体" w:eastAsia="楷体" w:hAnsi="楷体"/>
          <w:kern w:val="0"/>
          <w:sz w:val="32"/>
          <w:szCs w:val="32"/>
        </w:rPr>
      </w:pPr>
      <w:r w:rsidRPr="00FD1D81">
        <w:rPr>
          <w:rFonts w:ascii="楷体" w:eastAsia="楷体" w:hAnsi="楷体"/>
          <w:kern w:val="0"/>
          <w:sz w:val="32"/>
          <w:szCs w:val="32"/>
        </w:rPr>
        <w:t>（二）</w:t>
      </w:r>
      <w:r w:rsidRPr="00FD1D81">
        <w:rPr>
          <w:rFonts w:ascii="楷体" w:eastAsia="楷体" w:hAnsi="楷体"/>
          <w:color w:val="000000" w:themeColor="text1"/>
          <w:sz w:val="32"/>
          <w:szCs w:val="32"/>
        </w:rPr>
        <w:t>开展农业科技服务</w:t>
      </w:r>
    </w:p>
    <w:p w:rsidR="00F12FD6" w:rsidRPr="00FD1D81" w:rsidRDefault="00FB0C76" w:rsidP="0021061D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FD1D81">
        <w:rPr>
          <w:rFonts w:ascii="仿宋" w:eastAsia="仿宋" w:hAnsi="仿宋"/>
          <w:color w:val="000000" w:themeColor="text1"/>
          <w:sz w:val="32"/>
          <w:szCs w:val="32"/>
        </w:rPr>
        <w:t>对全市218家30亩以上蔬菜经营主体进行摸排调研，实现所领导包片区、技术人员“一对一”挂钩服务工作责任制，线上线下服务相结合，负责经营主体日常技术指导、问题收集和解决跟踪。了解到其中有技术服务需求102家，根据主体实际需求及辐射带动能力，列为重点服务39家、一般性服务63家。累计派出科技服务人员84次268人次，线上技术指导182人次。开展农业技术培训9次，培训500余人，取得积极服务成效。</w:t>
      </w:r>
    </w:p>
    <w:p w:rsidR="00F12FD6" w:rsidRPr="00FD1D81" w:rsidRDefault="00FB0C76" w:rsidP="0021061D">
      <w:pPr>
        <w:widowControl/>
        <w:spacing w:line="560" w:lineRule="exact"/>
        <w:ind w:firstLineChars="200" w:firstLine="640"/>
        <w:rPr>
          <w:rFonts w:ascii="楷体" w:eastAsia="楷体" w:hAnsi="楷体"/>
          <w:kern w:val="0"/>
          <w:sz w:val="32"/>
          <w:szCs w:val="32"/>
        </w:rPr>
      </w:pPr>
      <w:r w:rsidRPr="00FD1D81">
        <w:rPr>
          <w:rFonts w:ascii="楷体" w:eastAsia="楷体" w:hAnsi="楷体"/>
          <w:kern w:val="0"/>
          <w:sz w:val="32"/>
          <w:szCs w:val="32"/>
        </w:rPr>
        <w:lastRenderedPageBreak/>
        <w:t>（三）从严内部管理</w:t>
      </w:r>
    </w:p>
    <w:p w:rsidR="00F12FD6" w:rsidRPr="00FD1D81" w:rsidRDefault="00FB0C76" w:rsidP="0021061D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FD1D81">
        <w:rPr>
          <w:rFonts w:ascii="仿宋" w:eastAsia="仿宋" w:hAnsi="仿宋"/>
          <w:color w:val="000000" w:themeColor="text1"/>
          <w:sz w:val="32"/>
          <w:szCs w:val="32"/>
        </w:rPr>
        <w:t>1、强化人才队伍建设。一是营造尊重人才、关爱人才、成就人才的良好氛围，鼓励年轻干部担任课题组组长，负责课题的调研、确定研究方向、制定科研实施方案等，培养年轻科研骨干人才。二是持续优化职称申报工作，提升申报材料的规范性与质量，为职工顺利进行职称申报提供有力的指导与帮助。全年</w:t>
      </w:r>
      <w:proofErr w:type="gramStart"/>
      <w:r w:rsidRPr="00FD1D81">
        <w:rPr>
          <w:rFonts w:ascii="仿宋" w:eastAsia="仿宋" w:hAnsi="仿宋"/>
          <w:color w:val="000000" w:themeColor="text1"/>
          <w:sz w:val="32"/>
          <w:szCs w:val="32"/>
        </w:rPr>
        <w:t>获评正高级</w:t>
      </w:r>
      <w:proofErr w:type="gramEnd"/>
      <w:r w:rsidRPr="00FD1D81">
        <w:rPr>
          <w:rFonts w:ascii="仿宋" w:eastAsia="仿宋" w:hAnsi="仿宋"/>
          <w:color w:val="000000" w:themeColor="text1"/>
          <w:sz w:val="32"/>
          <w:szCs w:val="32"/>
        </w:rPr>
        <w:t>农艺师4人、高级农艺师1人、思政工作副研究员1人、农艺师1人，人才队伍结构持续优化。</w:t>
      </w:r>
    </w:p>
    <w:p w:rsidR="00F12FD6" w:rsidRPr="00FD1D81" w:rsidRDefault="00FB0C76" w:rsidP="0021061D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FD1D81">
        <w:rPr>
          <w:rFonts w:ascii="仿宋" w:eastAsia="仿宋" w:hAnsi="仿宋"/>
          <w:color w:val="000000" w:themeColor="text1"/>
          <w:sz w:val="32"/>
          <w:szCs w:val="32"/>
        </w:rPr>
        <w:t>2、强化宣传工作。</w:t>
      </w:r>
      <w:proofErr w:type="gramStart"/>
      <w:r w:rsidRPr="00FD1D81">
        <w:rPr>
          <w:rFonts w:ascii="仿宋" w:eastAsia="仿宋" w:hAnsi="仿宋"/>
          <w:color w:val="000000" w:themeColor="text1"/>
          <w:sz w:val="32"/>
          <w:szCs w:val="32"/>
        </w:rPr>
        <w:t>围绕蔬科所</w:t>
      </w:r>
      <w:proofErr w:type="gramEnd"/>
      <w:r w:rsidRPr="00FD1D81">
        <w:rPr>
          <w:rFonts w:ascii="仿宋" w:eastAsia="仿宋" w:hAnsi="仿宋"/>
          <w:color w:val="000000" w:themeColor="text1"/>
          <w:sz w:val="32"/>
          <w:szCs w:val="32"/>
        </w:rPr>
        <w:t>重点工作、科技服务亮点和先进典型，不断挖掘新闻亮点，严格落实网络平台管理责任，讲好党的声音，生动</w:t>
      </w:r>
      <w:proofErr w:type="gramStart"/>
      <w:r w:rsidRPr="00FD1D81">
        <w:rPr>
          <w:rFonts w:ascii="仿宋" w:eastAsia="仿宋" w:hAnsi="仿宋"/>
          <w:color w:val="000000" w:themeColor="text1"/>
          <w:sz w:val="32"/>
          <w:szCs w:val="32"/>
        </w:rPr>
        <w:t>写好蔬科所</w:t>
      </w:r>
      <w:proofErr w:type="gramEnd"/>
      <w:r w:rsidRPr="00FD1D81">
        <w:rPr>
          <w:rFonts w:ascii="仿宋" w:eastAsia="仿宋" w:hAnsi="仿宋"/>
          <w:color w:val="000000" w:themeColor="text1"/>
          <w:sz w:val="32"/>
          <w:szCs w:val="32"/>
        </w:rPr>
        <w:t>的“好故事”，用有血有肉的鲜活事例提升宣传的感染力、吸引力。今年提升对外信息宣传质效，宣传信息先后在“南京新风”“南报网”“紫金山新闻”“钟山评论”多家媒体平台报道共计31次，进一步提升了我所的影响力。报送政务信息5篇，获</w:t>
      </w:r>
      <w:proofErr w:type="gramStart"/>
      <w:r w:rsidRPr="00FD1D81">
        <w:rPr>
          <w:rFonts w:ascii="仿宋" w:eastAsia="仿宋" w:hAnsi="仿宋"/>
          <w:color w:val="000000" w:themeColor="text1"/>
          <w:sz w:val="32"/>
          <w:szCs w:val="32"/>
        </w:rPr>
        <w:t>市两办</w:t>
      </w:r>
      <w:proofErr w:type="gramEnd"/>
      <w:r w:rsidRPr="00FD1D81">
        <w:rPr>
          <w:rFonts w:ascii="仿宋" w:eastAsia="仿宋" w:hAnsi="仿宋"/>
          <w:color w:val="000000" w:themeColor="text1"/>
          <w:sz w:val="32"/>
          <w:szCs w:val="32"/>
        </w:rPr>
        <w:t>《综合信息》采用2篇，已完成报送、发表目标任务。</w:t>
      </w:r>
    </w:p>
    <w:p w:rsidR="00F12FD6" w:rsidRPr="00FD1D81" w:rsidRDefault="00FB0C76" w:rsidP="0021061D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FD1D81">
        <w:rPr>
          <w:rFonts w:ascii="仿宋" w:eastAsia="仿宋" w:hAnsi="仿宋"/>
          <w:color w:val="000000" w:themeColor="text1"/>
          <w:sz w:val="32"/>
          <w:szCs w:val="32"/>
        </w:rPr>
        <w:t>3、加强各项工作管理。一是严格落实安全生产责任制，成立安全生产和消防安全工作领导小组，制定《市蔬科所安全生产工作方案》，落实安全工作各项举措，努力防范各类事故发生，确保全所安全无事故。落实休息日、节假日领导带班和24小时值班制度。常态</w:t>
      </w:r>
      <w:proofErr w:type="gramStart"/>
      <w:r w:rsidRPr="00FD1D81">
        <w:rPr>
          <w:rFonts w:ascii="仿宋" w:eastAsia="仿宋" w:hAnsi="仿宋"/>
          <w:color w:val="000000" w:themeColor="text1"/>
          <w:sz w:val="32"/>
          <w:szCs w:val="32"/>
        </w:rPr>
        <w:t>化开展</w:t>
      </w:r>
      <w:proofErr w:type="gramEnd"/>
      <w:r w:rsidRPr="00FD1D81">
        <w:rPr>
          <w:rFonts w:ascii="仿宋" w:eastAsia="仿宋" w:hAnsi="仿宋"/>
          <w:color w:val="000000" w:themeColor="text1"/>
          <w:sz w:val="32"/>
          <w:szCs w:val="32"/>
        </w:rPr>
        <w:t>办公区、出租房安全检查与隐患整改，做好安全检查台账，安排人员检查水电气、消防设备、易燃易爆品等情况，对发现的安全隐患要求承租方及时进行整改，确保不发生安全事故。二是做好后勤服务保障，严格印章管理，</w:t>
      </w:r>
      <w:r w:rsidRPr="00FD1D81">
        <w:rPr>
          <w:rFonts w:ascii="仿宋" w:eastAsia="仿宋" w:hAnsi="仿宋"/>
          <w:color w:val="000000" w:themeColor="text1"/>
          <w:sz w:val="32"/>
          <w:szCs w:val="32"/>
        </w:rPr>
        <w:lastRenderedPageBreak/>
        <w:t>实行“专人保管、用印登记”制度，规范印章管理使用。规范公务派车与租车管理，实行平台派车、审批留痕，保障出行安全合</w:t>
      </w:r>
      <w:proofErr w:type="gramStart"/>
      <w:r w:rsidRPr="00FD1D81">
        <w:rPr>
          <w:rFonts w:ascii="仿宋" w:eastAsia="仿宋" w:hAnsi="仿宋"/>
          <w:color w:val="000000" w:themeColor="text1"/>
          <w:sz w:val="32"/>
          <w:szCs w:val="32"/>
        </w:rPr>
        <w:t>规</w:t>
      </w:r>
      <w:proofErr w:type="gramEnd"/>
      <w:r w:rsidRPr="00FD1D81">
        <w:rPr>
          <w:rFonts w:ascii="仿宋" w:eastAsia="仿宋" w:hAnsi="仿宋"/>
          <w:color w:val="000000" w:themeColor="text1"/>
          <w:sz w:val="32"/>
          <w:szCs w:val="32"/>
        </w:rPr>
        <w:t>；假日期间按照公车管理要求存放；开展驾驶员安全教育培训，保障驾驶安全。</w:t>
      </w:r>
    </w:p>
    <w:p w:rsidR="00F12FD6" w:rsidRPr="00FD1D81" w:rsidRDefault="00FB0C76" w:rsidP="0021061D">
      <w:pPr>
        <w:widowControl/>
        <w:spacing w:line="560" w:lineRule="exact"/>
        <w:ind w:firstLineChars="200" w:firstLine="640"/>
        <w:rPr>
          <w:rFonts w:ascii="楷体" w:eastAsia="楷体" w:hAnsi="楷体"/>
          <w:kern w:val="0"/>
          <w:sz w:val="32"/>
          <w:szCs w:val="32"/>
        </w:rPr>
      </w:pPr>
      <w:r w:rsidRPr="00FD1D81">
        <w:rPr>
          <w:rFonts w:ascii="楷体" w:eastAsia="楷体" w:hAnsi="楷体"/>
          <w:kern w:val="0"/>
          <w:sz w:val="32"/>
          <w:szCs w:val="32"/>
        </w:rPr>
        <w:t>（四）强化党风廉政建设</w:t>
      </w:r>
    </w:p>
    <w:p w:rsidR="00F12FD6" w:rsidRPr="00FD1D81" w:rsidRDefault="00FB0C76" w:rsidP="0021061D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FD1D81">
        <w:rPr>
          <w:rFonts w:ascii="仿宋" w:eastAsia="仿宋" w:hAnsi="仿宋"/>
          <w:color w:val="000000" w:themeColor="text1"/>
          <w:sz w:val="32"/>
          <w:szCs w:val="32"/>
        </w:rPr>
        <w:t>严格落实党风廉政建设责任制，</w:t>
      </w:r>
      <w:proofErr w:type="gramStart"/>
      <w:r w:rsidRPr="00FD1D81">
        <w:rPr>
          <w:rFonts w:ascii="仿宋" w:eastAsia="仿宋" w:hAnsi="仿宋"/>
          <w:color w:val="000000" w:themeColor="text1"/>
          <w:sz w:val="32"/>
          <w:szCs w:val="32"/>
        </w:rPr>
        <w:t>构建班子</w:t>
      </w:r>
      <w:proofErr w:type="gramEnd"/>
      <w:r w:rsidRPr="00FD1D81">
        <w:rPr>
          <w:rFonts w:ascii="仿宋" w:eastAsia="仿宋" w:hAnsi="仿宋"/>
          <w:color w:val="000000" w:themeColor="text1"/>
          <w:sz w:val="32"/>
          <w:szCs w:val="32"/>
        </w:rPr>
        <w:t>成员 “一岗双责” 的责任体系，将廉政建设与业务工作同部署、同落实、同检查、同考核，通过签订责任书实现责任层层传递、压力层层传导。丰富廉政教育形式，以廉政党课、警示教育片等为载体，常态</w:t>
      </w:r>
      <w:proofErr w:type="gramStart"/>
      <w:r w:rsidRPr="00FD1D81">
        <w:rPr>
          <w:rFonts w:ascii="仿宋" w:eastAsia="仿宋" w:hAnsi="仿宋"/>
          <w:color w:val="000000" w:themeColor="text1"/>
          <w:sz w:val="32"/>
          <w:szCs w:val="32"/>
        </w:rPr>
        <w:t>化开展</w:t>
      </w:r>
      <w:proofErr w:type="gramEnd"/>
      <w:r w:rsidRPr="00FD1D81">
        <w:rPr>
          <w:rFonts w:ascii="仿宋" w:eastAsia="仿宋" w:hAnsi="仿宋"/>
          <w:color w:val="000000" w:themeColor="text1"/>
          <w:sz w:val="32"/>
          <w:szCs w:val="32"/>
        </w:rPr>
        <w:t>廉洁教育。开展廉洁家书活动评比活动，组织全体干部职工观看警示教育片，学习典型案例通报，用身边事教育身边人，引导党员干部以案为鉴、警钟长鸣，自觉抵制各种诱惑，做到廉洁自律。组织学习“钟山清风廉政提醒”。传达了市农业农村局关于节日期间党风廉政建设要求，持之以恒推进党纪学习教育常态化、长效化。</w:t>
      </w:r>
    </w:p>
    <w:p w:rsidR="00F12FD6" w:rsidRPr="00FD1D81" w:rsidRDefault="00FB0C76" w:rsidP="0021061D">
      <w:pPr>
        <w:widowControl/>
        <w:spacing w:line="560" w:lineRule="exact"/>
        <w:ind w:firstLineChars="200" w:firstLine="640"/>
        <w:rPr>
          <w:rFonts w:ascii="黑体" w:eastAsia="黑体" w:hAnsi="黑体"/>
          <w:color w:val="000000" w:themeColor="text1"/>
          <w:kern w:val="0"/>
          <w:sz w:val="32"/>
          <w:szCs w:val="32"/>
        </w:rPr>
      </w:pPr>
      <w:r w:rsidRPr="00FD1D81">
        <w:rPr>
          <w:rFonts w:ascii="黑体" w:eastAsia="黑体" w:hAnsi="黑体"/>
          <w:color w:val="000000" w:themeColor="text1"/>
          <w:kern w:val="0"/>
          <w:sz w:val="32"/>
          <w:szCs w:val="32"/>
        </w:rPr>
        <w:t>四、存在问题及建议</w:t>
      </w:r>
    </w:p>
    <w:p w:rsidR="00F12FD6" w:rsidRDefault="00FB0C76" w:rsidP="0021061D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FD1D81">
        <w:rPr>
          <w:rFonts w:ascii="仿宋" w:eastAsia="仿宋" w:hAnsi="仿宋"/>
          <w:color w:val="000000" w:themeColor="text1"/>
          <w:sz w:val="32"/>
          <w:szCs w:val="32"/>
        </w:rPr>
        <w:t>所内科</w:t>
      </w:r>
      <w:proofErr w:type="gramStart"/>
      <w:r w:rsidRPr="00FD1D81">
        <w:rPr>
          <w:rFonts w:ascii="仿宋" w:eastAsia="仿宋" w:hAnsi="仿宋"/>
          <w:color w:val="000000" w:themeColor="text1"/>
          <w:sz w:val="32"/>
          <w:szCs w:val="32"/>
        </w:rPr>
        <w:t>研</w:t>
      </w:r>
      <w:proofErr w:type="gramEnd"/>
      <w:r w:rsidRPr="00FD1D81">
        <w:rPr>
          <w:rFonts w:ascii="仿宋" w:eastAsia="仿宋" w:hAnsi="仿宋"/>
          <w:color w:val="000000" w:themeColor="text1"/>
          <w:sz w:val="32"/>
          <w:szCs w:val="32"/>
        </w:rPr>
        <w:t>工作发展还不平衡，部分科研工作成果和优势没有显现出来。建议加</w:t>
      </w:r>
      <w:r w:rsidRPr="00FD1D81">
        <w:rPr>
          <w:rFonts w:ascii="仿宋" w:eastAsia="仿宋" w:hAnsi="仿宋" w:hint="eastAsia"/>
          <w:color w:val="000000" w:themeColor="text1"/>
          <w:sz w:val="32"/>
          <w:szCs w:val="32"/>
        </w:rPr>
        <w:t>大科研成果</w:t>
      </w:r>
      <w:r w:rsidRPr="00FD1D81">
        <w:rPr>
          <w:rFonts w:ascii="仿宋" w:eastAsia="仿宋" w:hAnsi="仿宋"/>
          <w:color w:val="000000" w:themeColor="text1"/>
          <w:sz w:val="32"/>
          <w:szCs w:val="32"/>
        </w:rPr>
        <w:t>转化推广的投入，培育</w:t>
      </w:r>
      <w:r w:rsidRPr="00FD1D81">
        <w:rPr>
          <w:rFonts w:ascii="仿宋" w:eastAsia="仿宋" w:hAnsi="仿宋" w:hint="eastAsia"/>
          <w:color w:val="000000" w:themeColor="text1"/>
          <w:sz w:val="32"/>
          <w:szCs w:val="32"/>
        </w:rPr>
        <w:t>成果</w:t>
      </w:r>
      <w:r w:rsidRPr="00FD1D81">
        <w:rPr>
          <w:rFonts w:ascii="仿宋" w:eastAsia="仿宋" w:hAnsi="仿宋"/>
          <w:color w:val="000000" w:themeColor="text1"/>
          <w:sz w:val="32"/>
          <w:szCs w:val="32"/>
        </w:rPr>
        <w:t>转化队伍，提升</w:t>
      </w:r>
      <w:r w:rsidRPr="00FD1D81">
        <w:rPr>
          <w:rFonts w:ascii="仿宋" w:eastAsia="仿宋" w:hAnsi="仿宋" w:hint="eastAsia"/>
          <w:color w:val="000000" w:themeColor="text1"/>
          <w:sz w:val="32"/>
          <w:szCs w:val="32"/>
        </w:rPr>
        <w:t>成果</w:t>
      </w:r>
      <w:r w:rsidRPr="00FD1D81">
        <w:rPr>
          <w:rFonts w:ascii="仿宋" w:eastAsia="仿宋" w:hAnsi="仿宋"/>
          <w:color w:val="000000" w:themeColor="text1"/>
          <w:sz w:val="32"/>
          <w:szCs w:val="32"/>
        </w:rPr>
        <w:t>转化能力。</w:t>
      </w:r>
    </w:p>
    <w:p w:rsidR="00C54968" w:rsidRDefault="00C54968" w:rsidP="0021061D">
      <w:pPr>
        <w:widowControl/>
        <w:spacing w:line="560" w:lineRule="exact"/>
        <w:rPr>
          <w:rStyle w:val="NormalCharacter"/>
          <w:rFonts w:ascii="仿宋" w:eastAsia="仿宋" w:hAnsi="仿宋"/>
          <w:color w:val="000000" w:themeColor="text1"/>
          <w:kern w:val="0"/>
          <w:sz w:val="32"/>
          <w:szCs w:val="32"/>
        </w:rPr>
      </w:pPr>
    </w:p>
    <w:p w:rsidR="00B052E1" w:rsidRPr="00FD1D81" w:rsidRDefault="00B052E1" w:rsidP="0021061D">
      <w:pPr>
        <w:widowControl/>
        <w:spacing w:line="560" w:lineRule="exact"/>
        <w:rPr>
          <w:rStyle w:val="NormalCharacter"/>
          <w:rFonts w:ascii="仿宋" w:eastAsia="仿宋" w:hAnsi="仿宋"/>
          <w:color w:val="000000" w:themeColor="text1"/>
          <w:kern w:val="0"/>
          <w:sz w:val="32"/>
          <w:szCs w:val="32"/>
        </w:rPr>
      </w:pPr>
    </w:p>
    <w:p w:rsidR="00F12FD6" w:rsidRPr="00FD1D81" w:rsidRDefault="00FB0C76" w:rsidP="0021061D">
      <w:pPr>
        <w:widowControl/>
        <w:spacing w:line="560" w:lineRule="exact"/>
        <w:ind w:firstLineChars="200" w:firstLine="640"/>
        <w:jc w:val="right"/>
        <w:rPr>
          <w:rStyle w:val="NormalCharacter"/>
          <w:rFonts w:ascii="仿宋" w:eastAsia="仿宋" w:hAnsi="仿宋"/>
          <w:color w:val="000000" w:themeColor="text1"/>
          <w:kern w:val="0"/>
          <w:sz w:val="32"/>
          <w:szCs w:val="32"/>
        </w:rPr>
      </w:pPr>
      <w:r w:rsidRPr="00FD1D81">
        <w:rPr>
          <w:rStyle w:val="NormalCharacter"/>
          <w:rFonts w:ascii="仿宋" w:eastAsia="仿宋" w:hAnsi="仿宋"/>
          <w:color w:val="000000" w:themeColor="text1"/>
          <w:kern w:val="0"/>
          <w:sz w:val="32"/>
          <w:szCs w:val="32"/>
        </w:rPr>
        <w:t>南京市蔬菜科学研究所</w:t>
      </w:r>
    </w:p>
    <w:p w:rsidR="00F12FD6" w:rsidRPr="00FD1D81" w:rsidRDefault="00FB0C76" w:rsidP="0021061D">
      <w:pPr>
        <w:widowControl/>
        <w:spacing w:line="560" w:lineRule="exact"/>
        <w:ind w:right="640" w:firstLineChars="200" w:firstLine="640"/>
        <w:jc w:val="right"/>
        <w:rPr>
          <w:rStyle w:val="NormalCharacter"/>
          <w:rFonts w:ascii="仿宋" w:eastAsia="仿宋" w:hAnsi="仿宋"/>
          <w:color w:val="000000" w:themeColor="text1"/>
          <w:kern w:val="0"/>
          <w:sz w:val="32"/>
          <w:szCs w:val="32"/>
        </w:rPr>
      </w:pPr>
      <w:r w:rsidRPr="00FD1D81">
        <w:rPr>
          <w:rStyle w:val="NormalCharacter"/>
          <w:rFonts w:ascii="仿宋" w:eastAsia="仿宋" w:hAnsi="仿宋"/>
          <w:color w:val="000000" w:themeColor="text1"/>
          <w:kern w:val="0"/>
          <w:sz w:val="32"/>
          <w:szCs w:val="32"/>
        </w:rPr>
        <w:t>2026年6月</w:t>
      </w:r>
    </w:p>
    <w:p w:rsidR="00F12FD6" w:rsidRDefault="00F12FD6">
      <w:pPr>
        <w:widowControl/>
        <w:jc w:val="left"/>
        <w:rPr>
          <w:rFonts w:eastAsia="仿宋"/>
          <w:b/>
          <w:sz w:val="32"/>
          <w:szCs w:val="32"/>
        </w:rPr>
        <w:sectPr w:rsidR="00F12FD6">
          <w:footerReference w:type="default" r:id="rId9"/>
          <w:pgSz w:w="11906" w:h="16838"/>
          <w:pgMar w:top="1440" w:right="1588" w:bottom="1440" w:left="1588" w:header="851" w:footer="992" w:gutter="0"/>
          <w:cols w:space="425"/>
          <w:docGrid w:type="lines" w:linePitch="312"/>
        </w:sectPr>
      </w:pPr>
    </w:p>
    <w:p w:rsidR="00F12FD6" w:rsidRDefault="00F12FD6" w:rsidP="004C4CB5">
      <w:pPr>
        <w:jc w:val="left"/>
        <w:rPr>
          <w:rFonts w:eastAsia="仿宋"/>
          <w:b/>
          <w:sz w:val="32"/>
          <w:szCs w:val="32"/>
        </w:rPr>
      </w:pPr>
    </w:p>
    <w:p w:rsidR="00F12FD6" w:rsidRDefault="00FB0C76">
      <w:pPr>
        <w:ind w:firstLineChars="71" w:firstLine="228"/>
        <w:jc w:val="left"/>
        <w:rPr>
          <w:rFonts w:eastAsia="仿宋"/>
          <w:b/>
          <w:sz w:val="32"/>
          <w:szCs w:val="32"/>
        </w:rPr>
      </w:pPr>
      <w:r>
        <w:rPr>
          <w:rFonts w:eastAsia="仿宋"/>
          <w:b/>
          <w:sz w:val="32"/>
          <w:szCs w:val="32"/>
        </w:rPr>
        <w:t>附件</w:t>
      </w:r>
      <w:r>
        <w:rPr>
          <w:rFonts w:eastAsia="仿宋"/>
          <w:b/>
          <w:sz w:val="32"/>
          <w:szCs w:val="32"/>
        </w:rPr>
        <w:t>1</w:t>
      </w:r>
      <w:r>
        <w:rPr>
          <w:rFonts w:eastAsia="仿宋"/>
          <w:b/>
          <w:sz w:val="32"/>
          <w:szCs w:val="32"/>
        </w:rPr>
        <w:t>：部门整体绩效评价指标框架</w:t>
      </w:r>
    </w:p>
    <w:tbl>
      <w:tblPr>
        <w:tblW w:w="13858" w:type="dxa"/>
        <w:tblLayout w:type="fixed"/>
        <w:tblLook w:val="04A0" w:firstRow="1" w:lastRow="0" w:firstColumn="1" w:lastColumn="0" w:noHBand="0" w:noVBand="1"/>
      </w:tblPr>
      <w:tblGrid>
        <w:gridCol w:w="1242"/>
        <w:gridCol w:w="1701"/>
        <w:gridCol w:w="2268"/>
        <w:gridCol w:w="2127"/>
        <w:gridCol w:w="1842"/>
        <w:gridCol w:w="1418"/>
        <w:gridCol w:w="1984"/>
        <w:gridCol w:w="1276"/>
      </w:tblGrid>
      <w:tr w:rsidR="00BE5A78" w:rsidTr="00D43F95">
        <w:trPr>
          <w:trHeight w:val="457"/>
          <w:tblHeader/>
        </w:trPr>
        <w:tc>
          <w:tcPr>
            <w:tcW w:w="12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bCs/>
                <w:color w:val="000000"/>
                <w:kern w:val="0"/>
                <w:sz w:val="24"/>
                <w:szCs w:val="24"/>
              </w:rPr>
              <w:t>一级指标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bCs/>
                <w:color w:val="000000"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 w:rsidP="003C48C3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bCs/>
                <w:color w:val="000000"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bCs/>
                <w:color w:val="000000"/>
                <w:kern w:val="0"/>
                <w:sz w:val="24"/>
                <w:szCs w:val="24"/>
              </w:rPr>
              <w:t>指标说明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bCs/>
                <w:color w:val="000000"/>
                <w:kern w:val="0"/>
                <w:sz w:val="24"/>
                <w:szCs w:val="24"/>
              </w:rPr>
              <w:t>评价</w:t>
            </w:r>
            <w:r>
              <w:rPr>
                <w:rFonts w:eastAsia="仿宋" w:hint="eastAsia"/>
                <w:b/>
                <w:bCs/>
                <w:color w:val="000000"/>
                <w:kern w:val="0"/>
                <w:sz w:val="24"/>
                <w:szCs w:val="24"/>
              </w:rPr>
              <w:t>依据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bCs/>
                <w:color w:val="000000"/>
                <w:kern w:val="0"/>
                <w:sz w:val="24"/>
                <w:szCs w:val="24"/>
              </w:rPr>
              <w:t>权重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bCs/>
                <w:color w:val="000000"/>
                <w:kern w:val="0"/>
                <w:sz w:val="24"/>
                <w:szCs w:val="24"/>
              </w:rPr>
              <w:t>未完成原因分析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bCs/>
                <w:color w:val="000000"/>
                <w:kern w:val="0"/>
                <w:sz w:val="24"/>
                <w:szCs w:val="24"/>
              </w:rPr>
              <w:t>自评得分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bookmarkStart w:id="2" w:name="_Hlk233642971"/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A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单位决策（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15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A1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决策机制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A11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决策制度的规范性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规范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衡量流程执行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bCs/>
                <w:color w:val="000000"/>
                <w:kern w:val="0"/>
                <w:sz w:val="24"/>
                <w:szCs w:val="24"/>
              </w:rPr>
              <w:t>决策制度有相关的流程图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ind w:firstLineChars="250" w:firstLine="600"/>
              <w:jc w:val="left"/>
              <w:rPr>
                <w:rFonts w:eastAsia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AC0EC6" w:rsidP="00FA2973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ind w:firstLineChars="250" w:firstLine="600"/>
              <w:jc w:val="left"/>
              <w:rPr>
                <w:rFonts w:eastAsia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A12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决策流程的科学性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科学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衡量流程的设计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流程设计科学合理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ind w:firstLineChars="250" w:firstLine="600"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7825CB">
              <w:rPr>
                <w:rFonts w:eastAsia="仿宋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ind w:firstLineChars="250" w:firstLine="600"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A13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决策执行监督制衡机制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监督制衡机制的设置与运行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2"/>
              </w:rPr>
            </w:pPr>
            <w:r>
              <w:rPr>
                <w:rFonts w:eastAsia="仿宋"/>
                <w:color w:val="000000"/>
                <w:kern w:val="0"/>
                <w:sz w:val="22"/>
              </w:rPr>
              <w:t>监督制衡机制设置有效</w:t>
            </w:r>
            <w:proofErr w:type="gramStart"/>
            <w:r>
              <w:rPr>
                <w:rFonts w:eastAsia="仿宋"/>
                <w:color w:val="000000"/>
                <w:kern w:val="0"/>
                <w:sz w:val="22"/>
              </w:rPr>
              <w:t>且正常</w:t>
            </w:r>
            <w:proofErr w:type="gramEnd"/>
            <w:r>
              <w:rPr>
                <w:rFonts w:eastAsia="仿宋"/>
                <w:color w:val="000000"/>
                <w:kern w:val="0"/>
                <w:sz w:val="22"/>
              </w:rPr>
              <w:t>运行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ind w:firstLineChars="300" w:firstLine="660"/>
              <w:jc w:val="left"/>
              <w:rPr>
                <w:rFonts w:eastAsia="仿宋"/>
                <w:color w:val="000000"/>
                <w:kern w:val="0"/>
                <w:sz w:val="22"/>
              </w:rPr>
            </w:pPr>
            <w:r>
              <w:rPr>
                <w:rFonts w:eastAsia="仿宋"/>
                <w:color w:val="000000"/>
                <w:kern w:val="0"/>
                <w:sz w:val="22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7825CB">
              <w:rPr>
                <w:rFonts w:eastAsia="仿宋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ind w:firstLineChars="300" w:firstLine="660"/>
              <w:jc w:val="left"/>
              <w:rPr>
                <w:rFonts w:eastAsia="仿宋"/>
                <w:color w:val="000000"/>
                <w:kern w:val="0"/>
                <w:sz w:val="22"/>
              </w:rPr>
            </w:pPr>
            <w:r>
              <w:rPr>
                <w:rFonts w:eastAsia="仿宋"/>
                <w:color w:val="000000"/>
                <w:kern w:val="0"/>
                <w:sz w:val="22"/>
              </w:rPr>
              <w:t>1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A2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中长期规划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A21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中长期规划明确性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符合国家法律法规、国民经济和社会发展规划要求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具体明确可执行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ind w:firstLineChars="250" w:firstLine="600"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7825CB">
              <w:rPr>
                <w:rFonts w:eastAsia="仿宋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ind w:firstLineChars="250" w:firstLine="600"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A22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中长期规划与部门职能的匹配性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与单位职能、发展规划和工作计划密切相关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部门职能相匹配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7825CB">
              <w:rPr>
                <w:rFonts w:eastAsia="仿宋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A</w:t>
            </w:r>
            <w:proofErr w:type="gramStart"/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3</w:t>
            </w:r>
            <w:proofErr w:type="gramEnd"/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年度工作计划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A</w:t>
            </w:r>
            <w:proofErr w:type="gramStart"/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31</w:t>
            </w:r>
            <w:proofErr w:type="gramEnd"/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年度工作计划明确性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年度工作计划明确可行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评价年度工作计划是否明确可执行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7825CB">
              <w:rPr>
                <w:rFonts w:eastAsia="仿宋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A</w:t>
            </w:r>
            <w:proofErr w:type="gramStart"/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32</w:t>
            </w:r>
            <w:proofErr w:type="gramEnd"/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年度工作计划与部门职能的匹配性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与部门职能密切相关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评价其与部门职能相匹配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7825CB">
              <w:rPr>
                <w:rFonts w:eastAsia="仿宋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A4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部门预算编制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A41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预算编制科学规范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预算编制指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内部预算编制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，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科学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lastRenderedPageBreak/>
              <w:t>衡量制度设计，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规范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衡量流程执行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lastRenderedPageBreak/>
              <w:t>检查相关的预算制度文件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3A59BE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A42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预算编制与重点工作任务的匹配性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预算编制指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内部预算编制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工作任务分解表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3A59BE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单位管理（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B1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预算执行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B11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部门预算执行率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与市财政局预算处考核口径一致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2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与市财政局预算处考核口径一致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2"/>
              </w:rPr>
            </w:pPr>
            <w:r>
              <w:rPr>
                <w:rFonts w:eastAsia="仿宋"/>
                <w:color w:val="000000"/>
                <w:kern w:val="0"/>
                <w:sz w:val="22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3A59BE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center"/>
              <w:rPr>
                <w:rFonts w:eastAsia="仿宋"/>
                <w:color w:val="000000"/>
                <w:kern w:val="0"/>
                <w:sz w:val="22"/>
              </w:rPr>
            </w:pPr>
            <w:r>
              <w:rPr>
                <w:rFonts w:eastAsia="仿宋"/>
                <w:color w:val="000000"/>
                <w:kern w:val="0"/>
                <w:sz w:val="22"/>
              </w:rPr>
              <w:t>1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B12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专项资金执行率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与市财政局预算处考核口径一致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2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与市财政局预算处考核口径一致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2"/>
              </w:rPr>
            </w:pPr>
            <w:r>
              <w:rPr>
                <w:rFonts w:eastAsia="仿宋"/>
                <w:color w:val="000000"/>
                <w:kern w:val="0"/>
                <w:sz w:val="22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3A59BE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center"/>
              <w:rPr>
                <w:rFonts w:eastAsia="仿宋"/>
                <w:color w:val="000000"/>
                <w:kern w:val="0"/>
                <w:sz w:val="22"/>
              </w:rPr>
            </w:pPr>
            <w:r>
              <w:rPr>
                <w:rFonts w:eastAsia="仿宋"/>
                <w:color w:val="000000"/>
                <w:kern w:val="0"/>
                <w:sz w:val="22"/>
              </w:rPr>
              <w:t>1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B13“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三公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经费控制率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三公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经费使用超支扣分，若不超支则不扣分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2"/>
              </w:rPr>
            </w:pPr>
            <w:r>
              <w:rPr>
                <w:rFonts w:eastAsia="仿宋"/>
                <w:color w:val="000000"/>
                <w:kern w:val="0"/>
                <w:sz w:val="22"/>
              </w:rPr>
              <w:t>三</w:t>
            </w:r>
            <w:proofErr w:type="gramStart"/>
            <w:r>
              <w:rPr>
                <w:rFonts w:eastAsia="仿宋"/>
                <w:color w:val="000000"/>
                <w:kern w:val="0"/>
                <w:sz w:val="22"/>
              </w:rPr>
              <w:t>公经费</w:t>
            </w:r>
            <w:proofErr w:type="gramEnd"/>
            <w:r>
              <w:rPr>
                <w:rFonts w:eastAsia="仿宋"/>
                <w:color w:val="000000"/>
                <w:kern w:val="0"/>
                <w:sz w:val="22"/>
              </w:rPr>
              <w:t>使用情况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2"/>
              </w:rPr>
            </w:pPr>
            <w:r>
              <w:rPr>
                <w:rFonts w:eastAsia="仿宋"/>
                <w:color w:val="000000"/>
                <w:kern w:val="0"/>
                <w:sz w:val="22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3A59BE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center"/>
              <w:rPr>
                <w:rFonts w:eastAsia="仿宋"/>
                <w:color w:val="000000"/>
                <w:kern w:val="0"/>
                <w:sz w:val="22"/>
              </w:rPr>
            </w:pPr>
            <w:r>
              <w:rPr>
                <w:rFonts w:eastAsia="仿宋"/>
                <w:color w:val="000000"/>
                <w:kern w:val="0"/>
                <w:sz w:val="22"/>
              </w:rPr>
              <w:t>2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B14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预决算信息公开情况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预决算是否在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双平台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进行公开，内容和时限是否符合要求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2"/>
              </w:rPr>
            </w:pPr>
            <w:r>
              <w:rPr>
                <w:rFonts w:eastAsia="仿宋"/>
                <w:color w:val="000000"/>
                <w:kern w:val="0"/>
                <w:sz w:val="22"/>
              </w:rPr>
              <w:t>积极配合主管部门完成预决算信息公开工作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2"/>
              </w:rPr>
            </w:pPr>
            <w:r>
              <w:rPr>
                <w:rFonts w:eastAsia="仿宋"/>
                <w:color w:val="000000"/>
                <w:kern w:val="0"/>
                <w:sz w:val="22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3A59BE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 w:rsidP="004C4CB5">
            <w:pPr>
              <w:widowControl/>
              <w:jc w:val="center"/>
              <w:rPr>
                <w:rFonts w:eastAsia="仿宋"/>
                <w:color w:val="000000"/>
                <w:kern w:val="0"/>
                <w:sz w:val="22"/>
              </w:rPr>
            </w:pPr>
            <w:r>
              <w:rPr>
                <w:rFonts w:eastAsia="仿宋"/>
                <w:color w:val="000000"/>
                <w:kern w:val="0"/>
                <w:sz w:val="22"/>
              </w:rPr>
              <w:t>2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B2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收支管理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B21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收支管理制度健全性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制度建立健全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制度建立健全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401795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B22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收支管理是否按制度执行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制度执行并运行有效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制度执行并运行有效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401795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B3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资产管理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B31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资产管理制度健全性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制度建立健全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制度是否建立健全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401795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B32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资产管理是否按制度执行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制度执行并运行有效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制度是否执行并运行有效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401795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B4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政府采购管理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B41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政府采购管理制度健全性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制度建立健全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制度是否建立健全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401795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B42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政府采购管理是否按制度执行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制度执行并运行有效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制度是否执行并运行有效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401795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B5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建设项目管理（适用）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B51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建设项目管理制度健全性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此项指标根据各个单位具体职能选择是否适用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如不适用得满分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401795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B52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建设项目管理是否按制度执行</w:t>
            </w: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如不适用得满分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401795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 w:rsidP="004C4CB5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B6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内部控制管理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B61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内部控制建设情况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内部控制领导小组、工作小组的成立、内控制度设计、手册编制等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是否成立内控领导小组、工作小组，是否有内部控制制度落实在手册等文本上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C77E9C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 w:rsidP="004C4CB5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B62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内部控制执行情况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内部控制执行并一贯执行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通过重新执行程序评价内控是否有效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C77E9C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 w:rsidP="004C4CB5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B63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内部控制监督评价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内部控制监督设计评价和运行评价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是否有单位内部内控评价报告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C77E9C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 w:rsidP="004C4CB5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B7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预算绩效管理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B71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组织管理情况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主要包含制度建设、职能配置、分行业的指标体系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是否有制度建设，与职能配置情况，指标体系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lastRenderedPageBreak/>
              <w:t>构成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C77E9C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 w:rsidP="004C4CB5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B72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工作开展情况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包含事前评估、目标管理、跟踪评价、</w:t>
            </w:r>
            <w:proofErr w:type="gramStart"/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自评价</w:t>
            </w:r>
            <w:proofErr w:type="gramEnd"/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和整改落实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考察政策（项目）是否有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个报告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C77E9C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 w:rsidP="004C4CB5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B73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绩效信息公开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绩效信息是否按照规定的内容和时限在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双平台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进行公开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积极配合主管部门完成相关数据的提供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C77E9C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 w:rsidP="004C4CB5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BE5A78" w:rsidTr="00D43F95">
        <w:trPr>
          <w:trHeight w:val="1162"/>
        </w:trPr>
        <w:tc>
          <w:tcPr>
            <w:tcW w:w="12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C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单位履职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可选方式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：重点工作完成情况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)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30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C1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重点工作数量完成率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不设三级指标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与年初计划相比较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检查数量完成情况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C77E9C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 w:rsidP="004C4CB5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BE5A78" w:rsidTr="00D43F95">
        <w:trPr>
          <w:trHeight w:val="980"/>
        </w:trPr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C2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重点工作质量达标率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不设三级指标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与年初自定的绩效目标相比较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检查质量完成情况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C77E9C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 w:rsidP="004C4CB5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BE5A78" w:rsidTr="00D43F95">
        <w:trPr>
          <w:trHeight w:val="1779"/>
        </w:trPr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C3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重点工作完成及时率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不设三级指标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参照财政部门及主管部门规定的要求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检查比如资金的使用，审计报告、验收报告等完成情况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C77E9C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D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履职绩效（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30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D1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经济效益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不设三级指标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经济活动中取得的收益性成果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计算经济性成果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ind w:firstLineChars="250" w:firstLine="600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C77E9C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ind w:firstLineChars="250" w:firstLine="600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D2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社会效益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不设三级指标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经济效益之外的对社会有益的效果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评价社会性有益效果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C77E9C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D3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生态效益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不设三级指标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生态平衡和生态系统的良性高效循环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评价生态平衡及系统循环情况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C77E9C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BE5A78" w:rsidTr="00D43F95">
        <w:trPr>
          <w:trHeight w:val="915"/>
        </w:trPr>
        <w:tc>
          <w:tcPr>
            <w:tcW w:w="124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D4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满意度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不设三级指标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包含服务对象（可选）、管理对象（可选）、间接受益对象（可选）等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涉及检查服务对象、管理对象、间接受益对象评价表；未涉及可得满分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ind w:firstLineChars="250" w:firstLine="600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C77E9C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ind w:firstLineChars="250" w:firstLine="600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E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可持续发展能力（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E1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信息化建设情况（可选）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 xml:space="preserve">　不设三级指标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办公流程、业务开展是否能通过单位的信息系统实现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检查或进行穿行测试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ind w:firstLineChars="250" w:firstLine="600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C77E9C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ind w:firstLineChars="250" w:firstLine="600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E2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人力资源建设情况（可选）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E5A78" w:rsidRDefault="00BE5A78">
            <w:pPr>
              <w:widowControl/>
              <w:jc w:val="left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 xml:space="preserve">　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不设三级指标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包含人才培养计划、人才选拔运用、激励措施等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适用检查是否有人才培养计划、人才选拔运用及激励措施方面形成的文件；不适用可得满分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C77E9C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E5A78" w:rsidRDefault="00BE5A78" w:rsidP="004C4CB5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>1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E3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部门创新情况（可选）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2"/>
              </w:rPr>
            </w:pPr>
            <w:r>
              <w:rPr>
                <w:rFonts w:eastAsia="仿宋"/>
                <w:color w:val="000000"/>
                <w:kern w:val="0"/>
                <w:sz w:val="22"/>
              </w:rPr>
              <w:t xml:space="preserve">　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不设三级指标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包含制度创新、方法创新等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2"/>
              </w:rPr>
            </w:pPr>
            <w:r>
              <w:rPr>
                <w:rFonts w:eastAsia="仿宋"/>
                <w:color w:val="000000"/>
                <w:kern w:val="0"/>
                <w:sz w:val="22"/>
              </w:rPr>
              <w:t>部门（单位）需提供创新案例被官方媒体报道的佐证材料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2"/>
              </w:rPr>
            </w:pPr>
            <w:r>
              <w:rPr>
                <w:rFonts w:eastAsia="仿宋"/>
                <w:color w:val="000000"/>
                <w:kern w:val="0"/>
                <w:sz w:val="22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C77E9C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E5A78" w:rsidRDefault="00BE5A78" w:rsidP="004C4CB5">
            <w:pPr>
              <w:widowControl/>
              <w:jc w:val="center"/>
              <w:rPr>
                <w:rFonts w:eastAsia="仿宋"/>
                <w:color w:val="000000"/>
                <w:kern w:val="0"/>
                <w:sz w:val="22"/>
              </w:rPr>
            </w:pPr>
            <w:r>
              <w:rPr>
                <w:rFonts w:eastAsia="仿宋"/>
                <w:color w:val="000000"/>
                <w:kern w:val="0"/>
                <w:sz w:val="22"/>
              </w:rPr>
              <w:t>2</w:t>
            </w:r>
          </w:p>
        </w:tc>
      </w:tr>
      <w:tr w:rsidR="00BE5A78" w:rsidTr="00D43F95">
        <w:trPr>
          <w:trHeight w:val="923"/>
        </w:trPr>
        <w:tc>
          <w:tcPr>
            <w:tcW w:w="12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lastRenderedPageBreak/>
              <w:t>F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加减分项（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≤5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F1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加分项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 xml:space="preserve">　不设三级指标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部门（单位）受到国务院、省级、市级嘉奖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受到国务院嘉奖加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分，受到省级嘉奖加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分，得到市级考核一等奖加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分，得到市级考核二等奖加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0.5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分；同一项工作</w:t>
            </w:r>
            <w:proofErr w:type="gramStart"/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不</w:t>
            </w:r>
            <w:proofErr w:type="gramEnd"/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累计加分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C77E9C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 w:rsidP="004C4CB5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BE5A78" w:rsidTr="00D43F95">
        <w:trPr>
          <w:trHeight w:val="600"/>
        </w:trPr>
        <w:tc>
          <w:tcPr>
            <w:tcW w:w="124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F2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减分项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E5A78" w:rsidRDefault="00BE5A78">
            <w:pPr>
              <w:widowControl/>
              <w:jc w:val="left"/>
              <w:rPr>
                <w:rFonts w:eastAsia="等线"/>
                <w:color w:val="000000"/>
                <w:kern w:val="0"/>
                <w:sz w:val="22"/>
              </w:rPr>
            </w:pPr>
            <w:r>
              <w:rPr>
                <w:rFonts w:eastAsia="等线"/>
                <w:color w:val="000000"/>
                <w:kern w:val="0"/>
                <w:sz w:val="22"/>
              </w:rPr>
              <w:t xml:space="preserve">　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不设三级指标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部门（单位）或工作人员违法违纪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酌情扣分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E5A78" w:rsidRDefault="00BE5A78" w:rsidP="0004534F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5A78" w:rsidRDefault="00BE5A78" w:rsidP="00FA2973">
            <w:pPr>
              <w:jc w:val="center"/>
            </w:pPr>
            <w:r w:rsidRPr="00C77E9C">
              <w:rPr>
                <w:rFonts w:eastAsia="仿宋" w:hint="eastAsia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0</w:t>
            </w:r>
          </w:p>
        </w:tc>
      </w:tr>
      <w:bookmarkEnd w:id="2"/>
      <w:tr w:rsidR="00BE5A78" w:rsidTr="00D43F95">
        <w:trPr>
          <w:trHeight w:val="203"/>
        </w:trPr>
        <w:tc>
          <w:tcPr>
            <w:tcW w:w="12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E5A78" w:rsidRDefault="00BE5A78">
            <w:pPr>
              <w:widowControl/>
              <w:jc w:val="left"/>
              <w:rPr>
                <w:rFonts w:eastAsia="等线"/>
                <w:color w:val="000000"/>
                <w:kern w:val="0"/>
                <w:sz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</w:tr>
      <w:tr w:rsidR="00BE5A78" w:rsidTr="00D43F95">
        <w:trPr>
          <w:trHeight w:val="423"/>
        </w:trPr>
        <w:tc>
          <w:tcPr>
            <w:tcW w:w="12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E5A78" w:rsidRDefault="00BE5A78">
            <w:pPr>
              <w:widowControl/>
              <w:jc w:val="left"/>
              <w:rPr>
                <w:rFonts w:eastAsia="等线"/>
                <w:color w:val="000000"/>
                <w:kern w:val="0"/>
                <w:sz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E5A78" w:rsidRDefault="00BE5A78">
            <w:pPr>
              <w:widowControl/>
              <w:jc w:val="left"/>
              <w:rPr>
                <w:rFonts w:eastAsia="仿宋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5A78" w:rsidRDefault="00BE5A78">
            <w:pPr>
              <w:widowControl/>
              <w:jc w:val="left"/>
              <w:rPr>
                <w:rFonts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b/>
                <w:color w:val="000000"/>
                <w:kern w:val="0"/>
                <w:sz w:val="24"/>
                <w:szCs w:val="24"/>
              </w:rPr>
              <w:t>100</w:t>
            </w:r>
            <w:r>
              <w:rPr>
                <w:rFonts w:eastAsia="仿宋"/>
                <w:b/>
                <w:color w:val="000000"/>
                <w:kern w:val="0"/>
                <w:sz w:val="24"/>
                <w:szCs w:val="24"/>
              </w:rPr>
              <w:t>分</w:t>
            </w:r>
          </w:p>
        </w:tc>
      </w:tr>
    </w:tbl>
    <w:p w:rsidR="00F12FD6" w:rsidRDefault="00F12FD6"/>
    <w:bookmarkEnd w:id="0"/>
    <w:p w:rsidR="00F12FD6" w:rsidRDefault="00F12FD6">
      <w:pPr>
        <w:spacing w:line="560" w:lineRule="exact"/>
        <w:ind w:firstLine="200"/>
      </w:pPr>
    </w:p>
    <w:sectPr w:rsidR="00F12FD6" w:rsidSect="00F12FD6">
      <w:pgSz w:w="16838" w:h="11906" w:orient="landscape"/>
      <w:pgMar w:top="1588" w:right="1440" w:bottom="158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F3F" w:rsidRDefault="000D0F3F" w:rsidP="00F12FD6">
      <w:r>
        <w:separator/>
      </w:r>
    </w:p>
  </w:endnote>
  <w:endnote w:type="continuationSeparator" w:id="0">
    <w:p w:rsidR="000D0F3F" w:rsidRDefault="000D0F3F" w:rsidP="00F12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FD6" w:rsidRDefault="000D0F3F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 filled="f" stroked="f" strokeweight=".5pt">
          <v:textbox style="mso-fit-shape-to-text:t" inset="0,0,0,0">
            <w:txbxContent>
              <w:p w:rsidR="00F12FD6" w:rsidRDefault="0045251E">
                <w:pPr>
                  <w:pStyle w:val="a4"/>
                </w:pPr>
                <w:r>
                  <w:fldChar w:fldCharType="begin"/>
                </w:r>
                <w:r w:rsidR="00FB0C76">
                  <w:instrText xml:space="preserve"> PAGE  \* MERGEFORMAT </w:instrText>
                </w:r>
                <w:r>
                  <w:fldChar w:fldCharType="separate"/>
                </w:r>
                <w:r w:rsidR="00217D32">
                  <w:rPr>
                    <w:noProof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  <w:p w:rsidR="00F12FD6" w:rsidRDefault="00F12FD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F3F" w:rsidRDefault="000D0F3F" w:rsidP="00F12FD6">
      <w:r>
        <w:separator/>
      </w:r>
    </w:p>
  </w:footnote>
  <w:footnote w:type="continuationSeparator" w:id="0">
    <w:p w:rsidR="000D0F3F" w:rsidRDefault="000D0F3F" w:rsidP="00F12F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32D42"/>
    <w:multiLevelType w:val="multilevel"/>
    <w:tmpl w:val="2070EA1C"/>
    <w:lvl w:ilvl="0">
      <w:start w:val="1"/>
      <w:numFmt w:val="decimal"/>
      <w:lvlText w:val="%1、"/>
      <w:lvlJc w:val="left"/>
      <w:pPr>
        <w:tabs>
          <w:tab w:val="num" w:pos="720"/>
        </w:tabs>
        <w:ind w:left="720" w:hanging="360"/>
      </w:pPr>
      <w:rPr>
        <w:rFonts w:ascii="仿宋" w:eastAsia="仿宋" w:hAnsi="仿宋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2D69BC"/>
    <w:multiLevelType w:val="multilevel"/>
    <w:tmpl w:val="621AD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kwMTI1ODAyNGM1YTNiNTE3MmExMzcxMTg2MWRlODcifQ=="/>
  </w:docVars>
  <w:rsids>
    <w:rsidRoot w:val="008D3400"/>
    <w:rsid w:val="000562E4"/>
    <w:rsid w:val="000D0F3F"/>
    <w:rsid w:val="00103983"/>
    <w:rsid w:val="001D7BA7"/>
    <w:rsid w:val="0021061D"/>
    <w:rsid w:val="00217D32"/>
    <w:rsid w:val="0025473E"/>
    <w:rsid w:val="002F3E13"/>
    <w:rsid w:val="003C48C3"/>
    <w:rsid w:val="0045251E"/>
    <w:rsid w:val="004C4CB5"/>
    <w:rsid w:val="005B7048"/>
    <w:rsid w:val="00607B90"/>
    <w:rsid w:val="006B26BC"/>
    <w:rsid w:val="006C7305"/>
    <w:rsid w:val="006D202A"/>
    <w:rsid w:val="00792350"/>
    <w:rsid w:val="008D3400"/>
    <w:rsid w:val="008E4AC7"/>
    <w:rsid w:val="008F1156"/>
    <w:rsid w:val="008F11F4"/>
    <w:rsid w:val="009B237E"/>
    <w:rsid w:val="009F6637"/>
    <w:rsid w:val="009F68B4"/>
    <w:rsid w:val="00A14347"/>
    <w:rsid w:val="00A6664D"/>
    <w:rsid w:val="00AB0B4E"/>
    <w:rsid w:val="00AC0EC6"/>
    <w:rsid w:val="00B052E1"/>
    <w:rsid w:val="00BB3E1E"/>
    <w:rsid w:val="00BC751A"/>
    <w:rsid w:val="00BD23C8"/>
    <w:rsid w:val="00BE5A78"/>
    <w:rsid w:val="00BF5166"/>
    <w:rsid w:val="00C12DE3"/>
    <w:rsid w:val="00C16F9E"/>
    <w:rsid w:val="00C31EB2"/>
    <w:rsid w:val="00C37A07"/>
    <w:rsid w:val="00C54968"/>
    <w:rsid w:val="00CA4CA0"/>
    <w:rsid w:val="00CB06C7"/>
    <w:rsid w:val="00D1643D"/>
    <w:rsid w:val="00D43F95"/>
    <w:rsid w:val="00E017AD"/>
    <w:rsid w:val="00E43F27"/>
    <w:rsid w:val="00ED4275"/>
    <w:rsid w:val="00F02F63"/>
    <w:rsid w:val="00F12FD6"/>
    <w:rsid w:val="00F24C62"/>
    <w:rsid w:val="00FA2973"/>
    <w:rsid w:val="00FB0C76"/>
    <w:rsid w:val="00FD1D81"/>
    <w:rsid w:val="01017684"/>
    <w:rsid w:val="02101B60"/>
    <w:rsid w:val="02290C40"/>
    <w:rsid w:val="02616028"/>
    <w:rsid w:val="027125E7"/>
    <w:rsid w:val="029A7D90"/>
    <w:rsid w:val="02FC0103"/>
    <w:rsid w:val="031511C4"/>
    <w:rsid w:val="032A2EC2"/>
    <w:rsid w:val="03EF5EB9"/>
    <w:rsid w:val="042E69E2"/>
    <w:rsid w:val="045402DB"/>
    <w:rsid w:val="045521C0"/>
    <w:rsid w:val="04783DAD"/>
    <w:rsid w:val="049C1B9D"/>
    <w:rsid w:val="04C87EBF"/>
    <w:rsid w:val="05236321"/>
    <w:rsid w:val="052676B9"/>
    <w:rsid w:val="05322502"/>
    <w:rsid w:val="056A3A4A"/>
    <w:rsid w:val="05900FD6"/>
    <w:rsid w:val="05A401A4"/>
    <w:rsid w:val="06090798"/>
    <w:rsid w:val="06F832D7"/>
    <w:rsid w:val="07C1191B"/>
    <w:rsid w:val="08206641"/>
    <w:rsid w:val="08E92ED7"/>
    <w:rsid w:val="09A6526C"/>
    <w:rsid w:val="09EF09C1"/>
    <w:rsid w:val="0A083831"/>
    <w:rsid w:val="0A0F4281"/>
    <w:rsid w:val="0A24235C"/>
    <w:rsid w:val="0B0B35D9"/>
    <w:rsid w:val="0B13248D"/>
    <w:rsid w:val="0B4224A7"/>
    <w:rsid w:val="0B6F107F"/>
    <w:rsid w:val="0B8B296C"/>
    <w:rsid w:val="0BDA2FAB"/>
    <w:rsid w:val="0C146ABF"/>
    <w:rsid w:val="0CB76435"/>
    <w:rsid w:val="0CEE6D0E"/>
    <w:rsid w:val="0D307327"/>
    <w:rsid w:val="0DFE7425"/>
    <w:rsid w:val="0E884F40"/>
    <w:rsid w:val="0EE20AF5"/>
    <w:rsid w:val="0F5D461F"/>
    <w:rsid w:val="0F8543FF"/>
    <w:rsid w:val="0FD22917"/>
    <w:rsid w:val="0FFA3C1C"/>
    <w:rsid w:val="102313C5"/>
    <w:rsid w:val="10A32505"/>
    <w:rsid w:val="110B4BEE"/>
    <w:rsid w:val="11443D2A"/>
    <w:rsid w:val="1245043B"/>
    <w:rsid w:val="124959A2"/>
    <w:rsid w:val="133B69E5"/>
    <w:rsid w:val="134F0723"/>
    <w:rsid w:val="13EE3A98"/>
    <w:rsid w:val="14847F58"/>
    <w:rsid w:val="148B7538"/>
    <w:rsid w:val="14C94663"/>
    <w:rsid w:val="14EB1A29"/>
    <w:rsid w:val="15543DCE"/>
    <w:rsid w:val="15DF7B3C"/>
    <w:rsid w:val="16F21AF1"/>
    <w:rsid w:val="1752549D"/>
    <w:rsid w:val="18136217"/>
    <w:rsid w:val="18510A99"/>
    <w:rsid w:val="18843290"/>
    <w:rsid w:val="18DE057F"/>
    <w:rsid w:val="18FF04F5"/>
    <w:rsid w:val="195E6FCA"/>
    <w:rsid w:val="1A12131B"/>
    <w:rsid w:val="1AA83E09"/>
    <w:rsid w:val="1B1069E9"/>
    <w:rsid w:val="1B662AAD"/>
    <w:rsid w:val="1BE51C24"/>
    <w:rsid w:val="1BEF2AA3"/>
    <w:rsid w:val="1C52192B"/>
    <w:rsid w:val="1CF54601"/>
    <w:rsid w:val="1CF73540"/>
    <w:rsid w:val="1D525097"/>
    <w:rsid w:val="1D9C4564"/>
    <w:rsid w:val="1DD97567"/>
    <w:rsid w:val="1DE55F0B"/>
    <w:rsid w:val="1E064C27"/>
    <w:rsid w:val="1E1E141D"/>
    <w:rsid w:val="1EC056A6"/>
    <w:rsid w:val="1EC91389"/>
    <w:rsid w:val="1F5F1CED"/>
    <w:rsid w:val="200F234F"/>
    <w:rsid w:val="20C4005A"/>
    <w:rsid w:val="21324062"/>
    <w:rsid w:val="21352D06"/>
    <w:rsid w:val="21997739"/>
    <w:rsid w:val="21AD6D40"/>
    <w:rsid w:val="21CB18BC"/>
    <w:rsid w:val="22235254"/>
    <w:rsid w:val="22350AE4"/>
    <w:rsid w:val="22AE0FC2"/>
    <w:rsid w:val="22BB723B"/>
    <w:rsid w:val="231F5A1C"/>
    <w:rsid w:val="23356FED"/>
    <w:rsid w:val="2383244E"/>
    <w:rsid w:val="2383391F"/>
    <w:rsid w:val="23A46F6A"/>
    <w:rsid w:val="23AA169B"/>
    <w:rsid w:val="23FD3AC2"/>
    <w:rsid w:val="24867135"/>
    <w:rsid w:val="24BE1264"/>
    <w:rsid w:val="24D6035C"/>
    <w:rsid w:val="25090731"/>
    <w:rsid w:val="26430457"/>
    <w:rsid w:val="26D20FF7"/>
    <w:rsid w:val="26FB054E"/>
    <w:rsid w:val="272950BB"/>
    <w:rsid w:val="27A75FE0"/>
    <w:rsid w:val="284F6DA3"/>
    <w:rsid w:val="28BC3D0D"/>
    <w:rsid w:val="28F931A5"/>
    <w:rsid w:val="291D29FD"/>
    <w:rsid w:val="298F31CF"/>
    <w:rsid w:val="29F13887"/>
    <w:rsid w:val="2A2F1768"/>
    <w:rsid w:val="2A3F4BF5"/>
    <w:rsid w:val="2A581813"/>
    <w:rsid w:val="2A5D507B"/>
    <w:rsid w:val="2A7228D5"/>
    <w:rsid w:val="2AA2341D"/>
    <w:rsid w:val="2AD215C5"/>
    <w:rsid w:val="2AD84EF3"/>
    <w:rsid w:val="2B065713"/>
    <w:rsid w:val="2B130055"/>
    <w:rsid w:val="2B165956"/>
    <w:rsid w:val="2B522706"/>
    <w:rsid w:val="2B6568DD"/>
    <w:rsid w:val="2C1A3224"/>
    <w:rsid w:val="2C251BC9"/>
    <w:rsid w:val="2C2C11A9"/>
    <w:rsid w:val="2C697D08"/>
    <w:rsid w:val="2CE90E48"/>
    <w:rsid w:val="2D480265"/>
    <w:rsid w:val="2D8D6D6F"/>
    <w:rsid w:val="2E374561"/>
    <w:rsid w:val="2E395ACE"/>
    <w:rsid w:val="2E514EF7"/>
    <w:rsid w:val="2EC3758A"/>
    <w:rsid w:val="2F0B779C"/>
    <w:rsid w:val="2F2F6310"/>
    <w:rsid w:val="2FB439C5"/>
    <w:rsid w:val="2FD63906"/>
    <w:rsid w:val="2FF43D8C"/>
    <w:rsid w:val="301D3AD8"/>
    <w:rsid w:val="304765B2"/>
    <w:rsid w:val="30647164"/>
    <w:rsid w:val="3135465C"/>
    <w:rsid w:val="315E1E05"/>
    <w:rsid w:val="322A1CE7"/>
    <w:rsid w:val="32933D30"/>
    <w:rsid w:val="3316226B"/>
    <w:rsid w:val="33541711"/>
    <w:rsid w:val="33A1422B"/>
    <w:rsid w:val="33E74334"/>
    <w:rsid w:val="33EA3E24"/>
    <w:rsid w:val="340B78F6"/>
    <w:rsid w:val="34360E17"/>
    <w:rsid w:val="34713BFD"/>
    <w:rsid w:val="34C71A6F"/>
    <w:rsid w:val="35215623"/>
    <w:rsid w:val="35C83CF1"/>
    <w:rsid w:val="361D4671"/>
    <w:rsid w:val="36407D2B"/>
    <w:rsid w:val="36413AA3"/>
    <w:rsid w:val="368A369C"/>
    <w:rsid w:val="37021484"/>
    <w:rsid w:val="37873738"/>
    <w:rsid w:val="379A16BD"/>
    <w:rsid w:val="37AB38CA"/>
    <w:rsid w:val="37AC2F7C"/>
    <w:rsid w:val="37B26A07"/>
    <w:rsid w:val="37B7401D"/>
    <w:rsid w:val="37DC7264"/>
    <w:rsid w:val="381E409C"/>
    <w:rsid w:val="382A0C93"/>
    <w:rsid w:val="389205E6"/>
    <w:rsid w:val="38AF73EA"/>
    <w:rsid w:val="38F90665"/>
    <w:rsid w:val="39387D98"/>
    <w:rsid w:val="39736669"/>
    <w:rsid w:val="3A0C4552"/>
    <w:rsid w:val="3B893F22"/>
    <w:rsid w:val="3B8E1A13"/>
    <w:rsid w:val="3BA42B0A"/>
    <w:rsid w:val="3BD60810"/>
    <w:rsid w:val="3C073099"/>
    <w:rsid w:val="3C2B4D6E"/>
    <w:rsid w:val="3C2E6878"/>
    <w:rsid w:val="3CFD4BC8"/>
    <w:rsid w:val="3D4A5933"/>
    <w:rsid w:val="3DFE0BF8"/>
    <w:rsid w:val="3F6C7DE3"/>
    <w:rsid w:val="3F80563C"/>
    <w:rsid w:val="3FB86B84"/>
    <w:rsid w:val="3FC419CD"/>
    <w:rsid w:val="3FDF6807"/>
    <w:rsid w:val="40517ED9"/>
    <w:rsid w:val="405F34A4"/>
    <w:rsid w:val="40662A84"/>
    <w:rsid w:val="407C4056"/>
    <w:rsid w:val="40C94DC1"/>
    <w:rsid w:val="42156510"/>
    <w:rsid w:val="423D15C3"/>
    <w:rsid w:val="42A31D6D"/>
    <w:rsid w:val="42F00D2B"/>
    <w:rsid w:val="4406674E"/>
    <w:rsid w:val="448E3369"/>
    <w:rsid w:val="44E67CEF"/>
    <w:rsid w:val="452137A8"/>
    <w:rsid w:val="452D3B70"/>
    <w:rsid w:val="453E7647"/>
    <w:rsid w:val="45C85647"/>
    <w:rsid w:val="45D4223E"/>
    <w:rsid w:val="4611158B"/>
    <w:rsid w:val="46C329DE"/>
    <w:rsid w:val="47947ED7"/>
    <w:rsid w:val="47986858"/>
    <w:rsid w:val="48036E0A"/>
    <w:rsid w:val="48181697"/>
    <w:rsid w:val="48897310"/>
    <w:rsid w:val="48917B4E"/>
    <w:rsid w:val="48D32C81"/>
    <w:rsid w:val="490B241B"/>
    <w:rsid w:val="4A720393"/>
    <w:rsid w:val="4B26353C"/>
    <w:rsid w:val="4B9D5F01"/>
    <w:rsid w:val="4BB02E05"/>
    <w:rsid w:val="4C76404F"/>
    <w:rsid w:val="4CB437B9"/>
    <w:rsid w:val="4D0452B9"/>
    <w:rsid w:val="4D673998"/>
    <w:rsid w:val="4D7A7B6F"/>
    <w:rsid w:val="4D986247"/>
    <w:rsid w:val="4E850579"/>
    <w:rsid w:val="4ED96B17"/>
    <w:rsid w:val="4F4641AC"/>
    <w:rsid w:val="4F622668"/>
    <w:rsid w:val="4FBC621D"/>
    <w:rsid w:val="4FDC066D"/>
    <w:rsid w:val="507765E7"/>
    <w:rsid w:val="50A41051"/>
    <w:rsid w:val="51634C2F"/>
    <w:rsid w:val="51A52CE0"/>
    <w:rsid w:val="523D116B"/>
    <w:rsid w:val="526645C5"/>
    <w:rsid w:val="52862B12"/>
    <w:rsid w:val="52FA3326"/>
    <w:rsid w:val="537C6A6E"/>
    <w:rsid w:val="53986FA1"/>
    <w:rsid w:val="541A79B6"/>
    <w:rsid w:val="54307E41"/>
    <w:rsid w:val="549C3935"/>
    <w:rsid w:val="55254496"/>
    <w:rsid w:val="55990DAE"/>
    <w:rsid w:val="560C332E"/>
    <w:rsid w:val="56DB78D0"/>
    <w:rsid w:val="56E0170A"/>
    <w:rsid w:val="56E46059"/>
    <w:rsid w:val="5726041F"/>
    <w:rsid w:val="57392849"/>
    <w:rsid w:val="574A05B2"/>
    <w:rsid w:val="57601B83"/>
    <w:rsid w:val="58C61EBA"/>
    <w:rsid w:val="58E63645"/>
    <w:rsid w:val="593C3F2A"/>
    <w:rsid w:val="59FA62BF"/>
    <w:rsid w:val="5AA12BDF"/>
    <w:rsid w:val="5AB83A84"/>
    <w:rsid w:val="5AF5486E"/>
    <w:rsid w:val="5B920779"/>
    <w:rsid w:val="5C653798"/>
    <w:rsid w:val="5D2418A5"/>
    <w:rsid w:val="5D9F0F2C"/>
    <w:rsid w:val="5DB20C5F"/>
    <w:rsid w:val="5E9B7945"/>
    <w:rsid w:val="5EEE058C"/>
    <w:rsid w:val="5F7A39FE"/>
    <w:rsid w:val="5F920D48"/>
    <w:rsid w:val="5FC23BC4"/>
    <w:rsid w:val="5FE437A4"/>
    <w:rsid w:val="60636F36"/>
    <w:rsid w:val="60A9459B"/>
    <w:rsid w:val="61397AE4"/>
    <w:rsid w:val="624D53FA"/>
    <w:rsid w:val="62A269BD"/>
    <w:rsid w:val="643C74D4"/>
    <w:rsid w:val="644D348F"/>
    <w:rsid w:val="645E1F1D"/>
    <w:rsid w:val="658E1FB1"/>
    <w:rsid w:val="65A11DC7"/>
    <w:rsid w:val="66652D12"/>
    <w:rsid w:val="66A80E51"/>
    <w:rsid w:val="67941473"/>
    <w:rsid w:val="67AB6E4B"/>
    <w:rsid w:val="681938D1"/>
    <w:rsid w:val="68323D51"/>
    <w:rsid w:val="685A261F"/>
    <w:rsid w:val="685E210F"/>
    <w:rsid w:val="688E4077"/>
    <w:rsid w:val="68D93544"/>
    <w:rsid w:val="69092D7D"/>
    <w:rsid w:val="69196036"/>
    <w:rsid w:val="693B5FAC"/>
    <w:rsid w:val="697B04AE"/>
    <w:rsid w:val="69E71C90"/>
    <w:rsid w:val="6A4B221F"/>
    <w:rsid w:val="6AB75B07"/>
    <w:rsid w:val="6AFD6841"/>
    <w:rsid w:val="6B59096C"/>
    <w:rsid w:val="6C134FBF"/>
    <w:rsid w:val="6D912FC0"/>
    <w:rsid w:val="6EEB6642"/>
    <w:rsid w:val="6F372E3A"/>
    <w:rsid w:val="6F491A22"/>
    <w:rsid w:val="6FD20CED"/>
    <w:rsid w:val="6FD35191"/>
    <w:rsid w:val="70FC6CF8"/>
    <w:rsid w:val="714E0847"/>
    <w:rsid w:val="71535E5D"/>
    <w:rsid w:val="71883D59"/>
    <w:rsid w:val="71CF3736"/>
    <w:rsid w:val="71D376CA"/>
    <w:rsid w:val="720C498A"/>
    <w:rsid w:val="7238577F"/>
    <w:rsid w:val="728C5ACB"/>
    <w:rsid w:val="72C2329A"/>
    <w:rsid w:val="730D0E41"/>
    <w:rsid w:val="731B4131"/>
    <w:rsid w:val="739C3AEB"/>
    <w:rsid w:val="73B70925"/>
    <w:rsid w:val="73CC22B4"/>
    <w:rsid w:val="73D17C39"/>
    <w:rsid w:val="740D6797"/>
    <w:rsid w:val="7480340D"/>
    <w:rsid w:val="74B86703"/>
    <w:rsid w:val="75E023B5"/>
    <w:rsid w:val="75E55C1E"/>
    <w:rsid w:val="75F61BD9"/>
    <w:rsid w:val="75FE45EA"/>
    <w:rsid w:val="7642496E"/>
    <w:rsid w:val="78846B27"/>
    <w:rsid w:val="78A53ADE"/>
    <w:rsid w:val="78C860A2"/>
    <w:rsid w:val="79144124"/>
    <w:rsid w:val="79216E44"/>
    <w:rsid w:val="7A82009A"/>
    <w:rsid w:val="7A841815"/>
    <w:rsid w:val="7AB20098"/>
    <w:rsid w:val="7ADE5D3C"/>
    <w:rsid w:val="7AF64429"/>
    <w:rsid w:val="7B2A7C2F"/>
    <w:rsid w:val="7BDA1655"/>
    <w:rsid w:val="7C444D20"/>
    <w:rsid w:val="7CBB1486"/>
    <w:rsid w:val="7D432516"/>
    <w:rsid w:val="7DA95783"/>
    <w:rsid w:val="7DAB46BB"/>
    <w:rsid w:val="7F621CE0"/>
    <w:rsid w:val="7F853FCE"/>
    <w:rsid w:val="7F8F09A8"/>
    <w:rsid w:val="7FA441BE"/>
    <w:rsid w:val="7FEC5D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FD6"/>
    <w:pPr>
      <w:widowControl w:val="0"/>
      <w:jc w:val="both"/>
    </w:pPr>
    <w:rPr>
      <w:rFonts w:ascii="Times New Roman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qFormat/>
    <w:rsid w:val="00F12FD6"/>
    <w:pPr>
      <w:widowControl/>
      <w:spacing w:before="180" w:after="180"/>
      <w:jc w:val="left"/>
    </w:pPr>
    <w:rPr>
      <w:rFonts w:ascii="Calibri" w:hAnsi="Calibri"/>
      <w:kern w:val="0"/>
      <w:sz w:val="24"/>
      <w:szCs w:val="24"/>
      <w:lang w:eastAsia="en-US"/>
    </w:rPr>
  </w:style>
  <w:style w:type="paragraph" w:styleId="a4">
    <w:name w:val="footer"/>
    <w:basedOn w:val="a"/>
    <w:link w:val="Char"/>
    <w:uiPriority w:val="99"/>
    <w:qFormat/>
    <w:rsid w:val="00F12FD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Char0"/>
    <w:uiPriority w:val="99"/>
    <w:qFormat/>
    <w:rsid w:val="00F12F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qFormat/>
    <w:rsid w:val="00F12FD6"/>
    <w:rPr>
      <w:rFonts w:ascii="Times New Roman" w:eastAsia="宋体" w:hAnsi="Times New Roman" w:cs="Times New Roman"/>
      <w:sz w:val="18"/>
      <w:szCs w:val="20"/>
    </w:rPr>
  </w:style>
  <w:style w:type="character" w:customStyle="1" w:styleId="Char0">
    <w:name w:val="页眉 Char"/>
    <w:basedOn w:val="a0"/>
    <w:link w:val="a5"/>
    <w:uiPriority w:val="99"/>
    <w:qFormat/>
    <w:rsid w:val="00F12FD6"/>
    <w:rPr>
      <w:rFonts w:ascii="Times New Roman" w:eastAsia="宋体" w:hAnsi="Times New Roman" w:cs="Times New Roman"/>
      <w:sz w:val="18"/>
      <w:szCs w:val="18"/>
    </w:rPr>
  </w:style>
  <w:style w:type="character" w:customStyle="1" w:styleId="NormalCharacter">
    <w:name w:val="NormalCharacter"/>
    <w:uiPriority w:val="99"/>
    <w:qFormat/>
    <w:rsid w:val="00F12FD6"/>
  </w:style>
  <w:style w:type="paragraph" w:styleId="a6">
    <w:name w:val="List Paragraph"/>
    <w:basedOn w:val="a"/>
    <w:uiPriority w:val="34"/>
    <w:qFormat/>
    <w:rsid w:val="00F12FD6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9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14</Pages>
  <Words>1035</Words>
  <Characters>5901</Characters>
  <Application>Microsoft Office Word</Application>
  <DocSecurity>0</DocSecurity>
  <Lines>49</Lines>
  <Paragraphs>13</Paragraphs>
  <ScaleCrop>false</ScaleCrop>
  <Company/>
  <LinksUpToDate>false</LinksUpToDate>
  <CharactersWithSpaces>6923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lenovo1</dc:creator>
  <cp:lastModifiedBy>Windows 用户</cp:lastModifiedBy>
  <cp:revision>26</cp:revision>
  <dcterms:created xsi:type="dcterms:W3CDTF">2025-06-19T01:30:00Z</dcterms:created>
  <dcterms:modified xsi:type="dcterms:W3CDTF">2026-09-22T09:01:00Z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8F3B252757B14F02BA3CBF48A741774A_13</vt:lpwstr>
  </property>
  <property fmtid="{D5CDD505-2E9C-101B-9397-08002B2CF9AE}" pid="4" name="KSOTemplateDocerSaveRecord">
    <vt:lpwstr>eyJoZGlkIjoiMDkwMTI1ODAyNGM1YTNiNTE3MmExMzcxMTg2MWRlODciLCJ1c2VySWQiOiIyMjY5OTgzMDUifQ==</vt:lpwstr>
  </property>
</Properties>
</file>