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168" w:rsidRDefault="00BE1998">
      <w:pPr>
        <w:widowControl/>
        <w:spacing w:line="560" w:lineRule="exact"/>
        <w:jc w:val="center"/>
        <w:rPr>
          <w:rFonts w:ascii="方正小标宋简体" w:eastAsia="方正小标宋简体" w:hAnsi="仿宋"/>
          <w:sz w:val="36"/>
          <w:szCs w:val="36"/>
        </w:rPr>
      </w:pPr>
      <w:r>
        <w:rPr>
          <w:rFonts w:ascii="方正小标宋简体" w:eastAsia="方正小标宋简体" w:hAnsi="仿宋" w:hint="eastAsia"/>
          <w:sz w:val="36"/>
          <w:szCs w:val="36"/>
        </w:rPr>
        <w:t>2025年度南京市种子管理站</w:t>
      </w:r>
    </w:p>
    <w:p w:rsidR="00AB1168" w:rsidRDefault="00BE1998">
      <w:pPr>
        <w:widowControl/>
        <w:spacing w:line="560" w:lineRule="exact"/>
        <w:jc w:val="center"/>
        <w:rPr>
          <w:rFonts w:ascii="方正小标宋简体" w:eastAsia="方正小标宋简体" w:hAnsi="仿宋"/>
          <w:sz w:val="36"/>
          <w:szCs w:val="36"/>
        </w:rPr>
      </w:pPr>
      <w:r>
        <w:rPr>
          <w:rFonts w:ascii="方正小标宋简体" w:eastAsia="方正小标宋简体" w:hAnsi="仿宋" w:hint="eastAsia"/>
          <w:sz w:val="36"/>
          <w:szCs w:val="36"/>
        </w:rPr>
        <w:t>整体预算绩效自评价报告</w:t>
      </w:r>
    </w:p>
    <w:p w:rsidR="00AB1168" w:rsidRDefault="00AB1168">
      <w:pPr>
        <w:widowControl/>
        <w:spacing w:line="560" w:lineRule="exact"/>
        <w:jc w:val="center"/>
        <w:rPr>
          <w:rFonts w:ascii="仿宋" w:eastAsia="仿宋" w:hAnsi="仿宋" w:cs="宋体"/>
          <w:kern w:val="0"/>
          <w:sz w:val="24"/>
        </w:rPr>
      </w:pPr>
    </w:p>
    <w:p w:rsidR="00AB1168" w:rsidRDefault="00BE1998">
      <w:pPr>
        <w:widowControl/>
        <w:spacing w:line="560"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t>一、部门（单位）概况</w:t>
      </w:r>
    </w:p>
    <w:p w:rsidR="00AB1168" w:rsidRDefault="00BE1998">
      <w:pPr>
        <w:spacing w:line="560" w:lineRule="exact"/>
        <w:ind w:firstLineChars="200" w:firstLine="560"/>
        <w:rPr>
          <w:rFonts w:ascii="仿宋" w:eastAsia="仿宋" w:hAnsi="仿宋"/>
          <w:sz w:val="28"/>
          <w:szCs w:val="28"/>
        </w:rPr>
      </w:pPr>
      <w:r>
        <w:rPr>
          <w:rFonts w:ascii="仿宋" w:eastAsia="仿宋" w:hAnsi="仿宋" w:cs="宋体" w:hint="eastAsia"/>
          <w:color w:val="000000"/>
          <w:kern w:val="0"/>
          <w:sz w:val="28"/>
          <w:szCs w:val="28"/>
        </w:rPr>
        <w:t>（一）部门（单位）</w:t>
      </w:r>
      <w:r>
        <w:rPr>
          <w:rFonts w:ascii="仿宋" w:eastAsia="仿宋" w:hAnsi="仿宋" w:hint="eastAsia"/>
          <w:sz w:val="28"/>
          <w:szCs w:val="28"/>
        </w:rPr>
        <w:t>基本情况</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本单位成立于</w:t>
      </w:r>
      <w:r>
        <w:rPr>
          <w:rFonts w:eastAsia="仿宋" w:hint="eastAsia"/>
          <w:sz w:val="28"/>
          <w:szCs w:val="28"/>
        </w:rPr>
        <w:t>1959</w:t>
      </w:r>
      <w:r>
        <w:rPr>
          <w:rFonts w:eastAsia="仿宋" w:hint="eastAsia"/>
          <w:sz w:val="28"/>
          <w:szCs w:val="28"/>
        </w:rPr>
        <w:t>年，现隶属南京市农业农村局。其性质为参照公务员管理的全额拨款事业单位（正处级），执行《事业单位财务制度》并独立核算，核定编制</w:t>
      </w:r>
      <w:r>
        <w:rPr>
          <w:rFonts w:eastAsia="仿宋" w:hint="eastAsia"/>
          <w:sz w:val="28"/>
          <w:szCs w:val="28"/>
        </w:rPr>
        <w:t>20</w:t>
      </w:r>
      <w:r>
        <w:rPr>
          <w:rFonts w:eastAsia="仿宋" w:hint="eastAsia"/>
          <w:sz w:val="28"/>
          <w:szCs w:val="28"/>
        </w:rPr>
        <w:t>人。内设四个科室，分别为办公室、品种管理科、市场管理科和行业管理科。</w:t>
      </w:r>
      <w:r>
        <w:rPr>
          <w:rFonts w:eastAsia="仿宋" w:hint="eastAsia"/>
          <w:sz w:val="28"/>
          <w:szCs w:val="28"/>
        </w:rPr>
        <w:t>2025</w:t>
      </w:r>
      <w:r>
        <w:rPr>
          <w:rFonts w:eastAsia="仿宋" w:hint="eastAsia"/>
          <w:sz w:val="28"/>
          <w:szCs w:val="28"/>
        </w:rPr>
        <w:t>年年末在职在编干部职工</w:t>
      </w:r>
      <w:r>
        <w:rPr>
          <w:rFonts w:eastAsia="仿宋" w:hint="eastAsia"/>
          <w:sz w:val="28"/>
          <w:szCs w:val="28"/>
        </w:rPr>
        <w:t>14</w:t>
      </w:r>
      <w:r>
        <w:rPr>
          <w:rFonts w:eastAsia="仿宋" w:hint="eastAsia"/>
          <w:sz w:val="28"/>
          <w:szCs w:val="28"/>
        </w:rPr>
        <w:t>人，离退休干部职工</w:t>
      </w:r>
      <w:r>
        <w:rPr>
          <w:rFonts w:eastAsia="仿宋" w:hint="eastAsia"/>
          <w:sz w:val="28"/>
          <w:szCs w:val="28"/>
        </w:rPr>
        <w:t>26</w:t>
      </w:r>
      <w:r>
        <w:rPr>
          <w:rFonts w:eastAsia="仿宋" w:hint="eastAsia"/>
          <w:sz w:val="28"/>
          <w:szCs w:val="28"/>
        </w:rPr>
        <w:t>人（其中：离休干部</w:t>
      </w:r>
      <w:r>
        <w:rPr>
          <w:rFonts w:eastAsia="仿宋" w:hint="eastAsia"/>
          <w:sz w:val="28"/>
          <w:szCs w:val="28"/>
        </w:rPr>
        <w:t>1</w:t>
      </w:r>
      <w:r>
        <w:rPr>
          <w:rFonts w:eastAsia="仿宋" w:hint="eastAsia"/>
          <w:sz w:val="28"/>
          <w:szCs w:val="28"/>
        </w:rPr>
        <w:t>人），编外人员</w:t>
      </w:r>
      <w:r>
        <w:rPr>
          <w:rFonts w:eastAsia="仿宋" w:hint="eastAsia"/>
          <w:sz w:val="28"/>
          <w:szCs w:val="28"/>
        </w:rPr>
        <w:t>5</w:t>
      </w:r>
      <w:r>
        <w:rPr>
          <w:rFonts w:eastAsia="仿宋" w:hint="eastAsia"/>
          <w:sz w:val="28"/>
          <w:szCs w:val="28"/>
        </w:rPr>
        <w:t>人，合计</w:t>
      </w:r>
      <w:r>
        <w:rPr>
          <w:rFonts w:eastAsia="仿宋" w:hint="eastAsia"/>
          <w:sz w:val="28"/>
          <w:szCs w:val="28"/>
        </w:rPr>
        <w:t>45</w:t>
      </w:r>
      <w:r>
        <w:rPr>
          <w:rFonts w:eastAsia="仿宋" w:hint="eastAsia"/>
          <w:sz w:val="28"/>
          <w:szCs w:val="28"/>
        </w:rPr>
        <w:t>人。</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主要职能、宗旨和业务范围：贯彻执行《种子法》和相关政策；承担全市种质资源的保护和品种更新工程和农业转基因生物安全监管工作；培训种子技术和管理人员，制定修改有关种子检验的技术规程及农作物种子质量标准；承担品种审定的审查工作；制定并执行种子储备制度；受主管部门委托管理《种子生产许可证》《种子经营许可证》。</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本单位</w:t>
      </w:r>
      <w:r>
        <w:rPr>
          <w:rFonts w:eastAsia="仿宋" w:hint="eastAsia"/>
          <w:sz w:val="28"/>
          <w:szCs w:val="28"/>
        </w:rPr>
        <w:t>2025</w:t>
      </w:r>
      <w:r>
        <w:rPr>
          <w:rFonts w:eastAsia="仿宋" w:hint="eastAsia"/>
          <w:sz w:val="28"/>
          <w:szCs w:val="28"/>
        </w:rPr>
        <w:t>年资产总额</w:t>
      </w:r>
      <w:r>
        <w:rPr>
          <w:rFonts w:eastAsia="仿宋" w:hint="eastAsia"/>
          <w:sz w:val="28"/>
          <w:szCs w:val="28"/>
        </w:rPr>
        <w:t>762.52</w:t>
      </w:r>
      <w:r>
        <w:rPr>
          <w:rFonts w:eastAsia="仿宋" w:hint="eastAsia"/>
          <w:sz w:val="28"/>
          <w:szCs w:val="28"/>
        </w:rPr>
        <w:t>万元（其中：固定资产</w:t>
      </w:r>
      <w:r>
        <w:rPr>
          <w:rFonts w:eastAsia="仿宋" w:hint="eastAsia"/>
          <w:sz w:val="28"/>
          <w:szCs w:val="28"/>
        </w:rPr>
        <w:t>174.05</w:t>
      </w:r>
      <w:r>
        <w:rPr>
          <w:rFonts w:eastAsia="仿宋" w:hint="eastAsia"/>
          <w:sz w:val="28"/>
          <w:szCs w:val="28"/>
        </w:rPr>
        <w:t>万元，无形资产</w:t>
      </w:r>
      <w:r>
        <w:rPr>
          <w:rFonts w:eastAsia="仿宋" w:hint="eastAsia"/>
          <w:sz w:val="28"/>
          <w:szCs w:val="28"/>
        </w:rPr>
        <w:t>39.74</w:t>
      </w:r>
      <w:r>
        <w:rPr>
          <w:rFonts w:eastAsia="仿宋" w:hint="eastAsia"/>
          <w:sz w:val="28"/>
          <w:szCs w:val="28"/>
        </w:rPr>
        <w:t>万元），负债</w:t>
      </w:r>
      <w:r>
        <w:rPr>
          <w:rFonts w:eastAsia="仿宋" w:hint="eastAsia"/>
          <w:sz w:val="28"/>
          <w:szCs w:val="28"/>
        </w:rPr>
        <w:t>350.74</w:t>
      </w:r>
      <w:r>
        <w:rPr>
          <w:rFonts w:eastAsia="仿宋" w:hint="eastAsia"/>
          <w:sz w:val="28"/>
          <w:szCs w:val="28"/>
        </w:rPr>
        <w:t>万元，净资产</w:t>
      </w:r>
      <w:r>
        <w:rPr>
          <w:rFonts w:eastAsia="仿宋" w:hint="eastAsia"/>
          <w:sz w:val="28"/>
          <w:szCs w:val="28"/>
        </w:rPr>
        <w:t>411.78</w:t>
      </w:r>
      <w:r>
        <w:rPr>
          <w:rFonts w:eastAsia="仿宋" w:hint="eastAsia"/>
          <w:sz w:val="28"/>
          <w:szCs w:val="28"/>
        </w:rPr>
        <w:t>万元。按部省有关文件要求，本单位牵头在江宁区淳化街道青龙社区建设运行江苏省南京市国家级农作物品种区域试验站，租用青龙社区土地</w:t>
      </w:r>
      <w:r>
        <w:rPr>
          <w:rFonts w:eastAsia="仿宋" w:hint="eastAsia"/>
          <w:sz w:val="28"/>
          <w:szCs w:val="28"/>
        </w:rPr>
        <w:t>224</w:t>
      </w:r>
      <w:r>
        <w:rPr>
          <w:rFonts w:eastAsia="仿宋" w:hint="eastAsia"/>
          <w:sz w:val="28"/>
          <w:szCs w:val="28"/>
        </w:rPr>
        <w:t>亩，年租金每亩</w:t>
      </w:r>
      <w:r>
        <w:rPr>
          <w:rFonts w:eastAsia="仿宋" w:hint="eastAsia"/>
          <w:sz w:val="28"/>
          <w:szCs w:val="28"/>
        </w:rPr>
        <w:t>1040</w:t>
      </w:r>
      <w:r>
        <w:rPr>
          <w:rFonts w:eastAsia="仿宋" w:hint="eastAsia"/>
          <w:sz w:val="28"/>
          <w:szCs w:val="28"/>
        </w:rPr>
        <w:t>元。</w:t>
      </w:r>
    </w:p>
    <w:p w:rsidR="00AB1168" w:rsidRDefault="00BE1998">
      <w:pPr>
        <w:widowControl/>
        <w:spacing w:line="560" w:lineRule="exact"/>
        <w:ind w:firstLineChars="200" w:firstLine="560"/>
        <w:jc w:val="left"/>
        <w:rPr>
          <w:rFonts w:ascii="仿宋" w:eastAsia="仿宋" w:hAnsi="仿宋" w:cs="宋体"/>
          <w:kern w:val="0"/>
          <w:sz w:val="28"/>
          <w:szCs w:val="28"/>
        </w:rPr>
      </w:pPr>
      <w:r>
        <w:rPr>
          <w:rFonts w:ascii="仿宋" w:eastAsia="仿宋" w:hAnsi="仿宋" w:cs="宋体" w:hint="eastAsia"/>
          <w:color w:val="000000"/>
          <w:kern w:val="0"/>
          <w:sz w:val="28"/>
          <w:szCs w:val="28"/>
        </w:rPr>
        <w:t>（二）部门（单位）收支情况</w:t>
      </w:r>
    </w:p>
    <w:p w:rsidR="00AB1168" w:rsidRDefault="00BE1998">
      <w:pPr>
        <w:pStyle w:val="a7"/>
        <w:spacing w:line="560" w:lineRule="exact"/>
        <w:ind w:firstLine="560"/>
        <w:rPr>
          <w:rFonts w:ascii="Times New Roman" w:eastAsia="仿宋" w:hAnsi="Times New Roman"/>
          <w:sz w:val="28"/>
          <w:szCs w:val="28"/>
        </w:rPr>
      </w:pPr>
      <w:r>
        <w:rPr>
          <w:rFonts w:ascii="Times New Roman" w:eastAsia="仿宋" w:hAnsi="Times New Roman" w:hint="eastAsia"/>
          <w:sz w:val="28"/>
          <w:szCs w:val="28"/>
        </w:rPr>
        <w:t>1</w:t>
      </w:r>
      <w:r>
        <w:rPr>
          <w:rFonts w:ascii="Times New Roman" w:eastAsia="仿宋" w:hAnsi="Times New Roman" w:hint="eastAsia"/>
          <w:sz w:val="28"/>
          <w:szCs w:val="28"/>
        </w:rPr>
        <w:t>、部门收支情况</w:t>
      </w:r>
    </w:p>
    <w:p w:rsidR="00AB1168" w:rsidRDefault="00BE1998">
      <w:pPr>
        <w:pStyle w:val="a7"/>
        <w:spacing w:line="560" w:lineRule="exact"/>
        <w:ind w:firstLine="560"/>
        <w:rPr>
          <w:rFonts w:ascii="Times New Roman" w:eastAsia="仿宋" w:hAnsi="Times New Roman"/>
          <w:sz w:val="28"/>
          <w:szCs w:val="28"/>
        </w:rPr>
      </w:pPr>
      <w:r>
        <w:rPr>
          <w:rFonts w:ascii="Times New Roman" w:eastAsia="仿宋" w:hAnsi="Times New Roman" w:hint="eastAsia"/>
          <w:sz w:val="28"/>
          <w:szCs w:val="28"/>
        </w:rPr>
        <w:lastRenderedPageBreak/>
        <w:t>南京市种子管理站</w:t>
      </w:r>
      <w:r>
        <w:rPr>
          <w:rFonts w:ascii="Times New Roman" w:eastAsia="仿宋" w:hAnsi="Times New Roman" w:hint="eastAsia"/>
          <w:sz w:val="28"/>
          <w:szCs w:val="28"/>
        </w:rPr>
        <w:t>2025</w:t>
      </w:r>
      <w:r>
        <w:rPr>
          <w:rFonts w:ascii="Times New Roman" w:eastAsia="仿宋" w:hAnsi="Times New Roman" w:hint="eastAsia"/>
          <w:sz w:val="28"/>
          <w:szCs w:val="28"/>
        </w:rPr>
        <w:t>年预算安排</w:t>
      </w:r>
      <w:r>
        <w:rPr>
          <w:rFonts w:ascii="Times New Roman" w:eastAsia="仿宋" w:hAnsi="Times New Roman" w:hint="eastAsia"/>
          <w:sz w:val="28"/>
          <w:szCs w:val="28"/>
        </w:rPr>
        <w:t>661.34</w:t>
      </w:r>
      <w:r>
        <w:rPr>
          <w:rFonts w:ascii="Times New Roman" w:eastAsia="仿宋" w:hAnsi="Times New Roman" w:hint="eastAsia"/>
          <w:sz w:val="28"/>
          <w:szCs w:val="28"/>
        </w:rPr>
        <w:t>万元，其中：基本支出</w:t>
      </w:r>
      <w:r>
        <w:rPr>
          <w:rFonts w:ascii="Times New Roman" w:eastAsia="仿宋" w:hAnsi="Times New Roman" w:hint="eastAsia"/>
          <w:sz w:val="28"/>
          <w:szCs w:val="28"/>
        </w:rPr>
        <w:t>614.83</w:t>
      </w:r>
      <w:r>
        <w:rPr>
          <w:rFonts w:ascii="Times New Roman" w:eastAsia="仿宋" w:hAnsi="Times New Roman" w:hint="eastAsia"/>
          <w:sz w:val="28"/>
          <w:szCs w:val="28"/>
        </w:rPr>
        <w:t>万元，项目支出</w:t>
      </w:r>
      <w:r>
        <w:rPr>
          <w:rFonts w:ascii="Times New Roman" w:eastAsia="仿宋" w:hAnsi="Times New Roman" w:hint="eastAsia"/>
          <w:sz w:val="28"/>
          <w:szCs w:val="28"/>
        </w:rPr>
        <w:t>46.51</w:t>
      </w:r>
      <w:r>
        <w:rPr>
          <w:rFonts w:ascii="Times New Roman" w:eastAsia="仿宋" w:hAnsi="Times New Roman" w:hint="eastAsia"/>
          <w:sz w:val="28"/>
          <w:szCs w:val="28"/>
        </w:rPr>
        <w:t>万元。调整后预算</w:t>
      </w:r>
      <w:r>
        <w:rPr>
          <w:rFonts w:ascii="Times New Roman" w:eastAsia="仿宋" w:hAnsi="Times New Roman" w:hint="eastAsia"/>
          <w:sz w:val="28"/>
          <w:szCs w:val="28"/>
        </w:rPr>
        <w:t>1081.07</w:t>
      </w:r>
      <w:r>
        <w:rPr>
          <w:rFonts w:ascii="Times New Roman" w:eastAsia="仿宋" w:hAnsi="Times New Roman" w:hint="eastAsia"/>
          <w:sz w:val="28"/>
          <w:szCs w:val="28"/>
        </w:rPr>
        <w:t>万元，其中：基本支出</w:t>
      </w:r>
      <w:r>
        <w:rPr>
          <w:rFonts w:ascii="Times New Roman" w:eastAsia="仿宋" w:hAnsi="Times New Roman" w:hint="eastAsia"/>
          <w:sz w:val="28"/>
          <w:szCs w:val="28"/>
        </w:rPr>
        <w:t>799.65</w:t>
      </w:r>
      <w:r>
        <w:rPr>
          <w:rFonts w:ascii="Times New Roman" w:eastAsia="仿宋" w:hAnsi="Times New Roman" w:hint="eastAsia"/>
          <w:sz w:val="28"/>
          <w:szCs w:val="28"/>
        </w:rPr>
        <w:t>万元，调增</w:t>
      </w:r>
      <w:r>
        <w:rPr>
          <w:rFonts w:ascii="Times New Roman" w:eastAsia="仿宋" w:hAnsi="Times New Roman" w:hint="eastAsia"/>
          <w:sz w:val="28"/>
          <w:szCs w:val="28"/>
        </w:rPr>
        <w:t>138.31</w:t>
      </w:r>
      <w:r>
        <w:rPr>
          <w:rFonts w:ascii="Times New Roman" w:eastAsia="仿宋" w:hAnsi="Times New Roman" w:hint="eastAsia"/>
          <w:sz w:val="28"/>
          <w:szCs w:val="28"/>
        </w:rPr>
        <w:t>万元，主要原因是人员增加、人员工资调增；项目支出</w:t>
      </w:r>
      <w:r>
        <w:rPr>
          <w:rFonts w:ascii="Times New Roman" w:eastAsia="仿宋" w:hAnsi="Times New Roman" w:hint="eastAsia"/>
          <w:sz w:val="28"/>
          <w:szCs w:val="28"/>
        </w:rPr>
        <w:t>281.42</w:t>
      </w:r>
      <w:r>
        <w:rPr>
          <w:rFonts w:ascii="Times New Roman" w:eastAsia="仿宋" w:hAnsi="Times New Roman" w:hint="eastAsia"/>
          <w:sz w:val="28"/>
          <w:szCs w:val="28"/>
        </w:rPr>
        <w:t>万元，净调增</w:t>
      </w:r>
      <w:r>
        <w:rPr>
          <w:rFonts w:ascii="Times New Roman" w:eastAsia="仿宋" w:hAnsi="Times New Roman" w:hint="eastAsia"/>
          <w:sz w:val="28"/>
          <w:szCs w:val="28"/>
        </w:rPr>
        <w:t>234.91</w:t>
      </w:r>
      <w:r>
        <w:rPr>
          <w:rFonts w:ascii="Times New Roman" w:eastAsia="仿宋" w:hAnsi="Times New Roman" w:hint="eastAsia"/>
          <w:sz w:val="28"/>
          <w:szCs w:val="28"/>
        </w:rPr>
        <w:t>万元，主要原因是新增市级、省级项目。</w:t>
      </w:r>
    </w:p>
    <w:p w:rsidR="00AB1168" w:rsidRDefault="00BE1998">
      <w:pPr>
        <w:pStyle w:val="a7"/>
        <w:spacing w:line="560" w:lineRule="exact"/>
        <w:ind w:firstLine="560"/>
        <w:rPr>
          <w:rFonts w:ascii="Times New Roman" w:eastAsia="仿宋" w:hAnsi="Times New Roman"/>
          <w:sz w:val="28"/>
          <w:szCs w:val="28"/>
        </w:rPr>
      </w:pPr>
      <w:r>
        <w:rPr>
          <w:rFonts w:ascii="Times New Roman" w:eastAsia="仿宋" w:hAnsi="Times New Roman" w:hint="eastAsia"/>
          <w:sz w:val="28"/>
          <w:szCs w:val="28"/>
        </w:rPr>
        <w:t>2025</w:t>
      </w:r>
      <w:r>
        <w:rPr>
          <w:rFonts w:ascii="Times New Roman" w:eastAsia="仿宋" w:hAnsi="Times New Roman" w:hint="eastAsia"/>
          <w:sz w:val="28"/>
          <w:szCs w:val="28"/>
        </w:rPr>
        <w:t>年南京市种子管理站实际支出</w:t>
      </w:r>
      <w:r>
        <w:rPr>
          <w:rFonts w:ascii="Times New Roman" w:eastAsia="仿宋" w:hAnsi="Times New Roman" w:hint="eastAsia"/>
          <w:sz w:val="28"/>
          <w:szCs w:val="28"/>
        </w:rPr>
        <w:t>1047.57</w:t>
      </w:r>
      <w:r>
        <w:rPr>
          <w:rFonts w:ascii="Times New Roman" w:eastAsia="仿宋" w:hAnsi="Times New Roman" w:hint="eastAsia"/>
          <w:sz w:val="28"/>
          <w:szCs w:val="28"/>
        </w:rPr>
        <w:t>万元，预算执行率</w:t>
      </w:r>
      <w:r>
        <w:rPr>
          <w:rFonts w:ascii="Times New Roman" w:eastAsia="仿宋" w:hAnsi="Times New Roman" w:hint="eastAsia"/>
          <w:sz w:val="28"/>
          <w:szCs w:val="28"/>
        </w:rPr>
        <w:t>96.90%</w:t>
      </w:r>
      <w:r>
        <w:rPr>
          <w:rFonts w:ascii="Times New Roman" w:eastAsia="仿宋" w:hAnsi="Times New Roman" w:hint="eastAsia"/>
          <w:sz w:val="28"/>
          <w:szCs w:val="28"/>
        </w:rPr>
        <w:t>。其中：基本支出</w:t>
      </w:r>
      <w:r>
        <w:rPr>
          <w:rFonts w:ascii="Times New Roman" w:eastAsia="仿宋" w:hAnsi="Times New Roman" w:hint="eastAsia"/>
          <w:sz w:val="28"/>
          <w:szCs w:val="28"/>
        </w:rPr>
        <w:t>794.65</w:t>
      </w:r>
      <w:r>
        <w:rPr>
          <w:rFonts w:ascii="Times New Roman" w:eastAsia="仿宋" w:hAnsi="Times New Roman" w:hint="eastAsia"/>
          <w:sz w:val="28"/>
          <w:szCs w:val="28"/>
        </w:rPr>
        <w:t>万元，预算执行率</w:t>
      </w:r>
      <w:r>
        <w:rPr>
          <w:rFonts w:ascii="Times New Roman" w:eastAsia="仿宋" w:hAnsi="Times New Roman" w:hint="eastAsia"/>
          <w:sz w:val="28"/>
          <w:szCs w:val="28"/>
        </w:rPr>
        <w:t>99.37%</w:t>
      </w:r>
      <w:r>
        <w:rPr>
          <w:rFonts w:ascii="Times New Roman" w:eastAsia="仿宋" w:hAnsi="Times New Roman" w:hint="eastAsia"/>
          <w:sz w:val="28"/>
          <w:szCs w:val="28"/>
        </w:rPr>
        <w:t>；项目支出</w:t>
      </w:r>
      <w:r>
        <w:rPr>
          <w:rFonts w:ascii="Times New Roman" w:eastAsia="仿宋" w:hAnsi="Times New Roman" w:hint="eastAsia"/>
          <w:sz w:val="28"/>
          <w:szCs w:val="28"/>
        </w:rPr>
        <w:t>252.92</w:t>
      </w:r>
      <w:r>
        <w:rPr>
          <w:rFonts w:ascii="Times New Roman" w:eastAsia="仿宋" w:hAnsi="Times New Roman" w:hint="eastAsia"/>
          <w:sz w:val="28"/>
          <w:szCs w:val="28"/>
        </w:rPr>
        <w:t>万元，预算执行率</w:t>
      </w:r>
      <w:r>
        <w:rPr>
          <w:rFonts w:ascii="Times New Roman" w:eastAsia="仿宋" w:hAnsi="Times New Roman" w:hint="eastAsia"/>
          <w:sz w:val="28"/>
          <w:szCs w:val="28"/>
        </w:rPr>
        <w:t>89.87%</w:t>
      </w:r>
      <w:r>
        <w:rPr>
          <w:rFonts w:ascii="Times New Roman" w:eastAsia="仿宋" w:hAnsi="Times New Roman" w:hint="eastAsia"/>
          <w:sz w:val="28"/>
          <w:szCs w:val="28"/>
        </w:rPr>
        <w:t>。详情见表</w:t>
      </w:r>
      <w:r>
        <w:rPr>
          <w:rFonts w:ascii="Times New Roman" w:eastAsia="仿宋" w:hAnsi="Times New Roman" w:hint="eastAsia"/>
          <w:sz w:val="28"/>
          <w:szCs w:val="28"/>
        </w:rPr>
        <w:t xml:space="preserve"> 1</w:t>
      </w:r>
      <w:r>
        <w:rPr>
          <w:rFonts w:ascii="Times New Roman" w:eastAsia="仿宋" w:hAnsi="Times New Roman" w:hint="eastAsia"/>
          <w:sz w:val="28"/>
          <w:szCs w:val="28"/>
        </w:rPr>
        <w:t>。</w:t>
      </w:r>
    </w:p>
    <w:p w:rsidR="00AB1168" w:rsidRDefault="00BE1998">
      <w:pPr>
        <w:spacing w:before="25" w:line="202" w:lineRule="auto"/>
        <w:jc w:val="center"/>
        <w:outlineLvl w:val="2"/>
        <w:rPr>
          <w:rFonts w:eastAsia="仿宋"/>
          <w:sz w:val="28"/>
          <w:szCs w:val="28"/>
        </w:rPr>
      </w:pPr>
      <w:r>
        <w:rPr>
          <w:rFonts w:eastAsia="仿宋" w:hint="eastAsia"/>
          <w:sz w:val="28"/>
          <w:szCs w:val="28"/>
        </w:rPr>
        <w:t>表</w:t>
      </w:r>
      <w:r>
        <w:rPr>
          <w:rFonts w:eastAsia="仿宋" w:hint="eastAsia"/>
          <w:sz w:val="28"/>
          <w:szCs w:val="28"/>
        </w:rPr>
        <w:t xml:space="preserve"> 1    2025</w:t>
      </w:r>
      <w:r>
        <w:rPr>
          <w:rFonts w:eastAsia="仿宋" w:hint="eastAsia"/>
          <w:sz w:val="28"/>
          <w:szCs w:val="28"/>
        </w:rPr>
        <w:t>年市种子管理站部门预算安排与支出情况</w:t>
      </w:r>
    </w:p>
    <w:p w:rsidR="00AB1168" w:rsidRDefault="00BE1998">
      <w:pPr>
        <w:spacing w:before="196" w:line="314" w:lineRule="exact"/>
        <w:ind w:left="6811"/>
        <w:rPr>
          <w:rFonts w:eastAsia="仿宋"/>
          <w:sz w:val="28"/>
          <w:szCs w:val="28"/>
        </w:rPr>
      </w:pPr>
      <w:r>
        <w:rPr>
          <w:rFonts w:eastAsia="仿宋" w:hint="eastAsia"/>
          <w:sz w:val="28"/>
          <w:szCs w:val="28"/>
        </w:rPr>
        <w:t>单位</w:t>
      </w:r>
      <w:r>
        <w:rPr>
          <w:rFonts w:eastAsia="仿宋" w:hint="eastAsia"/>
          <w:sz w:val="28"/>
          <w:szCs w:val="28"/>
        </w:rPr>
        <w:t xml:space="preserve">:  </w:t>
      </w:r>
      <w:r>
        <w:rPr>
          <w:rFonts w:eastAsia="仿宋" w:hint="eastAsia"/>
          <w:sz w:val="28"/>
          <w:szCs w:val="28"/>
        </w:rPr>
        <w:t>万元</w:t>
      </w:r>
    </w:p>
    <w:p w:rsidR="00AB1168" w:rsidRDefault="00AB1168">
      <w:pPr>
        <w:spacing w:line="53" w:lineRule="exact"/>
        <w:rPr>
          <w:rFonts w:eastAsia="仿宋"/>
          <w:sz w:val="28"/>
          <w:szCs w:val="28"/>
        </w:rPr>
      </w:pPr>
    </w:p>
    <w:tbl>
      <w:tblPr>
        <w:tblStyle w:val="TableNormal"/>
        <w:tblW w:w="8324" w:type="dxa"/>
        <w:jc w:val="center"/>
        <w:tblInd w:w="0" w:type="dxa"/>
        <w:tblBorders>
          <w:top w:val="none" w:sz="2" w:space="0" w:color="000000"/>
          <w:left w:val="none" w:sz="2" w:space="0" w:color="000000"/>
          <w:bottom w:val="none" w:sz="2" w:space="0" w:color="000000"/>
          <w:right w:val="none" w:sz="2" w:space="0" w:color="000000"/>
          <w:insideH w:val="none" w:sz="2" w:space="0" w:color="000000"/>
          <w:insideV w:val="none" w:sz="2" w:space="0" w:color="000000"/>
        </w:tblBorders>
        <w:tblLook w:val="04A0"/>
      </w:tblPr>
      <w:tblGrid>
        <w:gridCol w:w="1334"/>
        <w:gridCol w:w="1669"/>
        <w:gridCol w:w="1995"/>
        <w:gridCol w:w="1669"/>
        <w:gridCol w:w="1657"/>
      </w:tblGrid>
      <w:tr w:rsidR="00AB1168">
        <w:trPr>
          <w:tblHeader/>
          <w:jc w:val="center"/>
        </w:trPr>
        <w:tc>
          <w:tcPr>
            <w:tcW w:w="0" w:type="auto"/>
            <w:tcBorders>
              <w:top w:val="single" w:sz="4" w:space="0" w:color="auto"/>
              <w:left w:val="single" w:sz="4" w:space="0" w:color="000000"/>
              <w:bottom w:val="nil"/>
              <w:right w:val="nil"/>
            </w:tcBorders>
            <w:noWrap/>
            <w:tcMar>
              <w:top w:w="-1" w:type="dxa"/>
              <w:left w:w="-1" w:type="dxa"/>
              <w:bottom w:w="-1" w:type="dxa"/>
              <w:right w:w="-1" w:type="dxa"/>
            </w:tcMar>
          </w:tcPr>
          <w:p w:rsidR="00AB1168" w:rsidRDefault="00BE1998">
            <w:pPr>
              <w:snapToGrid w:val="0"/>
              <w:spacing w:before="224" w:line="314" w:lineRule="exact"/>
              <w:jc w:val="center"/>
              <w:rPr>
                <w:rFonts w:eastAsia="仿宋"/>
                <w:sz w:val="28"/>
                <w:szCs w:val="28"/>
              </w:rPr>
            </w:pPr>
            <w:r>
              <w:rPr>
                <w:rFonts w:eastAsia="仿宋" w:hint="eastAsia"/>
                <w:sz w:val="28"/>
                <w:szCs w:val="28"/>
              </w:rPr>
              <w:t>支出类别</w:t>
            </w:r>
          </w:p>
        </w:tc>
        <w:tc>
          <w:tcPr>
            <w:tcW w:w="0" w:type="auto"/>
            <w:tcBorders>
              <w:top w:val="single" w:sz="4" w:space="0" w:color="auto"/>
              <w:left w:val="single" w:sz="4" w:space="0" w:color="000000"/>
              <w:bottom w:val="nil"/>
              <w:right w:val="nil"/>
            </w:tcBorders>
            <w:noWrap/>
            <w:tcMar>
              <w:top w:w="-1" w:type="dxa"/>
              <w:left w:w="-1" w:type="dxa"/>
              <w:bottom w:w="-1" w:type="dxa"/>
              <w:right w:w="-1" w:type="dxa"/>
            </w:tcMar>
          </w:tcPr>
          <w:p w:rsidR="00AB1168" w:rsidRDefault="00BE1998">
            <w:pPr>
              <w:snapToGrid w:val="0"/>
              <w:spacing w:before="224" w:line="314" w:lineRule="exact"/>
              <w:jc w:val="center"/>
              <w:rPr>
                <w:rFonts w:eastAsia="仿宋"/>
                <w:sz w:val="28"/>
                <w:szCs w:val="28"/>
              </w:rPr>
            </w:pPr>
            <w:r>
              <w:rPr>
                <w:rFonts w:eastAsia="仿宋" w:hint="eastAsia"/>
                <w:sz w:val="28"/>
                <w:szCs w:val="28"/>
              </w:rPr>
              <w:t>年初预算数</w:t>
            </w:r>
          </w:p>
        </w:tc>
        <w:tc>
          <w:tcPr>
            <w:tcW w:w="0" w:type="auto"/>
            <w:tcBorders>
              <w:top w:val="single" w:sz="4" w:space="0" w:color="auto"/>
              <w:left w:val="single" w:sz="4" w:space="0" w:color="000000"/>
              <w:bottom w:val="nil"/>
              <w:right w:val="nil"/>
            </w:tcBorders>
            <w:noWrap/>
            <w:tcMar>
              <w:top w:w="-1" w:type="dxa"/>
              <w:left w:w="-1" w:type="dxa"/>
              <w:bottom w:w="-1" w:type="dxa"/>
              <w:right w:w="-1" w:type="dxa"/>
            </w:tcMar>
          </w:tcPr>
          <w:p w:rsidR="00AB1168" w:rsidRDefault="00BE1998">
            <w:pPr>
              <w:snapToGrid w:val="0"/>
              <w:spacing w:before="224" w:line="314" w:lineRule="exact"/>
              <w:jc w:val="center"/>
              <w:rPr>
                <w:rFonts w:eastAsia="仿宋"/>
                <w:sz w:val="28"/>
                <w:szCs w:val="28"/>
              </w:rPr>
            </w:pPr>
            <w:r>
              <w:rPr>
                <w:rFonts w:eastAsia="仿宋" w:hint="eastAsia"/>
                <w:sz w:val="28"/>
                <w:szCs w:val="28"/>
              </w:rPr>
              <w:t>调整后预算数</w:t>
            </w:r>
          </w:p>
        </w:tc>
        <w:tc>
          <w:tcPr>
            <w:tcW w:w="0" w:type="auto"/>
            <w:tcBorders>
              <w:top w:val="single" w:sz="4" w:space="0" w:color="auto"/>
              <w:left w:val="single" w:sz="4" w:space="0" w:color="000000"/>
              <w:bottom w:val="nil"/>
              <w:right w:val="nil"/>
            </w:tcBorders>
            <w:noWrap/>
            <w:tcMar>
              <w:top w:w="-1" w:type="dxa"/>
              <w:left w:w="-1" w:type="dxa"/>
              <w:bottom w:w="-1" w:type="dxa"/>
              <w:right w:w="-1" w:type="dxa"/>
            </w:tcMar>
          </w:tcPr>
          <w:p w:rsidR="00AB1168" w:rsidRDefault="00BE1998">
            <w:pPr>
              <w:snapToGrid w:val="0"/>
              <w:spacing w:before="224" w:line="314" w:lineRule="exact"/>
              <w:jc w:val="center"/>
              <w:rPr>
                <w:rFonts w:eastAsia="仿宋"/>
                <w:sz w:val="28"/>
                <w:szCs w:val="28"/>
              </w:rPr>
            </w:pPr>
            <w:r>
              <w:rPr>
                <w:rFonts w:eastAsia="仿宋" w:hint="eastAsia"/>
                <w:sz w:val="28"/>
                <w:szCs w:val="28"/>
              </w:rPr>
              <w:t>实际支出数</w:t>
            </w:r>
          </w:p>
        </w:tc>
        <w:tc>
          <w:tcPr>
            <w:tcW w:w="1657" w:type="dxa"/>
            <w:tcBorders>
              <w:top w:val="single" w:sz="4" w:space="0" w:color="auto"/>
              <w:left w:val="single" w:sz="4" w:space="0" w:color="000000"/>
              <w:bottom w:val="nil"/>
              <w:right w:val="single" w:sz="4" w:space="0" w:color="auto"/>
            </w:tcBorders>
            <w:noWrap/>
            <w:tcMar>
              <w:top w:w="-1" w:type="dxa"/>
              <w:left w:w="-1" w:type="dxa"/>
              <w:bottom w:w="-1" w:type="dxa"/>
              <w:right w:w="-1" w:type="dxa"/>
            </w:tcMar>
          </w:tcPr>
          <w:p w:rsidR="00AB1168" w:rsidRDefault="00BE1998">
            <w:pPr>
              <w:snapToGrid w:val="0"/>
              <w:spacing w:before="224" w:line="314" w:lineRule="exact"/>
              <w:jc w:val="center"/>
              <w:rPr>
                <w:rFonts w:eastAsia="仿宋"/>
                <w:sz w:val="28"/>
                <w:szCs w:val="28"/>
              </w:rPr>
            </w:pPr>
            <w:r>
              <w:rPr>
                <w:rFonts w:eastAsia="仿宋" w:hint="eastAsia"/>
                <w:sz w:val="28"/>
                <w:szCs w:val="28"/>
              </w:rPr>
              <w:t>预算执行率</w:t>
            </w:r>
          </w:p>
        </w:tc>
      </w:tr>
      <w:tr w:rsidR="00AB1168">
        <w:trPr>
          <w:tblHeader/>
          <w:jc w:val="center"/>
        </w:trPr>
        <w:tc>
          <w:tcPr>
            <w:tcW w:w="0" w:type="auto"/>
            <w:tcBorders>
              <w:top w:val="single" w:sz="4" w:space="0" w:color="auto"/>
              <w:left w:val="single" w:sz="4" w:space="0" w:color="000000"/>
              <w:bottom w:val="nil"/>
              <w:right w:val="nil"/>
            </w:tcBorders>
            <w:noWrap/>
            <w:tcMar>
              <w:top w:w="-1" w:type="dxa"/>
              <w:left w:w="-1" w:type="dxa"/>
              <w:bottom w:w="-1" w:type="dxa"/>
              <w:right w:w="-1" w:type="dxa"/>
            </w:tcMar>
          </w:tcPr>
          <w:p w:rsidR="00AB1168" w:rsidRDefault="00BE1998">
            <w:pPr>
              <w:snapToGrid w:val="0"/>
              <w:spacing w:before="224" w:line="314" w:lineRule="exact"/>
              <w:jc w:val="center"/>
              <w:rPr>
                <w:rFonts w:eastAsia="仿宋"/>
                <w:sz w:val="28"/>
                <w:szCs w:val="28"/>
              </w:rPr>
            </w:pPr>
            <w:r>
              <w:rPr>
                <w:rFonts w:eastAsia="仿宋" w:hint="eastAsia"/>
                <w:sz w:val="28"/>
                <w:szCs w:val="28"/>
              </w:rPr>
              <w:t>基本支出</w:t>
            </w:r>
          </w:p>
        </w:tc>
        <w:tc>
          <w:tcPr>
            <w:tcW w:w="0" w:type="auto"/>
            <w:tcBorders>
              <w:top w:val="single" w:sz="4" w:space="0" w:color="auto"/>
              <w:left w:val="single" w:sz="4" w:space="0" w:color="000000"/>
              <w:bottom w:val="nil"/>
              <w:right w:val="nil"/>
            </w:tcBorders>
            <w:noWrap/>
            <w:tcMar>
              <w:top w:w="-1" w:type="dxa"/>
              <w:left w:w="-1" w:type="dxa"/>
              <w:bottom w:w="-1" w:type="dxa"/>
              <w:right w:w="-1" w:type="dxa"/>
            </w:tcMar>
          </w:tcPr>
          <w:p w:rsidR="00AB1168" w:rsidRDefault="00BE1998">
            <w:pPr>
              <w:snapToGrid w:val="0"/>
              <w:spacing w:before="81" w:line="360" w:lineRule="auto"/>
              <w:jc w:val="center"/>
              <w:rPr>
                <w:rFonts w:eastAsia="仿宋"/>
                <w:sz w:val="28"/>
                <w:szCs w:val="28"/>
              </w:rPr>
            </w:pPr>
            <w:r>
              <w:rPr>
                <w:rFonts w:eastAsia="仿宋" w:hint="eastAsia"/>
                <w:sz w:val="28"/>
                <w:szCs w:val="28"/>
              </w:rPr>
              <w:t>614.83</w:t>
            </w:r>
          </w:p>
        </w:tc>
        <w:tc>
          <w:tcPr>
            <w:tcW w:w="0" w:type="auto"/>
            <w:tcBorders>
              <w:top w:val="single" w:sz="4" w:space="0" w:color="auto"/>
              <w:left w:val="single" w:sz="4" w:space="0" w:color="000000"/>
              <w:bottom w:val="nil"/>
              <w:right w:val="nil"/>
            </w:tcBorders>
            <w:noWrap/>
            <w:tcMar>
              <w:top w:w="-1" w:type="dxa"/>
              <w:left w:w="-1" w:type="dxa"/>
              <w:bottom w:w="-1" w:type="dxa"/>
              <w:right w:w="-1" w:type="dxa"/>
            </w:tcMar>
          </w:tcPr>
          <w:p w:rsidR="00AB1168" w:rsidRDefault="00BE1998">
            <w:pPr>
              <w:snapToGrid w:val="0"/>
              <w:spacing w:before="81" w:line="360" w:lineRule="auto"/>
              <w:jc w:val="center"/>
              <w:rPr>
                <w:rFonts w:eastAsia="仿宋"/>
                <w:sz w:val="28"/>
                <w:szCs w:val="28"/>
              </w:rPr>
            </w:pPr>
            <w:r>
              <w:rPr>
                <w:rFonts w:eastAsia="仿宋" w:hint="eastAsia"/>
                <w:sz w:val="28"/>
                <w:szCs w:val="28"/>
              </w:rPr>
              <w:t>799.65</w:t>
            </w:r>
          </w:p>
        </w:tc>
        <w:tc>
          <w:tcPr>
            <w:tcW w:w="0" w:type="auto"/>
            <w:tcBorders>
              <w:top w:val="single" w:sz="4" w:space="0" w:color="auto"/>
              <w:left w:val="single" w:sz="4" w:space="0" w:color="000000"/>
              <w:bottom w:val="nil"/>
              <w:right w:val="nil"/>
            </w:tcBorders>
            <w:noWrap/>
            <w:tcMar>
              <w:top w:w="-1" w:type="dxa"/>
              <w:left w:w="-1" w:type="dxa"/>
              <w:bottom w:w="-1" w:type="dxa"/>
              <w:right w:w="-1" w:type="dxa"/>
            </w:tcMar>
          </w:tcPr>
          <w:p w:rsidR="00AB1168" w:rsidRDefault="00BE1998">
            <w:pPr>
              <w:snapToGrid w:val="0"/>
              <w:spacing w:before="81" w:line="360" w:lineRule="auto"/>
              <w:jc w:val="center"/>
              <w:rPr>
                <w:rFonts w:eastAsia="仿宋"/>
                <w:sz w:val="28"/>
                <w:szCs w:val="28"/>
              </w:rPr>
            </w:pPr>
            <w:r>
              <w:rPr>
                <w:rFonts w:eastAsia="仿宋" w:hint="eastAsia"/>
                <w:sz w:val="28"/>
                <w:szCs w:val="28"/>
              </w:rPr>
              <w:t>794.65</w:t>
            </w:r>
          </w:p>
        </w:tc>
        <w:tc>
          <w:tcPr>
            <w:tcW w:w="1657" w:type="dxa"/>
            <w:tcBorders>
              <w:top w:val="single" w:sz="4" w:space="0" w:color="auto"/>
              <w:left w:val="single" w:sz="4" w:space="0" w:color="000000"/>
              <w:bottom w:val="nil"/>
              <w:right w:val="single" w:sz="4" w:space="0" w:color="auto"/>
            </w:tcBorders>
            <w:noWrap/>
            <w:tcMar>
              <w:top w:w="-1" w:type="dxa"/>
              <w:left w:w="-1" w:type="dxa"/>
              <w:bottom w:w="-1" w:type="dxa"/>
              <w:right w:w="-1" w:type="dxa"/>
            </w:tcMar>
          </w:tcPr>
          <w:p w:rsidR="00AB1168" w:rsidRDefault="00BE1998">
            <w:pPr>
              <w:snapToGrid w:val="0"/>
              <w:spacing w:before="81" w:line="360" w:lineRule="auto"/>
              <w:jc w:val="center"/>
              <w:rPr>
                <w:rFonts w:eastAsia="仿宋"/>
                <w:sz w:val="28"/>
                <w:szCs w:val="28"/>
              </w:rPr>
            </w:pPr>
            <w:r>
              <w:rPr>
                <w:rFonts w:eastAsia="仿宋" w:hint="eastAsia"/>
                <w:sz w:val="28"/>
                <w:szCs w:val="28"/>
              </w:rPr>
              <w:t>99.37%</w:t>
            </w:r>
          </w:p>
        </w:tc>
      </w:tr>
      <w:tr w:rsidR="00AB1168">
        <w:trPr>
          <w:tblHeader/>
          <w:jc w:val="center"/>
        </w:trPr>
        <w:tc>
          <w:tcPr>
            <w:tcW w:w="0" w:type="auto"/>
            <w:tcBorders>
              <w:top w:val="single" w:sz="4" w:space="0" w:color="auto"/>
              <w:left w:val="single" w:sz="4" w:space="0" w:color="000000"/>
              <w:bottom w:val="nil"/>
              <w:right w:val="nil"/>
            </w:tcBorders>
            <w:noWrap/>
            <w:tcMar>
              <w:top w:w="-1" w:type="dxa"/>
              <w:left w:w="-1" w:type="dxa"/>
              <w:bottom w:w="-1" w:type="dxa"/>
              <w:right w:w="-1" w:type="dxa"/>
            </w:tcMar>
          </w:tcPr>
          <w:p w:rsidR="00AB1168" w:rsidRDefault="00BE1998">
            <w:pPr>
              <w:snapToGrid w:val="0"/>
              <w:spacing w:before="240" w:line="314" w:lineRule="exact"/>
              <w:jc w:val="center"/>
              <w:rPr>
                <w:rFonts w:eastAsia="仿宋"/>
                <w:sz w:val="28"/>
                <w:szCs w:val="28"/>
              </w:rPr>
            </w:pPr>
            <w:r>
              <w:rPr>
                <w:rFonts w:eastAsia="仿宋" w:hint="eastAsia"/>
                <w:sz w:val="28"/>
                <w:szCs w:val="28"/>
              </w:rPr>
              <w:t>项目支出</w:t>
            </w:r>
          </w:p>
        </w:tc>
        <w:tc>
          <w:tcPr>
            <w:tcW w:w="0" w:type="auto"/>
            <w:tcBorders>
              <w:top w:val="single" w:sz="4" w:space="0" w:color="auto"/>
              <w:left w:val="single" w:sz="4" w:space="0" w:color="000000"/>
              <w:bottom w:val="nil"/>
              <w:right w:val="nil"/>
            </w:tcBorders>
            <w:noWrap/>
            <w:tcMar>
              <w:top w:w="-1" w:type="dxa"/>
              <w:left w:w="-1" w:type="dxa"/>
              <w:bottom w:w="-1" w:type="dxa"/>
              <w:right w:w="-1" w:type="dxa"/>
            </w:tcMar>
          </w:tcPr>
          <w:p w:rsidR="00AB1168" w:rsidRDefault="00BE1998">
            <w:pPr>
              <w:snapToGrid w:val="0"/>
              <w:spacing w:before="81" w:line="360" w:lineRule="auto"/>
              <w:jc w:val="center"/>
              <w:rPr>
                <w:rFonts w:eastAsia="仿宋"/>
                <w:sz w:val="28"/>
                <w:szCs w:val="28"/>
              </w:rPr>
            </w:pPr>
            <w:r>
              <w:rPr>
                <w:rFonts w:eastAsia="仿宋" w:hint="eastAsia"/>
                <w:sz w:val="28"/>
                <w:szCs w:val="28"/>
              </w:rPr>
              <w:t>46.51</w:t>
            </w:r>
          </w:p>
        </w:tc>
        <w:tc>
          <w:tcPr>
            <w:tcW w:w="0" w:type="auto"/>
            <w:tcBorders>
              <w:top w:val="single" w:sz="4" w:space="0" w:color="auto"/>
              <w:left w:val="single" w:sz="4" w:space="0" w:color="000000"/>
              <w:bottom w:val="nil"/>
              <w:right w:val="nil"/>
            </w:tcBorders>
            <w:noWrap/>
            <w:tcMar>
              <w:top w:w="-1" w:type="dxa"/>
              <w:left w:w="-1" w:type="dxa"/>
              <w:bottom w:w="-1" w:type="dxa"/>
              <w:right w:w="-1" w:type="dxa"/>
            </w:tcMar>
          </w:tcPr>
          <w:p w:rsidR="00AB1168" w:rsidRDefault="00BE1998">
            <w:pPr>
              <w:snapToGrid w:val="0"/>
              <w:spacing w:before="81" w:line="360" w:lineRule="auto"/>
              <w:jc w:val="center"/>
              <w:rPr>
                <w:rFonts w:eastAsia="仿宋"/>
                <w:sz w:val="28"/>
                <w:szCs w:val="28"/>
              </w:rPr>
            </w:pPr>
            <w:r>
              <w:rPr>
                <w:rFonts w:eastAsia="仿宋" w:hint="eastAsia"/>
                <w:sz w:val="28"/>
                <w:szCs w:val="28"/>
              </w:rPr>
              <w:t>138.31</w:t>
            </w:r>
          </w:p>
        </w:tc>
        <w:tc>
          <w:tcPr>
            <w:tcW w:w="0" w:type="auto"/>
            <w:tcBorders>
              <w:top w:val="single" w:sz="4" w:space="0" w:color="auto"/>
              <w:left w:val="single" w:sz="4" w:space="0" w:color="000000"/>
              <w:bottom w:val="nil"/>
              <w:right w:val="nil"/>
            </w:tcBorders>
            <w:noWrap/>
            <w:tcMar>
              <w:top w:w="-1" w:type="dxa"/>
              <w:left w:w="-1" w:type="dxa"/>
              <w:bottom w:w="-1" w:type="dxa"/>
              <w:right w:w="-1" w:type="dxa"/>
            </w:tcMar>
          </w:tcPr>
          <w:p w:rsidR="00AB1168" w:rsidRDefault="00BE1998">
            <w:pPr>
              <w:snapToGrid w:val="0"/>
              <w:spacing w:before="81" w:line="360" w:lineRule="auto"/>
              <w:jc w:val="center"/>
              <w:rPr>
                <w:rFonts w:eastAsia="仿宋"/>
                <w:sz w:val="28"/>
                <w:szCs w:val="28"/>
              </w:rPr>
            </w:pPr>
            <w:r>
              <w:rPr>
                <w:rFonts w:eastAsia="仿宋" w:hint="eastAsia"/>
                <w:sz w:val="28"/>
                <w:szCs w:val="28"/>
              </w:rPr>
              <w:t>252.92</w:t>
            </w:r>
          </w:p>
        </w:tc>
        <w:tc>
          <w:tcPr>
            <w:tcW w:w="1657" w:type="dxa"/>
            <w:tcBorders>
              <w:top w:val="single" w:sz="4" w:space="0" w:color="auto"/>
              <w:left w:val="single" w:sz="4" w:space="0" w:color="000000"/>
              <w:bottom w:val="nil"/>
              <w:right w:val="single" w:sz="4" w:space="0" w:color="auto"/>
            </w:tcBorders>
            <w:noWrap/>
            <w:tcMar>
              <w:top w:w="-1" w:type="dxa"/>
              <w:left w:w="-1" w:type="dxa"/>
              <w:bottom w:w="-1" w:type="dxa"/>
              <w:right w:w="-1" w:type="dxa"/>
            </w:tcMar>
          </w:tcPr>
          <w:p w:rsidR="00AB1168" w:rsidRDefault="00BE1998">
            <w:pPr>
              <w:snapToGrid w:val="0"/>
              <w:spacing w:before="81" w:line="360" w:lineRule="auto"/>
              <w:jc w:val="center"/>
              <w:rPr>
                <w:rFonts w:eastAsia="仿宋"/>
                <w:sz w:val="28"/>
                <w:szCs w:val="28"/>
              </w:rPr>
            </w:pPr>
            <w:r>
              <w:rPr>
                <w:rFonts w:eastAsia="仿宋" w:hint="eastAsia"/>
                <w:sz w:val="28"/>
                <w:szCs w:val="28"/>
              </w:rPr>
              <w:t>89.87%</w:t>
            </w:r>
          </w:p>
        </w:tc>
      </w:tr>
      <w:tr w:rsidR="00AB1168">
        <w:trPr>
          <w:tblHeader/>
          <w:jc w:val="center"/>
        </w:trPr>
        <w:tc>
          <w:tcPr>
            <w:tcW w:w="1334" w:type="dxa"/>
            <w:tcBorders>
              <w:top w:val="single" w:sz="4" w:space="0" w:color="auto"/>
              <w:left w:val="single" w:sz="4" w:space="0" w:color="auto"/>
              <w:bottom w:val="single" w:sz="4" w:space="0" w:color="auto"/>
              <w:right w:val="nil"/>
            </w:tcBorders>
            <w:noWrap/>
            <w:tcMar>
              <w:top w:w="-1" w:type="dxa"/>
              <w:left w:w="-1" w:type="dxa"/>
              <w:bottom w:w="-1" w:type="dxa"/>
              <w:right w:w="-1" w:type="dxa"/>
            </w:tcMar>
          </w:tcPr>
          <w:p w:rsidR="00AB1168" w:rsidRDefault="00BE1998">
            <w:pPr>
              <w:snapToGrid w:val="0"/>
              <w:spacing w:before="237" w:line="314" w:lineRule="exact"/>
              <w:jc w:val="center"/>
              <w:rPr>
                <w:rFonts w:eastAsia="仿宋"/>
                <w:sz w:val="28"/>
                <w:szCs w:val="28"/>
              </w:rPr>
            </w:pPr>
            <w:r>
              <w:rPr>
                <w:rFonts w:eastAsia="仿宋" w:hint="eastAsia"/>
                <w:sz w:val="28"/>
                <w:szCs w:val="28"/>
              </w:rPr>
              <w:t>合计</w:t>
            </w:r>
          </w:p>
        </w:tc>
        <w:tc>
          <w:tcPr>
            <w:tcW w:w="1669" w:type="dxa"/>
            <w:tcBorders>
              <w:top w:val="single" w:sz="4" w:space="0" w:color="auto"/>
              <w:left w:val="single" w:sz="4" w:space="0" w:color="auto"/>
              <w:bottom w:val="single" w:sz="4" w:space="0" w:color="auto"/>
              <w:right w:val="nil"/>
            </w:tcBorders>
            <w:noWrap/>
            <w:tcMar>
              <w:top w:w="-1" w:type="dxa"/>
              <w:left w:w="-1" w:type="dxa"/>
              <w:bottom w:w="-1" w:type="dxa"/>
              <w:right w:w="-1" w:type="dxa"/>
            </w:tcMar>
          </w:tcPr>
          <w:p w:rsidR="00AB1168" w:rsidRDefault="00BE1998">
            <w:pPr>
              <w:snapToGrid w:val="0"/>
              <w:spacing w:before="81" w:line="360" w:lineRule="auto"/>
              <w:jc w:val="center"/>
              <w:rPr>
                <w:rFonts w:eastAsia="仿宋"/>
                <w:sz w:val="28"/>
                <w:szCs w:val="28"/>
              </w:rPr>
            </w:pPr>
            <w:r>
              <w:rPr>
                <w:rFonts w:eastAsia="仿宋" w:hint="eastAsia"/>
                <w:sz w:val="28"/>
                <w:szCs w:val="28"/>
              </w:rPr>
              <w:t>661.34</w:t>
            </w:r>
          </w:p>
        </w:tc>
        <w:tc>
          <w:tcPr>
            <w:tcW w:w="1995" w:type="dxa"/>
            <w:tcBorders>
              <w:top w:val="single" w:sz="4" w:space="0" w:color="auto"/>
              <w:left w:val="single" w:sz="4" w:space="0" w:color="auto"/>
              <w:bottom w:val="single" w:sz="4" w:space="0" w:color="auto"/>
              <w:right w:val="nil"/>
            </w:tcBorders>
            <w:noWrap/>
            <w:tcMar>
              <w:top w:w="-1" w:type="dxa"/>
              <w:left w:w="-1" w:type="dxa"/>
              <w:bottom w:w="-1" w:type="dxa"/>
              <w:right w:w="-1" w:type="dxa"/>
            </w:tcMar>
          </w:tcPr>
          <w:p w:rsidR="00AB1168" w:rsidRDefault="00BE1998">
            <w:pPr>
              <w:snapToGrid w:val="0"/>
              <w:spacing w:before="81" w:line="360" w:lineRule="auto"/>
              <w:jc w:val="center"/>
              <w:rPr>
                <w:rFonts w:eastAsia="仿宋"/>
                <w:sz w:val="28"/>
                <w:szCs w:val="28"/>
              </w:rPr>
            </w:pPr>
            <w:r>
              <w:rPr>
                <w:rFonts w:eastAsia="仿宋" w:hint="eastAsia"/>
                <w:sz w:val="28"/>
                <w:szCs w:val="28"/>
              </w:rPr>
              <w:t>1081.07</w:t>
            </w:r>
          </w:p>
        </w:tc>
        <w:tc>
          <w:tcPr>
            <w:tcW w:w="1669" w:type="dxa"/>
            <w:tcBorders>
              <w:top w:val="single" w:sz="4" w:space="0" w:color="auto"/>
              <w:left w:val="single" w:sz="4" w:space="0" w:color="auto"/>
              <w:bottom w:val="single" w:sz="4" w:space="0" w:color="auto"/>
              <w:right w:val="nil"/>
            </w:tcBorders>
            <w:noWrap/>
            <w:tcMar>
              <w:top w:w="-1" w:type="dxa"/>
              <w:left w:w="-1" w:type="dxa"/>
              <w:bottom w:w="-1" w:type="dxa"/>
              <w:right w:w="-1" w:type="dxa"/>
            </w:tcMar>
          </w:tcPr>
          <w:p w:rsidR="00AB1168" w:rsidRDefault="00BE1998">
            <w:pPr>
              <w:snapToGrid w:val="0"/>
              <w:spacing w:before="81" w:line="360" w:lineRule="auto"/>
              <w:jc w:val="center"/>
              <w:rPr>
                <w:rFonts w:eastAsia="仿宋"/>
                <w:sz w:val="28"/>
                <w:szCs w:val="28"/>
              </w:rPr>
            </w:pPr>
            <w:r>
              <w:rPr>
                <w:rFonts w:eastAsia="仿宋" w:hint="eastAsia"/>
                <w:sz w:val="28"/>
                <w:szCs w:val="28"/>
              </w:rPr>
              <w:t>1047.57</w:t>
            </w:r>
          </w:p>
        </w:tc>
        <w:tc>
          <w:tcPr>
            <w:tcW w:w="1657" w:type="dxa"/>
            <w:tcBorders>
              <w:top w:val="single" w:sz="4" w:space="0" w:color="auto"/>
              <w:left w:val="single" w:sz="4" w:space="0" w:color="auto"/>
              <w:bottom w:val="single" w:sz="4" w:space="0" w:color="auto"/>
              <w:right w:val="single" w:sz="4" w:space="0" w:color="auto"/>
            </w:tcBorders>
            <w:noWrap/>
            <w:tcMar>
              <w:top w:w="-1" w:type="dxa"/>
              <w:left w:w="-1" w:type="dxa"/>
              <w:bottom w:w="-1" w:type="dxa"/>
              <w:right w:w="-1" w:type="dxa"/>
            </w:tcMar>
          </w:tcPr>
          <w:p w:rsidR="00AB1168" w:rsidRDefault="00BE1998">
            <w:pPr>
              <w:snapToGrid w:val="0"/>
              <w:spacing w:before="81" w:line="360" w:lineRule="auto"/>
              <w:jc w:val="center"/>
              <w:rPr>
                <w:rFonts w:eastAsia="仿宋"/>
                <w:sz w:val="28"/>
                <w:szCs w:val="28"/>
              </w:rPr>
            </w:pPr>
            <w:r>
              <w:rPr>
                <w:rFonts w:eastAsia="仿宋" w:hint="eastAsia"/>
                <w:sz w:val="28"/>
                <w:szCs w:val="28"/>
              </w:rPr>
              <w:t>96.90%</w:t>
            </w:r>
          </w:p>
        </w:tc>
      </w:tr>
    </w:tbl>
    <w:p w:rsidR="00AB1168" w:rsidRDefault="00BE1998">
      <w:pPr>
        <w:pStyle w:val="a7"/>
        <w:spacing w:line="560" w:lineRule="exact"/>
        <w:ind w:firstLine="560"/>
        <w:rPr>
          <w:rFonts w:ascii="Times New Roman" w:eastAsia="仿宋" w:hAnsi="Times New Roman"/>
          <w:sz w:val="28"/>
          <w:szCs w:val="28"/>
        </w:rPr>
      </w:pPr>
      <w:r>
        <w:rPr>
          <w:rFonts w:ascii="Times New Roman" w:eastAsia="仿宋" w:hAnsi="Times New Roman" w:hint="eastAsia"/>
          <w:sz w:val="28"/>
          <w:szCs w:val="28"/>
        </w:rPr>
        <w:t>2</w:t>
      </w:r>
      <w:r>
        <w:rPr>
          <w:rFonts w:ascii="Times New Roman" w:eastAsia="仿宋" w:hAnsi="Times New Roman" w:hint="eastAsia"/>
          <w:sz w:val="28"/>
          <w:szCs w:val="28"/>
        </w:rPr>
        <w:t>、三公经费情况</w:t>
      </w:r>
    </w:p>
    <w:p w:rsidR="00AB1168" w:rsidRDefault="00BE1998">
      <w:pPr>
        <w:pStyle w:val="a7"/>
        <w:spacing w:line="560" w:lineRule="exact"/>
        <w:ind w:firstLine="560"/>
        <w:rPr>
          <w:rFonts w:ascii="Times New Roman" w:eastAsia="仿宋" w:hAnsi="Times New Roman"/>
          <w:sz w:val="28"/>
          <w:szCs w:val="28"/>
        </w:rPr>
      </w:pPr>
      <w:r>
        <w:rPr>
          <w:rFonts w:ascii="Times New Roman" w:eastAsia="仿宋" w:hAnsi="Times New Roman" w:hint="eastAsia"/>
          <w:sz w:val="28"/>
          <w:szCs w:val="28"/>
        </w:rPr>
        <w:t>南京市种子管理站</w:t>
      </w:r>
      <w:r>
        <w:rPr>
          <w:rFonts w:ascii="Times New Roman" w:eastAsia="仿宋" w:hAnsi="Times New Roman" w:hint="eastAsia"/>
          <w:sz w:val="28"/>
          <w:szCs w:val="28"/>
        </w:rPr>
        <w:t>2025</w:t>
      </w:r>
      <w:r>
        <w:rPr>
          <w:rFonts w:ascii="Times New Roman" w:eastAsia="仿宋" w:hAnsi="Times New Roman" w:hint="eastAsia"/>
          <w:sz w:val="28"/>
          <w:szCs w:val="28"/>
        </w:rPr>
        <w:t>年度三公经费预算安排</w:t>
      </w:r>
      <w:r>
        <w:rPr>
          <w:rFonts w:ascii="Times New Roman" w:eastAsia="仿宋" w:hAnsi="Times New Roman" w:hint="eastAsia"/>
          <w:sz w:val="28"/>
          <w:szCs w:val="28"/>
        </w:rPr>
        <w:t>3.68</w:t>
      </w:r>
      <w:r>
        <w:rPr>
          <w:rFonts w:ascii="Times New Roman" w:eastAsia="仿宋" w:hAnsi="Times New Roman" w:hint="eastAsia"/>
          <w:sz w:val="28"/>
          <w:szCs w:val="28"/>
        </w:rPr>
        <w:t>万元，其中：因公出国（境）费</w:t>
      </w:r>
      <w:r>
        <w:rPr>
          <w:rFonts w:ascii="Times New Roman" w:eastAsia="仿宋" w:hAnsi="Times New Roman" w:hint="eastAsia"/>
          <w:sz w:val="28"/>
          <w:szCs w:val="28"/>
        </w:rPr>
        <w:t>0.00</w:t>
      </w:r>
      <w:r>
        <w:rPr>
          <w:rFonts w:ascii="Times New Roman" w:eastAsia="仿宋" w:hAnsi="Times New Roman" w:hint="eastAsia"/>
          <w:sz w:val="28"/>
          <w:szCs w:val="28"/>
        </w:rPr>
        <w:t>万元，公务用车购置及运行维护费</w:t>
      </w:r>
      <w:r>
        <w:rPr>
          <w:rFonts w:ascii="Times New Roman" w:eastAsia="仿宋" w:hAnsi="Times New Roman" w:hint="eastAsia"/>
          <w:sz w:val="28"/>
          <w:szCs w:val="28"/>
        </w:rPr>
        <w:t>2.88</w:t>
      </w:r>
      <w:r>
        <w:rPr>
          <w:rFonts w:ascii="Times New Roman" w:eastAsia="仿宋" w:hAnsi="Times New Roman" w:hint="eastAsia"/>
          <w:sz w:val="28"/>
          <w:szCs w:val="28"/>
        </w:rPr>
        <w:t>万元，公务接待费</w:t>
      </w:r>
      <w:r>
        <w:rPr>
          <w:rFonts w:ascii="Times New Roman" w:eastAsia="仿宋" w:hAnsi="Times New Roman" w:hint="eastAsia"/>
          <w:sz w:val="28"/>
          <w:szCs w:val="28"/>
        </w:rPr>
        <w:t>0.80</w:t>
      </w:r>
      <w:r>
        <w:rPr>
          <w:rFonts w:ascii="Times New Roman" w:eastAsia="仿宋" w:hAnsi="Times New Roman" w:hint="eastAsia"/>
          <w:sz w:val="28"/>
          <w:szCs w:val="28"/>
        </w:rPr>
        <w:t>万元。预算未调整，决算支出数</w:t>
      </w:r>
      <w:r>
        <w:rPr>
          <w:rFonts w:ascii="Times New Roman" w:eastAsia="仿宋" w:hAnsi="Times New Roman" w:hint="eastAsia"/>
          <w:sz w:val="28"/>
          <w:szCs w:val="28"/>
        </w:rPr>
        <w:t>2.58</w:t>
      </w:r>
      <w:r>
        <w:rPr>
          <w:rFonts w:ascii="Times New Roman" w:eastAsia="仿宋" w:hAnsi="Times New Roman" w:hint="eastAsia"/>
          <w:sz w:val="28"/>
          <w:szCs w:val="28"/>
        </w:rPr>
        <w:t>万元，其中：因公出国（境）费支出</w:t>
      </w:r>
      <w:r>
        <w:rPr>
          <w:rFonts w:ascii="Times New Roman" w:eastAsia="仿宋" w:hAnsi="Times New Roman" w:hint="eastAsia"/>
          <w:sz w:val="28"/>
          <w:szCs w:val="28"/>
        </w:rPr>
        <w:t>0.00</w:t>
      </w:r>
      <w:r>
        <w:rPr>
          <w:rFonts w:ascii="Times New Roman" w:eastAsia="仿宋" w:hAnsi="Times New Roman" w:hint="eastAsia"/>
          <w:sz w:val="28"/>
          <w:szCs w:val="28"/>
        </w:rPr>
        <w:t>万元；公务用车购置及运行维护费支出</w:t>
      </w:r>
      <w:bookmarkStart w:id="0" w:name="_GoBack"/>
      <w:bookmarkEnd w:id="0"/>
      <w:r>
        <w:rPr>
          <w:rFonts w:ascii="Times New Roman" w:eastAsia="仿宋" w:hAnsi="Times New Roman" w:hint="eastAsia"/>
          <w:sz w:val="28"/>
          <w:szCs w:val="28"/>
        </w:rPr>
        <w:t>2.49</w:t>
      </w:r>
      <w:r>
        <w:rPr>
          <w:rFonts w:ascii="Times New Roman" w:eastAsia="仿宋" w:hAnsi="Times New Roman" w:hint="eastAsia"/>
          <w:sz w:val="28"/>
          <w:szCs w:val="28"/>
        </w:rPr>
        <w:t>万元，预算执行率</w:t>
      </w:r>
      <w:r>
        <w:rPr>
          <w:rFonts w:ascii="Times New Roman" w:eastAsia="仿宋" w:hAnsi="Times New Roman" w:hint="eastAsia"/>
          <w:sz w:val="28"/>
          <w:szCs w:val="28"/>
        </w:rPr>
        <w:t>86.46%</w:t>
      </w:r>
      <w:r>
        <w:rPr>
          <w:rFonts w:ascii="Times New Roman" w:eastAsia="仿宋" w:hAnsi="Times New Roman" w:hint="eastAsia"/>
          <w:sz w:val="28"/>
          <w:szCs w:val="28"/>
        </w:rPr>
        <w:t>；公务接待费</w:t>
      </w:r>
      <w:r>
        <w:rPr>
          <w:rFonts w:ascii="Times New Roman" w:eastAsia="仿宋" w:hAnsi="Times New Roman" w:hint="eastAsia"/>
          <w:sz w:val="28"/>
          <w:szCs w:val="28"/>
        </w:rPr>
        <w:t>0.08</w:t>
      </w:r>
      <w:r>
        <w:rPr>
          <w:rFonts w:ascii="Times New Roman" w:eastAsia="仿宋" w:hAnsi="Times New Roman" w:hint="eastAsia"/>
          <w:sz w:val="28"/>
          <w:szCs w:val="28"/>
        </w:rPr>
        <w:t>万元，预算执行率</w:t>
      </w:r>
      <w:r>
        <w:rPr>
          <w:rFonts w:ascii="Times New Roman" w:eastAsia="仿宋" w:hAnsi="Times New Roman" w:hint="eastAsia"/>
          <w:sz w:val="28"/>
          <w:szCs w:val="28"/>
        </w:rPr>
        <w:t>10%</w:t>
      </w:r>
      <w:r>
        <w:rPr>
          <w:rFonts w:ascii="Times New Roman" w:eastAsia="仿宋" w:hAnsi="Times New Roman" w:hint="eastAsia"/>
          <w:sz w:val="28"/>
          <w:szCs w:val="28"/>
        </w:rPr>
        <w:t>。</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（三）部门（单位）绩效目标</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1</w:t>
      </w:r>
      <w:r>
        <w:rPr>
          <w:rFonts w:eastAsia="仿宋" w:hint="eastAsia"/>
          <w:sz w:val="28"/>
          <w:szCs w:val="28"/>
        </w:rPr>
        <w:t>、中长期目标</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lastRenderedPageBreak/>
        <w:t>一是坚持党建引领，筑牢种业红色根基。依托“种业先锋”党建品牌，围绕“四个坚持”工作法，将党建工作与品种管理、市场管理、行业管理等核心业务深度融合，充分发挥党组织战斗堡垒作用和党员先锋模范作用，把党建成效切实转化为种业高质量发展的强大动能，打造全省种业党建标杆。</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 xml:space="preserve"> </w:t>
      </w:r>
      <w:r>
        <w:rPr>
          <w:rFonts w:eastAsia="仿宋" w:hint="eastAsia"/>
          <w:sz w:val="28"/>
          <w:szCs w:val="28"/>
        </w:rPr>
        <w:t>二是加强质量监管，严守种业安全底线。深化种子法律法规精准化、常态化宣贯，优化“冬检企业、春秋查市场、夏巡田间”闭环监管模式，高标准完成省、市种子样品田间种植鉴定，将主要农作物品种、重点经营主体监管覆盖面提升至</w:t>
      </w:r>
      <w:r>
        <w:rPr>
          <w:rFonts w:eastAsia="仿宋" w:hint="eastAsia"/>
          <w:sz w:val="28"/>
          <w:szCs w:val="28"/>
        </w:rPr>
        <w:t>100%</w:t>
      </w:r>
      <w:r>
        <w:rPr>
          <w:rFonts w:eastAsia="仿宋" w:hint="eastAsia"/>
          <w:sz w:val="28"/>
          <w:szCs w:val="28"/>
        </w:rPr>
        <w:t>，确保种子质量合格率稳定保持在</w:t>
      </w:r>
      <w:r>
        <w:rPr>
          <w:rFonts w:eastAsia="仿宋" w:hint="eastAsia"/>
          <w:sz w:val="28"/>
          <w:szCs w:val="28"/>
        </w:rPr>
        <w:t>98%</w:t>
      </w:r>
      <w:r>
        <w:rPr>
          <w:rFonts w:eastAsia="仿宋" w:hint="eastAsia"/>
          <w:sz w:val="28"/>
          <w:szCs w:val="28"/>
        </w:rPr>
        <w:t>以上，力争实现重点品类合格率</w:t>
      </w:r>
      <w:r>
        <w:rPr>
          <w:rFonts w:eastAsia="仿宋" w:hint="eastAsia"/>
          <w:sz w:val="28"/>
          <w:szCs w:val="28"/>
        </w:rPr>
        <w:t>100%</w:t>
      </w:r>
      <w:r>
        <w:rPr>
          <w:rFonts w:eastAsia="仿宋" w:hint="eastAsia"/>
          <w:sz w:val="28"/>
          <w:szCs w:val="28"/>
        </w:rPr>
        <w:t>。</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三是规范市场秩序，构建全程追溯体系。严格落实种子生产经营许可、备案制度，强化种企许可事项事中事后监管；深化门店规范化建设，推动进销存管理系统广泛应用，督促经营主体做到“来源可查、去向可追、责任可究”，完善从生产、加工到销售的全链条可追溯机制，严厉打击种子市场违法违规行为。</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四是优化试验管理，打造示范推广高地。聚焦稻麦油等主要农作物及地方特色品种，示范推广优质、多抗、高产、适宜机械化作业的新品种。常态化组织优新品种现场观摩会、推介会，搭建品种展示交流平台。科学开展新品种区试、生试，严格试验流程管理，提升试验数据准确性和权威性。强化全市农作物新品种测试、多渠道试验督查，规范试验标准，确保试验结果客观公正，为品种审定和推广提供科学依据。</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五是深化种情监测，提升供需调控水平。紧盯春耕、夏种、秋收等关键农时节点，开展农作物种业和品种应用面积常态化统计。加强</w:t>
      </w:r>
      <w:r>
        <w:rPr>
          <w:rFonts w:eastAsia="仿宋" w:hint="eastAsia"/>
          <w:sz w:val="28"/>
          <w:szCs w:val="28"/>
        </w:rPr>
        <w:lastRenderedPageBreak/>
        <w:t>春夏播、秋冬种产供需调度，定期发布农作物品种应用指导性意见，科学优化品种布局结构，加大主导品种推广力度，推动品种更新换代，提高优质品种市场占有率。规范市场观察点管理，明确核心指标与质量标准，建立“定期培训</w:t>
      </w:r>
      <w:r>
        <w:rPr>
          <w:rFonts w:eastAsia="仿宋" w:hint="eastAsia"/>
          <w:sz w:val="28"/>
          <w:szCs w:val="28"/>
        </w:rPr>
        <w:t>+</w:t>
      </w:r>
      <w:r>
        <w:rPr>
          <w:rFonts w:eastAsia="仿宋" w:hint="eastAsia"/>
          <w:sz w:val="28"/>
          <w:szCs w:val="28"/>
        </w:rPr>
        <w:t>考核激励”联动机制，确保采集数据真实可靠、全面规范。</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六是完善基地配套，构建现代种业平台。立足南京国家级农作物品种区域试验站既有基础，系统推进试验展示配套设施的新建、修缮与升级，筑牢硬件支撑。优化区试站试验、示范功能分区，聚焦特色蔬菜瓜果等优势品类，打造设施蔬菜等高附加值作物品种展示观摩窗口，补强基地运行特色。健全基地安全管理、运维保障等制度体系，深化“产学研”协同创新，构建“田间看禾、室内观展、研学互动”的多元服务模式。力争将区试站升级为基础设施完备、软硬件深度适配、示范推广高效的标杆试验展示基地。</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七是抓实队伍建设，锻造种业专业铁军。建立健全年轻干部培养、选拔与使用机制。实施能力提升计划，开展法律微课堂、业务微课堂等活动，加强专业知识培训；实施站企共建计划，让年轻干部与重点种企同心同行同发展，在服务企业中成长成才；实施经验传承计划，鼓励支持退休同志发挥余热，指导年轻同志做好田间试验管理，促进理论与实践深度融合。</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八是细化内控管理，规范单位运行机制。全面梳理并完善各项内控管理制度，形成覆盖资金、人事、物资、项目等全领域的内控管理体系。建立预算执行动态监控机制，强化资金使用全流程绩效管理，年度预算执行率不低于</w:t>
      </w:r>
      <w:r>
        <w:rPr>
          <w:rFonts w:eastAsia="仿宋" w:hint="eastAsia"/>
          <w:sz w:val="28"/>
          <w:szCs w:val="28"/>
        </w:rPr>
        <w:t>95%</w:t>
      </w:r>
      <w:r>
        <w:rPr>
          <w:rFonts w:eastAsia="仿宋" w:hint="eastAsia"/>
          <w:sz w:val="28"/>
          <w:szCs w:val="28"/>
        </w:rPr>
        <w:t>。严格执行财经纪律和相关法规，保障预</w:t>
      </w:r>
      <w:r>
        <w:rPr>
          <w:rFonts w:eastAsia="仿宋" w:hint="eastAsia"/>
          <w:sz w:val="28"/>
          <w:szCs w:val="28"/>
        </w:rPr>
        <w:lastRenderedPageBreak/>
        <w:t>算执行合法有序、公开透明，提升单位内部治理效能，为种业管理工作提供坚实制度保障。</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九是强化服务保障，提升惠民服务质效。建立种业企业“一对一”精准服务机制，针对企业发展痛点难点提供定制化帮扶。开展技术下乡活动，组织专家为种植户提供品种选择、栽培管理等技术指导。搭建种业信息服务平台，整合政策、市场、技术等信息资源，为种业全产业链主体提供便捷高效的信息服务，切实增强种业从业者和种植户的获得感、幸福感。</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2</w:t>
      </w:r>
      <w:r>
        <w:rPr>
          <w:rFonts w:eastAsia="仿宋" w:hint="eastAsia"/>
          <w:sz w:val="28"/>
          <w:szCs w:val="28"/>
        </w:rPr>
        <w:t>、年度绩效目标</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w:t>
      </w:r>
      <w:r>
        <w:rPr>
          <w:rFonts w:eastAsia="仿宋" w:hint="eastAsia"/>
          <w:sz w:val="28"/>
          <w:szCs w:val="28"/>
        </w:rPr>
        <w:t>1</w:t>
      </w:r>
      <w:r>
        <w:rPr>
          <w:rFonts w:eastAsia="仿宋" w:hint="eastAsia"/>
          <w:sz w:val="28"/>
          <w:szCs w:val="28"/>
        </w:rPr>
        <w:t>）做好农作物种子企业生产经营许可证新办、续办和变更审核。</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w:t>
      </w:r>
      <w:r>
        <w:rPr>
          <w:rFonts w:eastAsia="仿宋" w:hint="eastAsia"/>
          <w:sz w:val="28"/>
          <w:szCs w:val="28"/>
        </w:rPr>
        <w:t>2</w:t>
      </w:r>
      <w:r>
        <w:rPr>
          <w:rFonts w:eastAsia="仿宋" w:hint="eastAsia"/>
          <w:sz w:val="28"/>
          <w:szCs w:val="28"/>
        </w:rPr>
        <w:t>）全市优良食味水稻品种种植面积占比</w:t>
      </w:r>
      <w:r>
        <w:rPr>
          <w:rFonts w:eastAsia="仿宋" w:hint="eastAsia"/>
          <w:sz w:val="28"/>
          <w:szCs w:val="28"/>
        </w:rPr>
        <w:t>70%</w:t>
      </w:r>
      <w:r>
        <w:rPr>
          <w:rFonts w:eastAsia="仿宋" w:hint="eastAsia"/>
          <w:sz w:val="28"/>
          <w:szCs w:val="28"/>
        </w:rPr>
        <w:t>以上。</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w:t>
      </w:r>
      <w:r>
        <w:rPr>
          <w:rFonts w:eastAsia="仿宋" w:hint="eastAsia"/>
          <w:sz w:val="28"/>
          <w:szCs w:val="28"/>
        </w:rPr>
        <w:t>3</w:t>
      </w:r>
      <w:r>
        <w:rPr>
          <w:rFonts w:eastAsia="仿宋" w:hint="eastAsia"/>
          <w:sz w:val="28"/>
          <w:szCs w:val="28"/>
        </w:rPr>
        <w:t>）市本级抽检种子样品</w:t>
      </w:r>
      <w:r>
        <w:rPr>
          <w:rFonts w:eastAsia="仿宋" w:hint="eastAsia"/>
          <w:sz w:val="28"/>
          <w:szCs w:val="28"/>
        </w:rPr>
        <w:t>70</w:t>
      </w:r>
      <w:r>
        <w:rPr>
          <w:rFonts w:eastAsia="仿宋" w:hint="eastAsia"/>
          <w:sz w:val="28"/>
          <w:szCs w:val="28"/>
        </w:rPr>
        <w:t>份，抽检合格率</w:t>
      </w:r>
      <w:r>
        <w:rPr>
          <w:rFonts w:eastAsia="仿宋" w:hint="eastAsia"/>
          <w:sz w:val="28"/>
          <w:szCs w:val="28"/>
        </w:rPr>
        <w:t>98%</w:t>
      </w:r>
      <w:r>
        <w:rPr>
          <w:rFonts w:eastAsia="仿宋" w:hint="eastAsia"/>
          <w:sz w:val="28"/>
          <w:szCs w:val="28"/>
        </w:rPr>
        <w:t>以上。</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w:t>
      </w:r>
      <w:r>
        <w:rPr>
          <w:rFonts w:eastAsia="仿宋" w:hint="eastAsia"/>
          <w:sz w:val="28"/>
          <w:szCs w:val="28"/>
        </w:rPr>
        <w:t>4</w:t>
      </w:r>
      <w:r>
        <w:rPr>
          <w:rFonts w:eastAsia="仿宋" w:hint="eastAsia"/>
          <w:sz w:val="28"/>
          <w:szCs w:val="28"/>
        </w:rPr>
        <w:t>）完成</w:t>
      </w:r>
      <w:r>
        <w:rPr>
          <w:rFonts w:eastAsia="仿宋" w:hint="eastAsia"/>
          <w:sz w:val="28"/>
          <w:szCs w:val="28"/>
        </w:rPr>
        <w:t>30</w:t>
      </w:r>
      <w:r>
        <w:rPr>
          <w:rFonts w:eastAsia="仿宋" w:hint="eastAsia"/>
          <w:sz w:val="28"/>
          <w:szCs w:val="28"/>
        </w:rPr>
        <w:t>个以上杂交水稻品种纯度和真实性田间种植鉴定。</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w:t>
      </w:r>
      <w:r>
        <w:rPr>
          <w:rFonts w:eastAsia="仿宋" w:hint="eastAsia"/>
          <w:sz w:val="28"/>
          <w:szCs w:val="28"/>
        </w:rPr>
        <w:t>5</w:t>
      </w:r>
      <w:r>
        <w:rPr>
          <w:rFonts w:eastAsia="仿宋" w:hint="eastAsia"/>
          <w:sz w:val="28"/>
          <w:szCs w:val="28"/>
        </w:rPr>
        <w:t>）做好小麦、玉米、大豆等主要农作物新品种试验，试验品种数</w:t>
      </w:r>
      <w:r>
        <w:rPr>
          <w:rFonts w:eastAsia="仿宋" w:hint="eastAsia"/>
          <w:sz w:val="28"/>
          <w:szCs w:val="28"/>
        </w:rPr>
        <w:t>60</w:t>
      </w:r>
      <w:r>
        <w:rPr>
          <w:rFonts w:eastAsia="仿宋" w:hint="eastAsia"/>
          <w:sz w:val="28"/>
          <w:szCs w:val="28"/>
        </w:rPr>
        <w:t>个以上。</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w:t>
      </w:r>
      <w:r>
        <w:rPr>
          <w:rFonts w:eastAsia="仿宋" w:hint="eastAsia"/>
          <w:sz w:val="28"/>
          <w:szCs w:val="28"/>
        </w:rPr>
        <w:t>6</w:t>
      </w:r>
      <w:r>
        <w:rPr>
          <w:rFonts w:eastAsia="仿宋" w:hint="eastAsia"/>
          <w:sz w:val="28"/>
          <w:szCs w:val="28"/>
        </w:rPr>
        <w:t>）开展救灾备荒种子储备，储备救灾备荒种子</w:t>
      </w:r>
      <w:r>
        <w:rPr>
          <w:rFonts w:eastAsia="仿宋" w:hint="eastAsia"/>
          <w:sz w:val="28"/>
          <w:szCs w:val="28"/>
        </w:rPr>
        <w:t>5.5</w:t>
      </w:r>
      <w:r>
        <w:rPr>
          <w:rFonts w:eastAsia="仿宋" w:hint="eastAsia"/>
          <w:sz w:val="28"/>
          <w:szCs w:val="28"/>
        </w:rPr>
        <w:t>万公斤。</w:t>
      </w:r>
    </w:p>
    <w:p w:rsidR="00AB1168" w:rsidRDefault="00BE1998">
      <w:pPr>
        <w:widowControl/>
        <w:spacing w:line="560" w:lineRule="exact"/>
        <w:ind w:left="640"/>
        <w:jc w:val="left"/>
        <w:rPr>
          <w:rFonts w:ascii="黑体" w:eastAsia="黑体" w:hAnsi="黑体" w:cs="宋体"/>
          <w:kern w:val="0"/>
          <w:sz w:val="24"/>
        </w:rPr>
      </w:pPr>
      <w:r>
        <w:rPr>
          <w:rFonts w:ascii="黑体" w:eastAsia="黑体" w:hAnsi="黑体" w:cs="宋体" w:hint="eastAsia"/>
          <w:color w:val="000000"/>
          <w:kern w:val="0"/>
          <w:sz w:val="32"/>
          <w:szCs w:val="32"/>
        </w:rPr>
        <w:t>二、评价结论</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（一）评价对象与范围</w:t>
      </w:r>
    </w:p>
    <w:p w:rsidR="00AB1168" w:rsidRDefault="00BE1998">
      <w:pPr>
        <w:widowControl/>
        <w:spacing w:line="560" w:lineRule="exact"/>
        <w:ind w:firstLineChars="200" w:firstLine="560"/>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本次评价对象为南京市种子管理站部门整体资金1081.07万元，包括基本支出和项目支出。评价时段为 2025 年1月1日至12月31日。</w:t>
      </w:r>
    </w:p>
    <w:p w:rsidR="00AB1168" w:rsidRDefault="00BE1998">
      <w:pPr>
        <w:widowControl/>
        <w:spacing w:line="560" w:lineRule="exact"/>
        <w:ind w:firstLineChars="200" w:firstLine="560"/>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（二）绩效评价结论</w:t>
      </w:r>
    </w:p>
    <w:p w:rsidR="00AB1168" w:rsidRDefault="00BE1998">
      <w:pPr>
        <w:widowControl/>
        <w:spacing w:line="560" w:lineRule="exact"/>
        <w:ind w:firstLineChars="200" w:firstLine="560"/>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lastRenderedPageBreak/>
        <w:t>经综合评价，2025年度南京市种子管理站整体绩效评价得分100分，等级为“优”。</w:t>
      </w:r>
    </w:p>
    <w:p w:rsidR="00AB1168" w:rsidRDefault="00BE1998">
      <w:pPr>
        <w:spacing w:line="520" w:lineRule="exact"/>
        <w:ind w:firstLineChars="200" w:firstLine="560"/>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2025年，市种子管理站紧扣种业高质量发展中长期目标和年度重点任务，规范使用各类专项资金，预算执行合规有序、落地成效显著。超额完成种子抽检、品种田间鉴定、经营备案等重点任务，种子抽检合格率、优良品种覆盖率保持高位；有序开展新品种试验示范与观摩推广，优良食味水稻种植面积稳步提升，良种推广应用水平持续提高。顺利完成区级试验站基础设施升级改造，足额落实救灾备荒种子储备任务，筑牢农业生产安全底线。同时坚持党建引领，健全内控管理机制，常态化开展业务培训、企业帮扶和惠农服务，人才队伍建设和行业服务质效持续提升，圆满完成年度各项绩效目标，有力保障全市现代种业平稳高质量发展。但是，工作开展过程中仍存在部分短板与不足：一是人才队伍建设有待加强，复合型种业人才储备不足，难以适配种业高质量发展需求。二是监管服务精细化不足，日常监管方式较为常规，市场跟踪研判、精准帮扶力度不足，服务赋能产业升级质效有待提升。</w:t>
      </w:r>
    </w:p>
    <w:p w:rsidR="00AB1168" w:rsidRDefault="00BE1998">
      <w:pPr>
        <w:spacing w:line="520" w:lineRule="exact"/>
        <w:ind w:firstLineChars="200" w:firstLine="560"/>
        <w:jc w:val="left"/>
        <w:rPr>
          <w:rFonts w:ascii="仿宋" w:eastAsia="仿宋" w:hAnsi="仿宋" w:cs="仿宋"/>
          <w:color w:val="000000"/>
          <w:kern w:val="0"/>
          <w:sz w:val="28"/>
          <w:szCs w:val="28"/>
        </w:rPr>
      </w:pPr>
      <w:r>
        <w:rPr>
          <w:rFonts w:ascii="仿宋" w:eastAsia="仿宋" w:hAnsi="仿宋" w:cs="仿宋" w:hint="eastAsia"/>
          <w:color w:val="000000"/>
          <w:kern w:val="0"/>
          <w:sz w:val="28"/>
          <w:szCs w:val="28"/>
        </w:rPr>
        <w:t>下一步，将靶向补齐短板：一是强化人才队伍提质赋能。针对性开展智能设计育种、转基因监管等方面业务培训，健全人才培养、激励机制，优化人才梯队结构，全面提升队伍综合履职能力。二是升级精细化监管服务模式。转变传统监管方式，强化种子市场动态监测与品种田间表现跟踪研判，聚焦种业经营主体需求开展精准帮扶，创新服务举措、优化服务质效。</w:t>
      </w:r>
    </w:p>
    <w:p w:rsidR="00AB1168" w:rsidRDefault="00BE1998">
      <w:pPr>
        <w:widowControl/>
        <w:spacing w:line="560"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t>三、部门履职成效</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紧扣年度资金绩效目标、</w:t>
      </w:r>
      <w:r>
        <w:rPr>
          <w:rFonts w:eastAsia="仿宋" w:hint="eastAsia"/>
          <w:sz w:val="28"/>
          <w:szCs w:val="28"/>
        </w:rPr>
        <w:t>2025</w:t>
      </w:r>
      <w:r>
        <w:rPr>
          <w:rFonts w:eastAsia="仿宋" w:hint="eastAsia"/>
          <w:sz w:val="28"/>
          <w:szCs w:val="28"/>
        </w:rPr>
        <w:t>年度重点工作任务，以资金项目落地成效为核心，结合品种管理、市场监管、基地运维、种业服务等绩效目标完成情况进行总结。</w:t>
      </w:r>
      <w:r>
        <w:rPr>
          <w:rFonts w:eastAsia="仿宋" w:hint="eastAsia"/>
          <w:sz w:val="28"/>
          <w:szCs w:val="28"/>
        </w:rPr>
        <w:t xml:space="preserve"> </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lastRenderedPageBreak/>
        <w:t>（一）种业监管项目资金落地见效，工作绩效超额达标</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依托种子质量监管体系建设专项资金，落实“冬检企业、春秋查市场、夏巡田间”闭环监管投入，全年投入抽检、田间鉴定工作经费足额保障，完成</w:t>
      </w:r>
      <w:r>
        <w:rPr>
          <w:rFonts w:eastAsia="仿宋" w:hint="eastAsia"/>
          <w:sz w:val="28"/>
          <w:szCs w:val="28"/>
        </w:rPr>
        <w:t>227</w:t>
      </w:r>
      <w:r>
        <w:rPr>
          <w:rFonts w:eastAsia="仿宋" w:hint="eastAsia"/>
          <w:sz w:val="28"/>
          <w:szCs w:val="28"/>
        </w:rPr>
        <w:t>份种子样品抽样检测，样品抽检合格率</w:t>
      </w:r>
      <w:r>
        <w:rPr>
          <w:rFonts w:eastAsia="仿宋" w:hint="eastAsia"/>
          <w:sz w:val="28"/>
          <w:szCs w:val="28"/>
        </w:rPr>
        <w:t>100%</w:t>
      </w:r>
      <w:r>
        <w:rPr>
          <w:rFonts w:eastAsia="仿宋" w:hint="eastAsia"/>
          <w:sz w:val="28"/>
          <w:szCs w:val="28"/>
        </w:rPr>
        <w:t>；完成省级</w:t>
      </w:r>
      <w:r>
        <w:rPr>
          <w:rFonts w:eastAsia="仿宋" w:hint="eastAsia"/>
          <w:sz w:val="28"/>
          <w:szCs w:val="28"/>
        </w:rPr>
        <w:t>36</w:t>
      </w:r>
      <w:r>
        <w:rPr>
          <w:rFonts w:eastAsia="仿宋" w:hint="eastAsia"/>
          <w:sz w:val="28"/>
          <w:szCs w:val="28"/>
        </w:rPr>
        <w:t>个杂交水稻、市级</w:t>
      </w:r>
      <w:r>
        <w:rPr>
          <w:rFonts w:eastAsia="仿宋" w:hint="eastAsia"/>
          <w:sz w:val="28"/>
          <w:szCs w:val="28"/>
        </w:rPr>
        <w:t>52</w:t>
      </w:r>
      <w:r>
        <w:rPr>
          <w:rFonts w:eastAsia="仿宋" w:hint="eastAsia"/>
          <w:sz w:val="28"/>
          <w:szCs w:val="28"/>
        </w:rPr>
        <w:t>个粮油果蔬品种纯度真实性鉴定，核查稻麦繁种田</w:t>
      </w:r>
      <w:r>
        <w:rPr>
          <w:rFonts w:eastAsia="仿宋" w:hint="eastAsia"/>
          <w:sz w:val="28"/>
          <w:szCs w:val="28"/>
        </w:rPr>
        <w:t>2.47</w:t>
      </w:r>
      <w:r>
        <w:rPr>
          <w:rFonts w:eastAsia="仿宋" w:hint="eastAsia"/>
          <w:sz w:val="28"/>
          <w:szCs w:val="28"/>
        </w:rPr>
        <w:t>万余亩。全市</w:t>
      </w:r>
      <w:r>
        <w:rPr>
          <w:rFonts w:eastAsia="仿宋" w:hint="eastAsia"/>
          <w:sz w:val="28"/>
          <w:szCs w:val="28"/>
        </w:rPr>
        <w:t>3371</w:t>
      </w:r>
      <w:r>
        <w:rPr>
          <w:rFonts w:eastAsia="仿宋" w:hint="eastAsia"/>
          <w:sz w:val="28"/>
          <w:szCs w:val="28"/>
        </w:rPr>
        <w:t>单经营不再分装种子备案全部办结，资金投入有效筑牢种业安全底线，规范种业市场准入秩序。</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（二）品种试验示范资金高效使用，良种推广稳步提升</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足额保障农作物品种试验、新品种展示项目经费，全年完成</w:t>
      </w:r>
      <w:r>
        <w:rPr>
          <w:rFonts w:eastAsia="仿宋" w:hint="eastAsia"/>
          <w:sz w:val="28"/>
          <w:szCs w:val="28"/>
        </w:rPr>
        <w:t>9</w:t>
      </w:r>
      <w:r>
        <w:rPr>
          <w:rFonts w:eastAsia="仿宋" w:hint="eastAsia"/>
          <w:sz w:val="28"/>
          <w:szCs w:val="28"/>
        </w:rPr>
        <w:t>组省级统一试验、</w:t>
      </w:r>
      <w:r>
        <w:rPr>
          <w:rFonts w:eastAsia="仿宋" w:hint="eastAsia"/>
          <w:sz w:val="28"/>
          <w:szCs w:val="28"/>
        </w:rPr>
        <w:t>66</w:t>
      </w:r>
      <w:r>
        <w:rPr>
          <w:rFonts w:eastAsia="仿宋" w:hint="eastAsia"/>
          <w:sz w:val="28"/>
          <w:szCs w:val="28"/>
        </w:rPr>
        <w:t>个新品种对比测试，开展</w:t>
      </w:r>
      <w:r>
        <w:rPr>
          <w:rFonts w:eastAsia="仿宋" w:hint="eastAsia"/>
          <w:sz w:val="28"/>
          <w:szCs w:val="28"/>
        </w:rPr>
        <w:t>51</w:t>
      </w:r>
      <w:r>
        <w:rPr>
          <w:rFonts w:eastAsia="仿宋" w:hint="eastAsia"/>
          <w:sz w:val="28"/>
          <w:szCs w:val="28"/>
        </w:rPr>
        <w:t>个稻麦油优新品种田间展示，指导</w:t>
      </w:r>
      <w:r>
        <w:rPr>
          <w:rFonts w:eastAsia="仿宋" w:hint="eastAsia"/>
          <w:sz w:val="28"/>
          <w:szCs w:val="28"/>
        </w:rPr>
        <w:t>5</w:t>
      </w:r>
      <w:r>
        <w:rPr>
          <w:rFonts w:eastAsia="仿宋" w:hint="eastAsia"/>
          <w:sz w:val="28"/>
          <w:szCs w:val="28"/>
        </w:rPr>
        <w:t>个区级综合测试点完成</w:t>
      </w:r>
      <w:r>
        <w:rPr>
          <w:rFonts w:eastAsia="仿宋" w:hint="eastAsia"/>
          <w:sz w:val="28"/>
          <w:szCs w:val="28"/>
        </w:rPr>
        <w:t>196</w:t>
      </w:r>
      <w:r>
        <w:rPr>
          <w:rFonts w:eastAsia="仿宋" w:hint="eastAsia"/>
          <w:sz w:val="28"/>
          <w:szCs w:val="28"/>
        </w:rPr>
        <w:t>个次品种测试；举办优新品种观摩培训会</w:t>
      </w:r>
      <w:r>
        <w:rPr>
          <w:rFonts w:eastAsia="仿宋" w:hint="eastAsia"/>
          <w:sz w:val="28"/>
          <w:szCs w:val="28"/>
        </w:rPr>
        <w:t>3</w:t>
      </w:r>
      <w:r>
        <w:rPr>
          <w:rFonts w:eastAsia="仿宋" w:hint="eastAsia"/>
          <w:sz w:val="28"/>
          <w:szCs w:val="28"/>
        </w:rPr>
        <w:t>场，全市优良食味水稻种植面积占比超</w:t>
      </w:r>
      <w:r>
        <w:rPr>
          <w:rFonts w:eastAsia="仿宋" w:hint="eastAsia"/>
          <w:sz w:val="28"/>
          <w:szCs w:val="28"/>
        </w:rPr>
        <w:t>73%</w:t>
      </w:r>
      <w:r>
        <w:rPr>
          <w:rFonts w:eastAsia="仿宋" w:hint="eastAsia"/>
          <w:sz w:val="28"/>
          <w:szCs w:val="28"/>
        </w:rPr>
        <w:t>，全市</w:t>
      </w:r>
      <w:r>
        <w:rPr>
          <w:rFonts w:eastAsia="仿宋"/>
          <w:sz w:val="28"/>
          <w:szCs w:val="28"/>
        </w:rPr>
        <w:t>主要</w:t>
      </w:r>
      <w:r>
        <w:rPr>
          <w:rFonts w:eastAsia="仿宋" w:hint="eastAsia"/>
          <w:sz w:val="28"/>
          <w:szCs w:val="28"/>
        </w:rPr>
        <w:t>农作物</w:t>
      </w:r>
      <w:r>
        <w:rPr>
          <w:rFonts w:eastAsia="仿宋"/>
          <w:sz w:val="28"/>
          <w:szCs w:val="28"/>
        </w:rPr>
        <w:t>良种</w:t>
      </w:r>
      <w:r>
        <w:rPr>
          <w:rFonts w:eastAsia="仿宋" w:hint="eastAsia"/>
          <w:sz w:val="28"/>
          <w:szCs w:val="28"/>
        </w:rPr>
        <w:t>覆盖率达</w:t>
      </w:r>
      <w:r>
        <w:rPr>
          <w:rFonts w:eastAsia="仿宋" w:hint="eastAsia"/>
          <w:sz w:val="28"/>
          <w:szCs w:val="28"/>
        </w:rPr>
        <w:t>9</w:t>
      </w:r>
      <w:r>
        <w:rPr>
          <w:rFonts w:eastAsia="仿宋"/>
          <w:sz w:val="28"/>
          <w:szCs w:val="28"/>
        </w:rPr>
        <w:t>8</w:t>
      </w:r>
      <w:r>
        <w:rPr>
          <w:rFonts w:eastAsia="仿宋" w:hint="eastAsia"/>
          <w:sz w:val="28"/>
          <w:szCs w:val="28"/>
        </w:rPr>
        <w:t>%</w:t>
      </w:r>
      <w:r>
        <w:rPr>
          <w:rFonts w:eastAsia="仿宋" w:hint="eastAsia"/>
          <w:sz w:val="28"/>
          <w:szCs w:val="28"/>
        </w:rPr>
        <w:t>以上</w:t>
      </w:r>
      <w:r>
        <w:rPr>
          <w:rFonts w:eastAsia="仿宋"/>
          <w:sz w:val="28"/>
          <w:szCs w:val="28"/>
        </w:rPr>
        <w:t>，较往年持续提升。</w:t>
      </w:r>
      <w:r>
        <w:rPr>
          <w:rFonts w:eastAsia="仿宋" w:hint="eastAsia"/>
          <w:sz w:val="28"/>
          <w:szCs w:val="28"/>
        </w:rPr>
        <w:t>种情监测配套经费保障</w:t>
      </w:r>
      <w:r>
        <w:rPr>
          <w:rFonts w:eastAsia="仿宋" w:hint="eastAsia"/>
          <w:sz w:val="28"/>
          <w:szCs w:val="28"/>
        </w:rPr>
        <w:t>12</w:t>
      </w:r>
      <w:r>
        <w:rPr>
          <w:rFonts w:eastAsia="仿宋" w:hint="eastAsia"/>
          <w:sz w:val="28"/>
          <w:szCs w:val="28"/>
        </w:rPr>
        <w:t>个全国种子市场观察点全年上报行情数据</w:t>
      </w:r>
      <w:r>
        <w:rPr>
          <w:rFonts w:eastAsia="仿宋" w:hint="eastAsia"/>
          <w:sz w:val="28"/>
          <w:szCs w:val="28"/>
        </w:rPr>
        <w:t>14</w:t>
      </w:r>
      <w:r>
        <w:rPr>
          <w:rFonts w:eastAsia="仿宋" w:hint="eastAsia"/>
          <w:sz w:val="28"/>
          <w:szCs w:val="28"/>
        </w:rPr>
        <w:t>万余次，为品种布局优化、供需调控提供完整数据支撑。</w:t>
      </w:r>
      <w:r>
        <w:rPr>
          <w:rFonts w:eastAsia="仿宋" w:hint="eastAsia"/>
          <w:sz w:val="28"/>
          <w:szCs w:val="28"/>
        </w:rPr>
        <w:t xml:space="preserve"> </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（三）区试站建设项目资金规范执行，基地建设稳步完成</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专项基地建设资金全部合规支出，完成</w:t>
      </w:r>
      <w:r>
        <w:rPr>
          <w:rFonts w:eastAsia="仿宋" w:hint="eastAsia"/>
          <w:sz w:val="28"/>
          <w:szCs w:val="28"/>
        </w:rPr>
        <w:t>430</w:t>
      </w:r>
      <w:r>
        <w:rPr>
          <w:rFonts w:eastAsia="仿宋" w:hint="eastAsia"/>
          <w:sz w:val="28"/>
          <w:szCs w:val="28"/>
        </w:rPr>
        <w:t>米灌排水渠、</w:t>
      </w:r>
      <w:r>
        <w:rPr>
          <w:rFonts w:eastAsia="仿宋" w:hint="eastAsia"/>
          <w:sz w:val="28"/>
          <w:szCs w:val="28"/>
        </w:rPr>
        <w:t>225</w:t>
      </w:r>
      <w:r>
        <w:rPr>
          <w:rFonts w:eastAsia="仿宋" w:hint="eastAsia"/>
          <w:sz w:val="28"/>
          <w:szCs w:val="28"/>
        </w:rPr>
        <w:t>米灌溉主管铺设，新增</w:t>
      </w:r>
      <w:r>
        <w:rPr>
          <w:rFonts w:eastAsia="仿宋" w:hint="eastAsia"/>
          <w:sz w:val="28"/>
          <w:szCs w:val="28"/>
        </w:rPr>
        <w:t>3</w:t>
      </w:r>
      <w:r>
        <w:rPr>
          <w:rFonts w:eastAsia="仿宋" w:hint="eastAsia"/>
          <w:sz w:val="28"/>
          <w:szCs w:val="28"/>
        </w:rPr>
        <w:t>座固定泵站，完成电路改造、</w:t>
      </w:r>
      <w:r>
        <w:rPr>
          <w:rFonts w:eastAsia="仿宋" w:hint="eastAsia"/>
          <w:sz w:val="28"/>
          <w:szCs w:val="28"/>
        </w:rPr>
        <w:t>50</w:t>
      </w:r>
      <w:r>
        <w:rPr>
          <w:rFonts w:eastAsia="仿宋" w:hint="eastAsia"/>
          <w:sz w:val="28"/>
          <w:szCs w:val="28"/>
        </w:rPr>
        <w:t>㎡房屋修缮等基础设施升级；依托项目完善基地分区、种子科普展厅、特色品种展示区域。基地运维、土地流转相关配套资金保障到位，基地安全运维、日常试验运转无资金缺口，基地示范推广功能全面释放。</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（四）救灾备荒储备专项资金足额落实，防灾保供绩效落地</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严格执行救灾备荒种子储备财政资金拨付使用，储备鲜食玉米、小白菜、豇豆等种子</w:t>
      </w:r>
      <w:r>
        <w:rPr>
          <w:rFonts w:eastAsia="仿宋" w:hint="eastAsia"/>
          <w:sz w:val="28"/>
          <w:szCs w:val="28"/>
        </w:rPr>
        <w:t>5.5</w:t>
      </w:r>
      <w:r>
        <w:rPr>
          <w:rFonts w:eastAsia="仿宋" w:hint="eastAsia"/>
          <w:sz w:val="28"/>
          <w:szCs w:val="28"/>
        </w:rPr>
        <w:t>万公斤，配套储备可供</w:t>
      </w:r>
      <w:r>
        <w:rPr>
          <w:rFonts w:eastAsia="仿宋" w:hint="eastAsia"/>
          <w:sz w:val="28"/>
          <w:szCs w:val="28"/>
        </w:rPr>
        <w:t>1500</w:t>
      </w:r>
      <w:r>
        <w:rPr>
          <w:rFonts w:eastAsia="仿宋" w:hint="eastAsia"/>
          <w:sz w:val="28"/>
          <w:szCs w:val="28"/>
        </w:rPr>
        <w:t>亩种植的常规</w:t>
      </w:r>
      <w:r>
        <w:rPr>
          <w:rFonts w:eastAsia="仿宋" w:hint="eastAsia"/>
          <w:sz w:val="28"/>
          <w:szCs w:val="28"/>
        </w:rPr>
        <w:lastRenderedPageBreak/>
        <w:t>水稻秧苗，足额完成储备类绩效指标。储备资金专款专用、台账完整，完成安全生产、种业应急保供年度绩效任务。</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（五）行业服务与队伍建设保障到位，惠民服务能力提升</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开展种业法规、检验实操培训</w:t>
      </w:r>
      <w:r>
        <w:rPr>
          <w:rFonts w:eastAsia="仿宋" w:hint="eastAsia"/>
          <w:sz w:val="28"/>
          <w:szCs w:val="28"/>
        </w:rPr>
        <w:t>130</w:t>
      </w:r>
      <w:r>
        <w:rPr>
          <w:rFonts w:eastAsia="仿宋" w:hint="eastAsia"/>
          <w:sz w:val="28"/>
          <w:szCs w:val="28"/>
        </w:rPr>
        <w:t>余人次，组建党员志愿服务队下乡送种苗</w:t>
      </w:r>
      <w:r>
        <w:rPr>
          <w:rFonts w:eastAsia="仿宋" w:hint="eastAsia"/>
          <w:sz w:val="28"/>
          <w:szCs w:val="28"/>
        </w:rPr>
        <w:t>1.2</w:t>
      </w:r>
      <w:r>
        <w:rPr>
          <w:rFonts w:eastAsia="仿宋" w:hint="eastAsia"/>
          <w:sz w:val="28"/>
          <w:szCs w:val="28"/>
        </w:rPr>
        <w:t>万株、种子</w:t>
      </w:r>
      <w:r>
        <w:rPr>
          <w:rFonts w:eastAsia="仿宋" w:hint="eastAsia"/>
          <w:sz w:val="28"/>
          <w:szCs w:val="28"/>
        </w:rPr>
        <w:t>300</w:t>
      </w:r>
      <w:r>
        <w:rPr>
          <w:rFonts w:eastAsia="仿宋" w:hint="eastAsia"/>
          <w:sz w:val="28"/>
          <w:szCs w:val="28"/>
        </w:rPr>
        <w:t>余袋，落实种企“一对一”精准帮扶机制，</w:t>
      </w:r>
      <w:r>
        <w:rPr>
          <w:rFonts w:eastAsia="仿宋" w:hint="eastAsia"/>
          <w:sz w:val="28"/>
          <w:szCs w:val="28"/>
        </w:rPr>
        <w:t>10</w:t>
      </w:r>
      <w:r>
        <w:rPr>
          <w:rFonts w:eastAsia="仿宋" w:hint="eastAsia"/>
          <w:sz w:val="28"/>
          <w:szCs w:val="28"/>
        </w:rPr>
        <w:t>名年轻干部蹲点调研、企业服务培养任务；党建、内控管理经费保障到位，内控制度完善、年度预算执行合规，单位内部治理效能持续提升。</w:t>
      </w:r>
    </w:p>
    <w:p w:rsidR="00AB1168" w:rsidRDefault="00BE1998">
      <w:pPr>
        <w:widowControl/>
        <w:numPr>
          <w:ilvl w:val="0"/>
          <w:numId w:val="1"/>
        </w:numPr>
        <w:spacing w:line="560"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t>存在问题及原因分析</w:t>
      </w:r>
    </w:p>
    <w:p w:rsidR="00AB1168" w:rsidRDefault="00BE1998">
      <w:pPr>
        <w:widowControl/>
        <w:spacing w:line="560" w:lineRule="exact"/>
        <w:ind w:firstLineChars="200" w:firstLine="560"/>
        <w:jc w:val="left"/>
        <w:rPr>
          <w:rFonts w:eastAsia="仿宋"/>
          <w:sz w:val="28"/>
          <w:szCs w:val="28"/>
        </w:rPr>
      </w:pPr>
      <w:r>
        <w:rPr>
          <w:rFonts w:eastAsia="仿宋" w:hint="eastAsia"/>
          <w:sz w:val="28"/>
          <w:szCs w:val="28"/>
        </w:rPr>
        <w:t>部分项目执行率偏低，预决算差额较大。在公务接待、会议、培训等经费预算申报环节，未紧密结合年度工作重点、常态化工作开展频次以及往年实际支出数据开展科学化、精细化测算，导致经费预算与实际执行情况偏差较大。</w:t>
      </w:r>
    </w:p>
    <w:p w:rsidR="00AB1168" w:rsidRDefault="00BE1998">
      <w:pPr>
        <w:widowControl/>
        <w:spacing w:line="560"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t>五、有关建议</w:t>
      </w:r>
    </w:p>
    <w:p w:rsidR="00AB1168" w:rsidRDefault="00BE1998">
      <w:pPr>
        <w:spacing w:line="560" w:lineRule="exact"/>
        <w:ind w:firstLineChars="200" w:firstLine="560"/>
        <w:rPr>
          <w:rFonts w:ascii="仿宋" w:eastAsia="仿宋" w:hAnsi="仿宋" w:cs="仿宋"/>
          <w:color w:val="000000"/>
          <w:kern w:val="0"/>
          <w:sz w:val="28"/>
          <w:szCs w:val="28"/>
        </w:rPr>
      </w:pPr>
      <w:r>
        <w:rPr>
          <w:rFonts w:ascii="仿宋" w:eastAsia="仿宋" w:hAnsi="仿宋" w:cs="仿宋" w:hint="eastAsia"/>
          <w:color w:val="000000"/>
          <w:kern w:val="0"/>
          <w:sz w:val="28"/>
          <w:szCs w:val="28"/>
        </w:rPr>
        <w:t>一是细化预算编制。依托历年支出数据和年度工作安排精细测算经费额度，动态跟进执行进度，缩小预决算差额，提高预算编制精准水平。</w:t>
      </w:r>
    </w:p>
    <w:p w:rsidR="00AB1168" w:rsidRDefault="00BE1998">
      <w:pPr>
        <w:spacing w:line="560" w:lineRule="exact"/>
        <w:ind w:firstLineChars="200" w:firstLine="560"/>
        <w:rPr>
          <w:rFonts w:ascii="黑体" w:eastAsia="黑体" w:hAnsi="黑体" w:cs="宋体"/>
          <w:color w:val="000000"/>
          <w:kern w:val="0"/>
          <w:sz w:val="28"/>
          <w:szCs w:val="28"/>
        </w:rPr>
      </w:pPr>
      <w:r>
        <w:rPr>
          <w:rFonts w:ascii="仿宋" w:eastAsia="仿宋" w:hAnsi="仿宋" w:cs="仿宋" w:hint="eastAsia"/>
          <w:color w:val="000000"/>
          <w:kern w:val="0"/>
          <w:sz w:val="28"/>
          <w:szCs w:val="28"/>
        </w:rPr>
        <w:t>二是健全长效管理机制。规范财务核算，完善预算、执行、核算、复盘全流程闭环管理，常态化自查自纠，提升财政资金使用效益</w:t>
      </w:r>
      <w:r>
        <w:rPr>
          <w:rFonts w:ascii="黑体" w:eastAsia="黑体" w:hAnsi="黑体" w:cs="宋体" w:hint="eastAsia"/>
          <w:color w:val="000000"/>
          <w:kern w:val="0"/>
          <w:sz w:val="28"/>
          <w:szCs w:val="28"/>
        </w:rPr>
        <w:t>。</w:t>
      </w:r>
    </w:p>
    <w:p w:rsidR="00AB1168" w:rsidRDefault="00BE1998">
      <w:pPr>
        <w:spacing w:line="560" w:lineRule="exact"/>
        <w:ind w:firstLineChars="200" w:firstLine="640"/>
        <w:rPr>
          <w:rFonts w:ascii="黑体" w:eastAsia="黑体" w:hAnsi="黑体" w:cs="宋体"/>
          <w:color w:val="000000"/>
          <w:kern w:val="0"/>
          <w:sz w:val="32"/>
          <w:szCs w:val="32"/>
        </w:rPr>
      </w:pPr>
      <w:r>
        <w:rPr>
          <w:rFonts w:ascii="黑体" w:eastAsia="黑体" w:hAnsi="黑体" w:cs="宋体" w:hint="eastAsia"/>
          <w:color w:val="000000"/>
          <w:kern w:val="0"/>
          <w:sz w:val="32"/>
          <w:szCs w:val="32"/>
        </w:rPr>
        <w:t>六、评价工作开展情况及其他需说明的情况</w:t>
      </w:r>
    </w:p>
    <w:p w:rsidR="00AB1168" w:rsidRDefault="00BE1998">
      <w:pPr>
        <w:spacing w:line="560" w:lineRule="exact"/>
        <w:ind w:firstLine="640"/>
        <w:rPr>
          <w:rFonts w:ascii="仿宋" w:eastAsia="仿宋" w:hAnsi="仿宋"/>
          <w:sz w:val="28"/>
          <w:szCs w:val="28"/>
        </w:rPr>
      </w:pPr>
      <w:r>
        <w:rPr>
          <w:rFonts w:ascii="仿宋" w:eastAsia="仿宋" w:hAnsi="仿宋" w:hint="eastAsia"/>
          <w:sz w:val="28"/>
          <w:szCs w:val="28"/>
        </w:rPr>
        <w:t>无。</w:t>
      </w:r>
    </w:p>
    <w:p w:rsidR="00AB1168" w:rsidRDefault="00BE1998">
      <w:pPr>
        <w:spacing w:line="560" w:lineRule="exact"/>
        <w:ind w:firstLineChars="200" w:firstLine="640"/>
        <w:jc w:val="right"/>
        <w:rPr>
          <w:rFonts w:ascii="仿宋" w:eastAsia="仿宋" w:hAnsi="仿宋" w:cs="宋体"/>
          <w:kern w:val="0"/>
          <w:sz w:val="32"/>
          <w:szCs w:val="32"/>
        </w:rPr>
      </w:pPr>
      <w:r>
        <w:rPr>
          <w:rFonts w:ascii="仿宋" w:eastAsia="仿宋" w:hAnsi="仿宋" w:cs="宋体" w:hint="eastAsia"/>
          <w:kern w:val="0"/>
          <w:sz w:val="32"/>
          <w:szCs w:val="32"/>
        </w:rPr>
        <w:t>南京市种子管理站</w:t>
      </w:r>
    </w:p>
    <w:p w:rsidR="00AB1168" w:rsidRDefault="00BE1998">
      <w:pPr>
        <w:spacing w:line="560" w:lineRule="exact"/>
        <w:ind w:firstLineChars="200" w:firstLine="640"/>
        <w:jc w:val="right"/>
        <w:rPr>
          <w:rFonts w:ascii="仿宋" w:eastAsia="仿宋" w:hAnsi="仿宋" w:cs="宋体"/>
          <w:kern w:val="0"/>
          <w:sz w:val="32"/>
          <w:szCs w:val="32"/>
        </w:rPr>
      </w:pPr>
      <w:r>
        <w:rPr>
          <w:rFonts w:ascii="仿宋" w:eastAsia="仿宋" w:hAnsi="仿宋" w:cs="宋体" w:hint="eastAsia"/>
          <w:kern w:val="0"/>
          <w:sz w:val="32"/>
          <w:szCs w:val="32"/>
        </w:rPr>
        <w:t>2026年6月24日</w:t>
      </w:r>
    </w:p>
    <w:p w:rsidR="00AB1168" w:rsidRDefault="00BE1998">
      <w:pPr>
        <w:spacing w:line="560" w:lineRule="exact"/>
        <w:jc w:val="left"/>
        <w:rPr>
          <w:rFonts w:ascii="仿宋" w:eastAsia="仿宋" w:hAnsi="仿宋" w:cs="宋体"/>
          <w:kern w:val="0"/>
          <w:sz w:val="32"/>
          <w:szCs w:val="32"/>
        </w:rPr>
      </w:pPr>
      <w:r>
        <w:rPr>
          <w:rFonts w:ascii="仿宋" w:eastAsia="仿宋" w:hAnsi="仿宋" w:cs="宋体" w:hint="eastAsia"/>
          <w:kern w:val="0"/>
          <w:sz w:val="32"/>
          <w:szCs w:val="32"/>
        </w:rPr>
        <w:t>附件：部门整体绩效自评表</w:t>
      </w:r>
    </w:p>
    <w:p w:rsidR="00AB1168" w:rsidRDefault="00AB1168">
      <w:pPr>
        <w:ind w:firstLineChars="71" w:firstLine="228"/>
        <w:rPr>
          <w:rFonts w:eastAsia="仿宋"/>
          <w:b/>
          <w:sz w:val="32"/>
          <w:szCs w:val="32"/>
        </w:rPr>
        <w:sectPr w:rsidR="00AB1168">
          <w:footerReference w:type="default" r:id="rId7"/>
          <w:pgSz w:w="11906" w:h="16838"/>
          <w:pgMar w:top="1440" w:right="1800" w:bottom="1440" w:left="1800" w:header="851" w:footer="992" w:gutter="0"/>
          <w:cols w:space="425"/>
          <w:docGrid w:type="lines" w:linePitch="312"/>
        </w:sectPr>
      </w:pPr>
    </w:p>
    <w:p w:rsidR="00AB1168" w:rsidRDefault="00BE1998">
      <w:pPr>
        <w:ind w:firstLineChars="71" w:firstLine="228"/>
        <w:rPr>
          <w:rFonts w:ascii="仿宋" w:eastAsia="仿宋" w:hAnsi="仿宋" w:cs="宋体"/>
          <w:kern w:val="0"/>
          <w:sz w:val="32"/>
          <w:szCs w:val="32"/>
        </w:rPr>
      </w:pPr>
      <w:r>
        <w:rPr>
          <w:rFonts w:eastAsia="仿宋" w:hint="eastAsia"/>
          <w:b/>
          <w:sz w:val="32"/>
          <w:szCs w:val="32"/>
        </w:rPr>
        <w:lastRenderedPageBreak/>
        <w:t>附件：</w:t>
      </w:r>
      <w:r>
        <w:rPr>
          <w:rFonts w:eastAsia="仿宋" w:hint="eastAsia"/>
          <w:b/>
          <w:sz w:val="32"/>
          <w:szCs w:val="32"/>
        </w:rPr>
        <w:t xml:space="preserve">                         </w:t>
      </w:r>
      <w:r>
        <w:rPr>
          <w:rFonts w:eastAsia="仿宋" w:hint="eastAsia"/>
          <w:b/>
          <w:sz w:val="32"/>
          <w:szCs w:val="32"/>
        </w:rPr>
        <w:t>部门整体绩效评价指标框架</w:t>
      </w:r>
    </w:p>
    <w:tbl>
      <w:tblPr>
        <w:tblpPr w:leftFromText="180" w:rightFromText="180" w:vertAnchor="text" w:horzAnchor="page" w:tblpXSpec="center" w:tblpY="700"/>
        <w:tblOverlap w:val="never"/>
        <w:tblW w:w="15702" w:type="dxa"/>
        <w:jc w:val="center"/>
        <w:tblLayout w:type="fixed"/>
        <w:tblLook w:val="04A0"/>
      </w:tblPr>
      <w:tblGrid>
        <w:gridCol w:w="1242"/>
        <w:gridCol w:w="1560"/>
        <w:gridCol w:w="4110"/>
        <w:gridCol w:w="2977"/>
        <w:gridCol w:w="2693"/>
        <w:gridCol w:w="1560"/>
        <w:gridCol w:w="1560"/>
      </w:tblGrid>
      <w:tr w:rsidR="00AB1168">
        <w:trPr>
          <w:trHeight w:val="457"/>
          <w:tblHeader/>
          <w:jc w:val="center"/>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b/>
                <w:bCs/>
                <w:color w:val="000000"/>
                <w:kern w:val="0"/>
                <w:sz w:val="24"/>
              </w:rPr>
            </w:pPr>
            <w:r>
              <w:rPr>
                <w:rFonts w:ascii="仿宋" w:eastAsia="仿宋" w:hAnsi="仿宋" w:cs="宋体" w:hint="eastAsia"/>
                <w:b/>
                <w:bCs/>
                <w:color w:val="000000"/>
                <w:kern w:val="0"/>
                <w:sz w:val="24"/>
              </w:rPr>
              <w:t>一级指标</w:t>
            </w:r>
          </w:p>
        </w:tc>
        <w:tc>
          <w:tcPr>
            <w:tcW w:w="1560" w:type="dxa"/>
            <w:tcBorders>
              <w:top w:val="single" w:sz="8" w:space="0" w:color="auto"/>
              <w:left w:val="nil"/>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b/>
                <w:bCs/>
                <w:color w:val="000000"/>
                <w:kern w:val="0"/>
                <w:sz w:val="24"/>
              </w:rPr>
            </w:pPr>
            <w:r>
              <w:rPr>
                <w:rFonts w:ascii="仿宋" w:eastAsia="仿宋" w:hAnsi="仿宋" w:cs="宋体" w:hint="eastAsia"/>
                <w:b/>
                <w:bCs/>
                <w:color w:val="000000"/>
                <w:kern w:val="0"/>
                <w:sz w:val="24"/>
              </w:rPr>
              <w:t>二级指标</w:t>
            </w:r>
          </w:p>
        </w:tc>
        <w:tc>
          <w:tcPr>
            <w:tcW w:w="4110" w:type="dxa"/>
            <w:tcBorders>
              <w:top w:val="single" w:sz="8" w:space="0" w:color="auto"/>
              <w:left w:val="nil"/>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b/>
                <w:bCs/>
                <w:color w:val="000000"/>
                <w:kern w:val="0"/>
                <w:sz w:val="24"/>
              </w:rPr>
            </w:pPr>
            <w:r>
              <w:rPr>
                <w:rFonts w:ascii="仿宋" w:eastAsia="仿宋" w:hAnsi="仿宋" w:cs="宋体" w:hint="eastAsia"/>
                <w:b/>
                <w:bCs/>
                <w:color w:val="000000"/>
                <w:kern w:val="0"/>
                <w:sz w:val="24"/>
              </w:rPr>
              <w:t>三级指标（参考）</w:t>
            </w:r>
          </w:p>
        </w:tc>
        <w:tc>
          <w:tcPr>
            <w:tcW w:w="2977" w:type="dxa"/>
            <w:tcBorders>
              <w:top w:val="single" w:sz="8" w:space="0" w:color="auto"/>
              <w:left w:val="nil"/>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b/>
                <w:bCs/>
                <w:color w:val="000000"/>
                <w:kern w:val="0"/>
                <w:sz w:val="24"/>
              </w:rPr>
            </w:pPr>
            <w:r>
              <w:rPr>
                <w:rFonts w:ascii="仿宋" w:eastAsia="仿宋" w:hAnsi="仿宋" w:cs="宋体" w:hint="eastAsia"/>
                <w:b/>
                <w:bCs/>
                <w:color w:val="000000"/>
                <w:kern w:val="0"/>
                <w:sz w:val="24"/>
              </w:rPr>
              <w:t>指标说明</w:t>
            </w:r>
          </w:p>
        </w:tc>
        <w:tc>
          <w:tcPr>
            <w:tcW w:w="2693" w:type="dxa"/>
            <w:tcBorders>
              <w:top w:val="single" w:sz="8" w:space="0" w:color="auto"/>
              <w:left w:val="nil"/>
              <w:bottom w:val="single" w:sz="8" w:space="0" w:color="auto"/>
              <w:right w:val="single" w:sz="4" w:space="0" w:color="auto"/>
            </w:tcBorders>
          </w:tcPr>
          <w:p w:rsidR="00AB1168" w:rsidRDefault="00F53B27" w:rsidP="00F53B27">
            <w:pPr>
              <w:widowControl/>
              <w:spacing w:line="600" w:lineRule="auto"/>
              <w:jc w:val="center"/>
              <w:rPr>
                <w:rFonts w:ascii="仿宋" w:eastAsia="仿宋" w:hAnsi="仿宋" w:cs="宋体"/>
                <w:b/>
                <w:bCs/>
                <w:color w:val="000000"/>
                <w:kern w:val="0"/>
                <w:sz w:val="24"/>
              </w:rPr>
            </w:pPr>
            <w:r>
              <w:rPr>
                <w:rFonts w:ascii="仿宋" w:eastAsia="仿宋" w:hAnsi="仿宋" w:cs="宋体" w:hint="eastAsia"/>
                <w:b/>
                <w:bCs/>
                <w:color w:val="000000"/>
                <w:kern w:val="0"/>
                <w:sz w:val="24"/>
              </w:rPr>
              <w:t>得分依据</w:t>
            </w:r>
          </w:p>
        </w:tc>
        <w:tc>
          <w:tcPr>
            <w:tcW w:w="1560" w:type="dxa"/>
            <w:tcBorders>
              <w:top w:val="single" w:sz="8" w:space="0" w:color="auto"/>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b/>
                <w:bCs/>
                <w:color w:val="000000"/>
                <w:kern w:val="0"/>
                <w:sz w:val="24"/>
              </w:rPr>
            </w:pPr>
            <w:r>
              <w:rPr>
                <w:rFonts w:ascii="仿宋" w:eastAsia="仿宋" w:hAnsi="仿宋" w:cs="宋体"/>
                <w:b/>
                <w:bCs/>
                <w:color w:val="000000"/>
                <w:kern w:val="0"/>
                <w:sz w:val="24"/>
              </w:rPr>
              <w:t>自</w:t>
            </w:r>
            <w:r>
              <w:rPr>
                <w:rFonts w:ascii="仿宋" w:eastAsia="仿宋" w:hAnsi="仿宋" w:cs="宋体" w:hint="eastAsia"/>
                <w:b/>
                <w:bCs/>
                <w:color w:val="000000"/>
                <w:kern w:val="0"/>
                <w:sz w:val="24"/>
              </w:rPr>
              <w:t>评得分</w:t>
            </w:r>
          </w:p>
        </w:tc>
        <w:tc>
          <w:tcPr>
            <w:tcW w:w="1560" w:type="dxa"/>
            <w:tcBorders>
              <w:top w:val="single" w:sz="8" w:space="0" w:color="auto"/>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b/>
                <w:bCs/>
                <w:color w:val="000000"/>
                <w:kern w:val="0"/>
                <w:sz w:val="24"/>
              </w:rPr>
            </w:pPr>
            <w:r>
              <w:rPr>
                <w:rFonts w:ascii="仿宋" w:eastAsia="仿宋" w:hAnsi="仿宋" w:cs="宋体" w:hint="eastAsia"/>
                <w:b/>
                <w:bCs/>
                <w:color w:val="000000"/>
                <w:kern w:val="0"/>
                <w:sz w:val="24"/>
              </w:rPr>
              <w:t>未完成指标原因</w:t>
            </w:r>
          </w:p>
        </w:tc>
      </w:tr>
      <w:tr w:rsidR="00AB1168">
        <w:trPr>
          <w:trHeight w:val="600"/>
          <w:jc w:val="center"/>
        </w:trPr>
        <w:tc>
          <w:tcPr>
            <w:tcW w:w="1242" w:type="dxa"/>
            <w:vMerge w:val="restart"/>
            <w:tcBorders>
              <w:top w:val="nil"/>
              <w:left w:val="single" w:sz="8" w:space="0" w:color="auto"/>
              <w:bottom w:val="single" w:sz="8" w:space="0" w:color="000000"/>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A单位决策（15分）</w:t>
            </w:r>
          </w:p>
        </w:tc>
        <w:tc>
          <w:tcPr>
            <w:tcW w:w="1560" w:type="dxa"/>
            <w:vMerge w:val="restart"/>
            <w:tcBorders>
              <w:top w:val="nil"/>
              <w:left w:val="single" w:sz="8" w:space="0" w:color="auto"/>
              <w:bottom w:val="single" w:sz="8" w:space="0" w:color="000000"/>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A1决策机制（3分）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A11决策制度的规范性（1分）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b/>
                <w:bCs/>
                <w:color w:val="000000"/>
                <w:kern w:val="0"/>
                <w:sz w:val="24"/>
              </w:rPr>
            </w:pPr>
            <w:r>
              <w:rPr>
                <w:rFonts w:ascii="仿宋" w:eastAsia="仿宋" w:hAnsi="仿宋" w:cs="宋体" w:hint="eastAsia"/>
                <w:color w:val="000000"/>
                <w:kern w:val="0"/>
                <w:sz w:val="24"/>
              </w:rPr>
              <w:t>“规范”衡量流程执行</w:t>
            </w:r>
          </w:p>
        </w:tc>
        <w:tc>
          <w:tcPr>
            <w:tcW w:w="2693" w:type="dxa"/>
            <w:tcBorders>
              <w:top w:val="nil"/>
              <w:left w:val="nil"/>
              <w:bottom w:val="single" w:sz="8" w:space="0" w:color="auto"/>
              <w:right w:val="single" w:sz="4" w:space="0" w:color="auto"/>
            </w:tcBorders>
          </w:tcPr>
          <w:p w:rsidR="00AB1168" w:rsidRDefault="00F53B27">
            <w:pPr>
              <w:widowControl/>
              <w:jc w:val="left"/>
              <w:rPr>
                <w:rFonts w:ascii="仿宋" w:eastAsia="仿宋" w:hAnsi="仿宋" w:cs="宋体"/>
                <w:bCs/>
                <w:color w:val="000000"/>
                <w:kern w:val="0"/>
                <w:sz w:val="24"/>
              </w:rPr>
            </w:pPr>
            <w:r>
              <w:rPr>
                <w:rFonts w:ascii="仿宋" w:eastAsia="仿宋" w:hAnsi="仿宋" w:cs="宋体" w:hint="eastAsia"/>
                <w:bCs/>
                <w:color w:val="000000"/>
                <w:kern w:val="0"/>
                <w:sz w:val="24"/>
              </w:rPr>
              <w:t>有</w:t>
            </w:r>
            <w:r w:rsidR="00EF5467">
              <w:rPr>
                <w:rFonts w:ascii="仿宋" w:eastAsia="仿宋" w:hAnsi="仿宋" w:cs="宋体" w:hint="eastAsia"/>
                <w:bCs/>
                <w:color w:val="000000"/>
                <w:kern w:val="0"/>
                <w:sz w:val="24"/>
              </w:rPr>
              <w:t>决策制度和相关</w:t>
            </w:r>
            <w:r w:rsidR="00BE1998">
              <w:rPr>
                <w:rFonts w:ascii="仿宋" w:eastAsia="仿宋" w:hAnsi="仿宋" w:cs="宋体" w:hint="eastAsia"/>
                <w:bCs/>
                <w:color w:val="000000"/>
                <w:kern w:val="0"/>
                <w:sz w:val="24"/>
              </w:rPr>
              <w:t>流程图</w:t>
            </w:r>
            <w:r>
              <w:rPr>
                <w:rFonts w:ascii="仿宋" w:eastAsia="仿宋" w:hAnsi="仿宋" w:cs="宋体" w:hint="eastAsia"/>
                <w:bCs/>
                <w:color w:val="000000"/>
                <w:kern w:val="0"/>
                <w:sz w:val="24"/>
              </w:rPr>
              <w:t>得1分；无得0分。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b/>
                <w:bCs/>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A12决策流程的科学性（1分）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“科学”衡量流程的设计</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流程设计科学合理</w:t>
            </w:r>
            <w:r w:rsidR="00F53B27">
              <w:rPr>
                <w:rFonts w:ascii="仿宋" w:eastAsia="仿宋" w:hAnsi="仿宋" w:cs="宋体" w:hint="eastAsia"/>
                <w:color w:val="000000"/>
                <w:kern w:val="0"/>
                <w:sz w:val="24"/>
              </w:rPr>
              <w:t>得1分；不合理得0分。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A13决策执行监督制衡机制（1分）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监督制衡机制的设置与运行</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2"/>
              </w:rPr>
            </w:pPr>
            <w:r>
              <w:rPr>
                <w:rFonts w:ascii="仿宋" w:eastAsia="仿宋" w:hAnsi="仿宋" w:cs="宋体" w:hint="eastAsia"/>
                <w:color w:val="000000"/>
                <w:kern w:val="0"/>
                <w:sz w:val="22"/>
              </w:rPr>
              <w:t>监督制衡机制设置有效且正常运行</w:t>
            </w:r>
            <w:r w:rsidR="00F53B27">
              <w:rPr>
                <w:rFonts w:ascii="仿宋" w:eastAsia="仿宋" w:hAnsi="仿宋" w:cs="宋体" w:hint="eastAsia"/>
                <w:color w:val="000000"/>
                <w:kern w:val="0"/>
                <w:sz w:val="22"/>
              </w:rPr>
              <w:t>得1分；无效或无法正常运行得0分。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2"/>
              </w:rPr>
            </w:pPr>
            <w:r>
              <w:rPr>
                <w:rFonts w:ascii="仿宋" w:eastAsia="仿宋" w:hAnsi="仿宋" w:cs="宋体"/>
                <w:color w:val="000000"/>
                <w:kern w:val="0"/>
                <w:sz w:val="22"/>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2"/>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val="restart"/>
            <w:tcBorders>
              <w:top w:val="nil"/>
              <w:left w:val="single" w:sz="8" w:space="0" w:color="auto"/>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A2中长期规划（4分）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A21中长期规划明确性（2分）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符合国家法律法规、国民经济和社会发展规划要求</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具体明确可执行</w:t>
            </w:r>
            <w:r w:rsidR="00F53B27">
              <w:rPr>
                <w:rFonts w:ascii="仿宋" w:eastAsia="仿宋" w:hAnsi="仿宋" w:cs="宋体" w:hint="eastAsia"/>
                <w:color w:val="000000"/>
                <w:kern w:val="0"/>
                <w:sz w:val="24"/>
              </w:rPr>
              <w:t>得2分；不明确或不可执行得0分。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A22中长期规划与部门职能的匹配性（2分）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与单位职能、发展规划和工作计划密切相关</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部门职能相匹配</w:t>
            </w:r>
            <w:r w:rsidR="00F53B27">
              <w:rPr>
                <w:rFonts w:ascii="仿宋" w:eastAsia="仿宋" w:hAnsi="仿宋" w:cs="宋体" w:hint="eastAsia"/>
                <w:color w:val="000000"/>
                <w:kern w:val="0"/>
                <w:sz w:val="24"/>
              </w:rPr>
              <w:t>得2分；不匹配得0分。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val="restart"/>
            <w:tcBorders>
              <w:top w:val="nil"/>
              <w:left w:val="single" w:sz="8" w:space="0" w:color="auto"/>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A3年度工作计划（4分）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A31年度工作计划明确性（2分）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年度工作计划明确可行</w:t>
            </w:r>
          </w:p>
        </w:tc>
        <w:tc>
          <w:tcPr>
            <w:tcW w:w="2693" w:type="dxa"/>
            <w:tcBorders>
              <w:top w:val="nil"/>
              <w:left w:val="nil"/>
              <w:bottom w:val="single" w:sz="8" w:space="0" w:color="auto"/>
              <w:right w:val="single" w:sz="4" w:space="0" w:color="auto"/>
            </w:tcBorders>
          </w:tcPr>
          <w:p w:rsidR="00AB1168" w:rsidRDefault="00EF5467">
            <w:pPr>
              <w:widowControl/>
              <w:jc w:val="left"/>
              <w:rPr>
                <w:rFonts w:ascii="仿宋" w:eastAsia="仿宋" w:hAnsi="仿宋" w:cs="宋体"/>
                <w:color w:val="000000"/>
                <w:kern w:val="0"/>
                <w:sz w:val="24"/>
              </w:rPr>
            </w:pPr>
            <w:r>
              <w:rPr>
                <w:rFonts w:ascii="仿宋" w:eastAsia="仿宋" w:hAnsi="仿宋" w:cs="宋体" w:hint="eastAsia"/>
                <w:color w:val="000000"/>
                <w:kern w:val="0"/>
                <w:sz w:val="24"/>
              </w:rPr>
              <w:t>评价年度工作计划</w:t>
            </w:r>
            <w:r w:rsidR="00BE1998">
              <w:rPr>
                <w:rFonts w:ascii="仿宋" w:eastAsia="仿宋" w:hAnsi="仿宋" w:cs="宋体" w:hint="eastAsia"/>
                <w:color w:val="000000"/>
                <w:kern w:val="0"/>
                <w:sz w:val="24"/>
              </w:rPr>
              <w:t>明确可执行</w:t>
            </w:r>
            <w:r w:rsidR="00F53B27">
              <w:rPr>
                <w:rFonts w:ascii="仿宋" w:eastAsia="仿宋" w:hAnsi="仿宋" w:cs="宋体" w:hint="eastAsia"/>
                <w:color w:val="000000"/>
                <w:kern w:val="0"/>
                <w:sz w:val="24"/>
              </w:rPr>
              <w:t>得2分；不明确或不可执行得0分。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color w:val="000000"/>
                <w:kern w:val="0"/>
                <w:sz w:val="24"/>
              </w:rPr>
              <w:t>2</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A32年度工作计划与部门职能的匹配性（2分）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与部门职能密切相关</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评价其与部门职能相匹配</w:t>
            </w:r>
            <w:r w:rsidR="00F53B27">
              <w:rPr>
                <w:rFonts w:ascii="仿宋" w:eastAsia="仿宋" w:hAnsi="仿宋" w:cs="宋体" w:hint="eastAsia"/>
                <w:color w:val="000000"/>
                <w:kern w:val="0"/>
                <w:sz w:val="24"/>
              </w:rPr>
              <w:t>得2分；不匹配得0分。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val="restart"/>
            <w:tcBorders>
              <w:top w:val="nil"/>
              <w:left w:val="single" w:sz="8" w:space="0" w:color="auto"/>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A4部门预算编制（4分）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A41预算编制科学规范（2分）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预算编制指“内部预算编制”，“科学”衡量制度设计，“规范”衡量流程执行</w:t>
            </w:r>
          </w:p>
        </w:tc>
        <w:tc>
          <w:tcPr>
            <w:tcW w:w="2693" w:type="dxa"/>
            <w:tcBorders>
              <w:top w:val="nil"/>
              <w:left w:val="nil"/>
              <w:bottom w:val="single" w:sz="8" w:space="0" w:color="auto"/>
              <w:right w:val="single" w:sz="4" w:space="0" w:color="auto"/>
            </w:tcBorders>
          </w:tcPr>
          <w:p w:rsidR="00AB1168" w:rsidRDefault="00F53B27">
            <w:pPr>
              <w:widowControl/>
              <w:jc w:val="left"/>
              <w:rPr>
                <w:rFonts w:ascii="仿宋" w:eastAsia="仿宋" w:hAnsi="仿宋" w:cs="宋体"/>
                <w:color w:val="000000"/>
                <w:kern w:val="0"/>
                <w:sz w:val="24"/>
              </w:rPr>
            </w:pPr>
            <w:r>
              <w:rPr>
                <w:rFonts w:ascii="仿宋" w:eastAsia="仿宋" w:hAnsi="仿宋" w:cs="宋体" w:hint="eastAsia"/>
                <w:color w:val="000000"/>
                <w:kern w:val="0"/>
                <w:sz w:val="24"/>
              </w:rPr>
              <w:t>有预算制度文件且编制规范得2分；有预算制度文件得1分；无预算制度文件得0分。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color w:val="000000"/>
                <w:kern w:val="0"/>
                <w:sz w:val="24"/>
              </w:rPr>
              <w:t>2</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A42预算编制与重点工作任务的匹配性（2分）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预算编制指“内部预算编制”</w:t>
            </w:r>
          </w:p>
        </w:tc>
        <w:tc>
          <w:tcPr>
            <w:tcW w:w="2693" w:type="dxa"/>
            <w:tcBorders>
              <w:top w:val="nil"/>
              <w:left w:val="nil"/>
              <w:bottom w:val="single" w:sz="8" w:space="0" w:color="auto"/>
              <w:right w:val="single" w:sz="4" w:space="0" w:color="auto"/>
            </w:tcBorders>
          </w:tcPr>
          <w:p w:rsidR="00AB1168" w:rsidRDefault="00F53B27">
            <w:pPr>
              <w:widowControl/>
              <w:jc w:val="left"/>
              <w:rPr>
                <w:rFonts w:ascii="仿宋" w:eastAsia="仿宋" w:hAnsi="仿宋" w:cs="宋体"/>
                <w:color w:val="000000"/>
                <w:kern w:val="0"/>
                <w:sz w:val="24"/>
              </w:rPr>
            </w:pPr>
            <w:r>
              <w:rPr>
                <w:rFonts w:ascii="仿宋" w:eastAsia="仿宋" w:hAnsi="仿宋" w:cs="宋体" w:hint="eastAsia"/>
                <w:color w:val="000000"/>
                <w:kern w:val="0"/>
                <w:sz w:val="24"/>
              </w:rPr>
              <w:t>预算编制和工作任务安排内容一致得2分；不一致得0分。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color w:val="000000"/>
                <w:kern w:val="0"/>
                <w:sz w:val="24"/>
              </w:rPr>
              <w:t>2</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val="restart"/>
            <w:tcBorders>
              <w:top w:val="nil"/>
              <w:left w:val="single" w:sz="8" w:space="0" w:color="auto"/>
              <w:bottom w:val="single" w:sz="8" w:space="0" w:color="auto"/>
              <w:right w:val="single" w:sz="8" w:space="0" w:color="auto"/>
            </w:tcBorders>
            <w:shd w:val="clear" w:color="auto" w:fill="auto"/>
            <w:noWrap/>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B单位管理（20分）</w:t>
            </w:r>
          </w:p>
        </w:tc>
        <w:tc>
          <w:tcPr>
            <w:tcW w:w="1560" w:type="dxa"/>
            <w:vMerge w:val="restart"/>
            <w:tcBorders>
              <w:top w:val="nil"/>
              <w:left w:val="single" w:sz="8" w:space="0" w:color="auto"/>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B1预算执行（6分）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B11部门预算执行率（1分）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与市财政局预算处考核口径一致</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2"/>
              </w:rPr>
            </w:pPr>
            <w:r w:rsidRPr="00BE1998">
              <w:rPr>
                <w:rFonts w:ascii="仿宋" w:eastAsia="仿宋" w:hAnsi="仿宋" w:cs="宋体" w:hint="eastAsia"/>
                <w:color w:val="000000"/>
                <w:kern w:val="0"/>
                <w:sz w:val="24"/>
              </w:rPr>
              <w:t>预算执行率≥85%得1分，每降低5%减0.5分。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2"/>
              </w:rPr>
            </w:pPr>
            <w:r>
              <w:rPr>
                <w:rFonts w:ascii="仿宋" w:eastAsia="仿宋" w:hAnsi="仿宋" w:cs="宋体"/>
                <w:color w:val="000000"/>
                <w:kern w:val="0"/>
                <w:sz w:val="22"/>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2"/>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B12专项资金执行率（2分）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与市财政局预算处考核口径一致</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2"/>
              </w:rPr>
            </w:pPr>
            <w:r w:rsidRPr="00BE1998">
              <w:rPr>
                <w:rFonts w:ascii="仿宋" w:eastAsia="仿宋" w:hAnsi="仿宋" w:cs="宋体" w:hint="eastAsia"/>
                <w:color w:val="000000"/>
                <w:kern w:val="0"/>
                <w:sz w:val="24"/>
              </w:rPr>
              <w:t>预算执行率≥85%得</w:t>
            </w:r>
            <w:r>
              <w:rPr>
                <w:rFonts w:ascii="仿宋" w:eastAsia="仿宋" w:hAnsi="仿宋" w:cs="宋体" w:hint="eastAsia"/>
                <w:color w:val="000000"/>
                <w:kern w:val="0"/>
                <w:sz w:val="24"/>
              </w:rPr>
              <w:t>2</w:t>
            </w:r>
            <w:r w:rsidRPr="00BE1998">
              <w:rPr>
                <w:rFonts w:ascii="仿宋" w:eastAsia="仿宋" w:hAnsi="仿宋" w:cs="宋体" w:hint="eastAsia"/>
                <w:color w:val="000000"/>
                <w:kern w:val="0"/>
                <w:sz w:val="24"/>
              </w:rPr>
              <w:t>分，每降低5%减0.5分。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2"/>
              </w:rPr>
            </w:pPr>
            <w:r>
              <w:rPr>
                <w:rFonts w:ascii="仿宋" w:eastAsia="仿宋" w:hAnsi="仿宋" w:cs="宋体" w:hint="eastAsia"/>
                <w:color w:val="000000"/>
                <w:kern w:val="0"/>
                <w:sz w:val="22"/>
              </w:rPr>
              <w:t>2</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2"/>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B13“三公”经费控制率（2分）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“三公”经费使用超支扣分，若不超支则不扣分</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2"/>
              </w:rPr>
            </w:pPr>
            <w:r>
              <w:rPr>
                <w:rFonts w:ascii="仿宋" w:eastAsia="仿宋" w:hAnsi="仿宋" w:cs="宋体" w:hint="eastAsia"/>
                <w:color w:val="000000"/>
                <w:kern w:val="0"/>
                <w:sz w:val="22"/>
              </w:rPr>
              <w:t>不超支得2分；超支得0分。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2"/>
              </w:rPr>
            </w:pPr>
            <w:r>
              <w:rPr>
                <w:rFonts w:ascii="仿宋" w:eastAsia="仿宋" w:hAnsi="仿宋" w:cs="宋体" w:hint="eastAsia"/>
                <w:color w:val="000000"/>
                <w:kern w:val="0"/>
                <w:sz w:val="22"/>
              </w:rPr>
              <w:t>2</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2"/>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B14预决算信息公开情况 （1分）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预决算是否在“双平台”进行公开，内容和时限是否符合要求</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2"/>
              </w:rPr>
            </w:pPr>
            <w:r>
              <w:rPr>
                <w:rFonts w:ascii="仿宋" w:eastAsia="仿宋" w:hAnsi="仿宋" w:cs="宋体" w:hint="eastAsia"/>
                <w:color w:val="000000"/>
                <w:kern w:val="0"/>
                <w:sz w:val="22"/>
              </w:rPr>
              <w:t>积极配合主管部门完成预决算信息公开工作得1分；不公开得0分。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2"/>
              </w:rPr>
            </w:pPr>
            <w:r>
              <w:rPr>
                <w:rFonts w:ascii="仿宋" w:eastAsia="仿宋" w:hAnsi="仿宋" w:cs="宋体"/>
                <w:color w:val="000000"/>
                <w:kern w:val="0"/>
                <w:sz w:val="22"/>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2"/>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val="restart"/>
            <w:tcBorders>
              <w:top w:val="nil"/>
              <w:left w:val="single" w:sz="8" w:space="0" w:color="auto"/>
              <w:bottom w:val="single" w:sz="8" w:space="0" w:color="000000"/>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B2收支管理（2分）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B21收支管理制度健全性（1分）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制度建立健全</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制度建立健全得1</w:t>
            </w:r>
            <w:r w:rsidR="00943E94">
              <w:rPr>
                <w:rFonts w:ascii="仿宋" w:eastAsia="仿宋" w:hAnsi="仿宋" w:cs="宋体" w:hint="eastAsia"/>
                <w:color w:val="000000"/>
                <w:kern w:val="0"/>
                <w:sz w:val="24"/>
              </w:rPr>
              <w:t>分，未</w:t>
            </w:r>
            <w:r>
              <w:rPr>
                <w:rFonts w:ascii="仿宋" w:eastAsia="仿宋" w:hAnsi="仿宋" w:cs="宋体" w:hint="eastAsia"/>
                <w:color w:val="000000"/>
                <w:kern w:val="0"/>
                <w:sz w:val="24"/>
              </w:rPr>
              <w:t>建立健全得0分。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B22收支管理是否按制度执行（1分）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制度执行并运行有效</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制度执行并运行有效得1分；无效得0分。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val="restart"/>
            <w:tcBorders>
              <w:top w:val="nil"/>
              <w:left w:val="single" w:sz="8" w:space="0" w:color="auto"/>
              <w:bottom w:val="single" w:sz="8" w:space="0" w:color="000000"/>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B3资产管理（2分）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B31资产管理制度健全性（1分）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制度建立健全</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制度建立健全得1</w:t>
            </w:r>
            <w:r w:rsidR="00943E94">
              <w:rPr>
                <w:rFonts w:ascii="仿宋" w:eastAsia="仿宋" w:hAnsi="仿宋" w:cs="宋体" w:hint="eastAsia"/>
                <w:color w:val="000000"/>
                <w:kern w:val="0"/>
                <w:sz w:val="24"/>
              </w:rPr>
              <w:t>分，未</w:t>
            </w:r>
            <w:r>
              <w:rPr>
                <w:rFonts w:ascii="仿宋" w:eastAsia="仿宋" w:hAnsi="仿宋" w:cs="宋体" w:hint="eastAsia"/>
                <w:color w:val="000000"/>
                <w:kern w:val="0"/>
                <w:sz w:val="24"/>
              </w:rPr>
              <w:t>建立健全得0分。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B32资产管理是否按制度执行（1分）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制度执行并运行有效</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制度执行并运行有效得1分；无效得0分。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val="restart"/>
            <w:tcBorders>
              <w:top w:val="nil"/>
              <w:left w:val="single" w:sz="8" w:space="0" w:color="auto"/>
              <w:bottom w:val="single" w:sz="8" w:space="0" w:color="000000"/>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B4政府采购管理（2分）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B41政府采购管理制度健全性（1分）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制度建立健全</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制度建立健全得1</w:t>
            </w:r>
            <w:r w:rsidR="00943E94">
              <w:rPr>
                <w:rFonts w:ascii="仿宋" w:eastAsia="仿宋" w:hAnsi="仿宋" w:cs="宋体" w:hint="eastAsia"/>
                <w:color w:val="000000"/>
                <w:kern w:val="0"/>
                <w:sz w:val="24"/>
              </w:rPr>
              <w:t>分，未</w:t>
            </w:r>
            <w:r>
              <w:rPr>
                <w:rFonts w:ascii="仿宋" w:eastAsia="仿宋" w:hAnsi="仿宋" w:cs="宋体" w:hint="eastAsia"/>
                <w:color w:val="000000"/>
                <w:kern w:val="0"/>
                <w:sz w:val="24"/>
              </w:rPr>
              <w:t>建立健全得0分。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B42政府采购管理是否按制度执行（1分）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制度执行并运行有效</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制度执行并运行有效得1分；无效得0分。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val="restart"/>
            <w:tcBorders>
              <w:top w:val="nil"/>
              <w:left w:val="single" w:sz="8" w:space="0" w:color="auto"/>
              <w:bottom w:val="single" w:sz="8" w:space="0" w:color="000000"/>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B5建设项目管理（适用）（2分）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B51建设项目管理制度健全性（1分）</w:t>
            </w:r>
          </w:p>
        </w:tc>
        <w:tc>
          <w:tcPr>
            <w:tcW w:w="2977" w:type="dxa"/>
            <w:vMerge w:val="restart"/>
            <w:tcBorders>
              <w:top w:val="nil"/>
              <w:left w:val="single" w:sz="8" w:space="0" w:color="auto"/>
              <w:bottom w:val="single" w:sz="8" w:space="0" w:color="000000"/>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此项指标根据各个单位具体职能选择是否适用</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如不适用得满分</w:t>
            </w:r>
            <w:r w:rsidR="004D457E">
              <w:rPr>
                <w:rFonts w:ascii="仿宋" w:eastAsia="仿宋" w:hAnsi="仿宋" w:cs="宋体" w:hint="eastAsia"/>
                <w:color w:val="000000"/>
                <w:kern w:val="0"/>
                <w:sz w:val="24"/>
              </w:rPr>
              <w:t>。</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不适用</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B52建设项目管理是否按制度执行（1分）</w:t>
            </w:r>
          </w:p>
        </w:tc>
        <w:tc>
          <w:tcPr>
            <w:tcW w:w="2977" w:type="dxa"/>
            <w:vMerge/>
            <w:tcBorders>
              <w:top w:val="nil"/>
              <w:left w:val="single" w:sz="8" w:space="0" w:color="auto"/>
              <w:bottom w:val="single" w:sz="8" w:space="0" w:color="000000"/>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2693" w:type="dxa"/>
            <w:tcBorders>
              <w:top w:val="single" w:sz="4" w:space="0" w:color="auto"/>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如不适用得满分</w:t>
            </w:r>
            <w:r w:rsidR="004D457E">
              <w:rPr>
                <w:rFonts w:ascii="仿宋" w:eastAsia="仿宋" w:hAnsi="仿宋" w:cs="宋体" w:hint="eastAsia"/>
                <w:color w:val="000000"/>
                <w:kern w:val="0"/>
                <w:sz w:val="24"/>
              </w:rPr>
              <w:t>。</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不适用</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val="restart"/>
            <w:tcBorders>
              <w:top w:val="nil"/>
              <w:left w:val="single" w:sz="8" w:space="0" w:color="auto"/>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B6内部控制管理（3分）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B61内部控制建设情况（1分）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内部控制领导小组、工作小组的成立、内控制度设计、手册编制等</w:t>
            </w:r>
          </w:p>
        </w:tc>
        <w:tc>
          <w:tcPr>
            <w:tcW w:w="2693" w:type="dxa"/>
            <w:tcBorders>
              <w:top w:val="nil"/>
              <w:left w:val="nil"/>
              <w:bottom w:val="single" w:sz="8" w:space="0" w:color="auto"/>
              <w:right w:val="single" w:sz="4" w:space="0" w:color="auto"/>
            </w:tcBorders>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有内部控制制度并落实得1分；无得0分。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B62内部控制执行情况（1分）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内部控制执行并一贯执行</w:t>
            </w:r>
          </w:p>
        </w:tc>
        <w:tc>
          <w:tcPr>
            <w:tcW w:w="2693" w:type="dxa"/>
            <w:tcBorders>
              <w:top w:val="nil"/>
              <w:left w:val="nil"/>
              <w:bottom w:val="single" w:sz="8" w:space="0" w:color="auto"/>
              <w:right w:val="single" w:sz="4" w:space="0" w:color="auto"/>
            </w:tcBorders>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执行有效得1分；无效得0分。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B63内部控制监督评价（1分）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内部控制监督设计评价和运行评价</w:t>
            </w:r>
          </w:p>
        </w:tc>
        <w:tc>
          <w:tcPr>
            <w:tcW w:w="2693" w:type="dxa"/>
            <w:tcBorders>
              <w:top w:val="nil"/>
              <w:left w:val="nil"/>
              <w:bottom w:val="single" w:sz="8" w:space="0" w:color="auto"/>
              <w:right w:val="single" w:sz="4" w:space="0" w:color="auto"/>
            </w:tcBorders>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有单位内部内控评价报告得1分；无得0分。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val="restart"/>
            <w:tcBorders>
              <w:top w:val="nil"/>
              <w:left w:val="single" w:sz="8" w:space="0" w:color="auto"/>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B7预算绩效管理（3分）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B71组织管理情况（1分）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主要包含制度建设、职能配置、分行业的指标体系</w:t>
            </w:r>
          </w:p>
        </w:tc>
        <w:tc>
          <w:tcPr>
            <w:tcW w:w="2693" w:type="dxa"/>
            <w:tcBorders>
              <w:top w:val="nil"/>
              <w:left w:val="nil"/>
              <w:bottom w:val="single" w:sz="8" w:space="0" w:color="auto"/>
              <w:right w:val="single" w:sz="4" w:space="0" w:color="auto"/>
            </w:tcBorders>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有制度得1分；无得0分。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B72工作开展情况（1分）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包含事前评估、目标管理、跟踪评价、自评价和整改落实</w:t>
            </w:r>
          </w:p>
        </w:tc>
        <w:tc>
          <w:tcPr>
            <w:tcW w:w="2693" w:type="dxa"/>
            <w:tcBorders>
              <w:top w:val="nil"/>
              <w:left w:val="nil"/>
              <w:bottom w:val="single" w:sz="8" w:space="0" w:color="auto"/>
              <w:right w:val="single" w:sz="4" w:space="0" w:color="auto"/>
            </w:tcBorders>
            <w:vAlign w:val="center"/>
          </w:tcPr>
          <w:p w:rsidR="00AB1168" w:rsidRDefault="00EF5467">
            <w:pPr>
              <w:widowControl/>
              <w:jc w:val="left"/>
              <w:rPr>
                <w:rFonts w:ascii="仿宋" w:eastAsia="仿宋" w:hAnsi="仿宋" w:cs="宋体"/>
                <w:color w:val="000000"/>
                <w:kern w:val="0"/>
                <w:sz w:val="24"/>
              </w:rPr>
            </w:pPr>
            <w:r>
              <w:rPr>
                <w:rFonts w:ascii="仿宋" w:eastAsia="仿宋" w:hAnsi="仿宋" w:cs="宋体" w:hint="eastAsia"/>
                <w:color w:val="000000"/>
                <w:kern w:val="0"/>
                <w:sz w:val="24"/>
              </w:rPr>
              <w:t>有</w:t>
            </w:r>
            <w:r w:rsidR="00BE1998">
              <w:rPr>
                <w:rFonts w:ascii="仿宋" w:eastAsia="仿宋" w:hAnsi="仿宋" w:cs="宋体" w:hint="eastAsia"/>
                <w:color w:val="000000"/>
                <w:kern w:val="0"/>
                <w:sz w:val="24"/>
              </w:rPr>
              <w:t>开展情况得1分；无得0分。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B73绩效信息公开（1分）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绩效信息是否按照规定的内容和时限在“双平台”进行公开</w:t>
            </w:r>
          </w:p>
        </w:tc>
        <w:tc>
          <w:tcPr>
            <w:tcW w:w="2693" w:type="dxa"/>
            <w:tcBorders>
              <w:top w:val="nil"/>
              <w:left w:val="nil"/>
              <w:bottom w:val="single" w:sz="8" w:space="0" w:color="auto"/>
              <w:right w:val="single" w:sz="4" w:space="0" w:color="auto"/>
            </w:tcBorders>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公开得1分；不公开得0分。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1162"/>
          <w:jc w:val="center"/>
        </w:trPr>
        <w:tc>
          <w:tcPr>
            <w:tcW w:w="1242" w:type="dxa"/>
            <w:vMerge w:val="restart"/>
            <w:tcBorders>
              <w:top w:val="nil"/>
              <w:left w:val="single" w:sz="8" w:space="0" w:color="auto"/>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lastRenderedPageBreak/>
              <w:t>C单位履职(可选方式1：重点工作完成情况)（30分）</w:t>
            </w:r>
          </w:p>
        </w:tc>
        <w:tc>
          <w:tcPr>
            <w:tcW w:w="156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C1重点工作数量完成率（10分）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不设三级指标（10分）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与年初计划相比较</w:t>
            </w:r>
          </w:p>
        </w:tc>
        <w:tc>
          <w:tcPr>
            <w:tcW w:w="2693" w:type="dxa"/>
            <w:tcBorders>
              <w:top w:val="nil"/>
              <w:left w:val="nil"/>
              <w:bottom w:val="single" w:sz="8" w:space="0" w:color="auto"/>
              <w:right w:val="single" w:sz="4" w:space="0" w:color="auto"/>
            </w:tcBorders>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全部完成得10分，完成率每降低10%减1分。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980"/>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C2重点工作质量达标率（10分）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不设三级指标（10分）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与年初自定的绩效目标相比较</w:t>
            </w:r>
          </w:p>
        </w:tc>
        <w:tc>
          <w:tcPr>
            <w:tcW w:w="2693" w:type="dxa"/>
            <w:tcBorders>
              <w:top w:val="nil"/>
              <w:left w:val="nil"/>
              <w:bottom w:val="single" w:sz="8" w:space="0" w:color="auto"/>
              <w:right w:val="single" w:sz="4" w:space="0" w:color="auto"/>
            </w:tcBorders>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全部完成得10分，完成率每降低10%减1分。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1779"/>
          <w:jc w:val="center"/>
        </w:trPr>
        <w:tc>
          <w:tcPr>
            <w:tcW w:w="1242" w:type="dxa"/>
            <w:vMerge/>
            <w:tcBorders>
              <w:top w:val="nil"/>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C3重点工作完成及时率（10分）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不设三级指标（10分）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参照财政部门及主管部门规定的要求</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完成及时得10分；项目未在规定时间完成资金使用、工作进展等情况的，每个项目每种情况减1分。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val="restart"/>
            <w:tcBorders>
              <w:top w:val="nil"/>
              <w:left w:val="single" w:sz="8" w:space="0" w:color="auto"/>
              <w:right w:val="single" w:sz="8" w:space="0" w:color="auto"/>
            </w:tcBorders>
            <w:shd w:val="clear" w:color="auto" w:fill="auto"/>
            <w:noWrap/>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D履职绩效（30分）</w:t>
            </w:r>
          </w:p>
        </w:tc>
        <w:tc>
          <w:tcPr>
            <w:tcW w:w="156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D1经济效益（0分）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不设三级指标（0分）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经济活动中取得的收益性成果</w:t>
            </w:r>
          </w:p>
        </w:tc>
        <w:tc>
          <w:tcPr>
            <w:tcW w:w="2693" w:type="dxa"/>
            <w:tcBorders>
              <w:top w:val="nil"/>
              <w:left w:val="nil"/>
              <w:bottom w:val="single" w:sz="8" w:space="0" w:color="auto"/>
              <w:right w:val="single" w:sz="4" w:space="0" w:color="auto"/>
            </w:tcBorders>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不设分值。</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0</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w:t>
            </w:r>
          </w:p>
        </w:tc>
      </w:tr>
      <w:tr w:rsidR="00AB1168">
        <w:trPr>
          <w:trHeight w:val="600"/>
          <w:jc w:val="center"/>
        </w:trPr>
        <w:tc>
          <w:tcPr>
            <w:tcW w:w="1242" w:type="dxa"/>
            <w:vMerge/>
            <w:tcBorders>
              <w:left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D2社会效益（10分）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不设三级指标（10分）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 xml:space="preserve">经济效益之外的对社会有益的效果 </w:t>
            </w:r>
          </w:p>
        </w:tc>
        <w:tc>
          <w:tcPr>
            <w:tcW w:w="2693" w:type="dxa"/>
            <w:tcBorders>
              <w:top w:val="nil"/>
              <w:left w:val="nil"/>
              <w:bottom w:val="single" w:sz="8" w:space="0" w:color="auto"/>
              <w:right w:val="single" w:sz="4" w:space="0" w:color="auto"/>
            </w:tcBorders>
          </w:tcPr>
          <w:p w:rsidR="00AB1168" w:rsidRPr="00C55987" w:rsidRDefault="0078149F" w:rsidP="00EF5467">
            <w:pPr>
              <w:widowControl/>
              <w:jc w:val="left"/>
              <w:rPr>
                <w:rFonts w:ascii="仿宋" w:eastAsia="仿宋" w:hAnsi="仿宋" w:cs="宋体"/>
                <w:color w:val="000000"/>
                <w:kern w:val="0"/>
                <w:sz w:val="24"/>
              </w:rPr>
            </w:pPr>
            <w:r w:rsidRPr="00C55987">
              <w:rPr>
                <w:rFonts w:ascii="仿宋" w:eastAsia="仿宋" w:hAnsi="仿宋" w:cs="宋体" w:hint="eastAsia"/>
                <w:color w:val="000000"/>
                <w:kern w:val="0"/>
                <w:sz w:val="24"/>
              </w:rPr>
              <w:t>有助于优新品种推介、种子质量提升</w:t>
            </w:r>
            <w:r w:rsidR="00C55987" w:rsidRPr="00C55987">
              <w:rPr>
                <w:rFonts w:ascii="仿宋" w:eastAsia="仿宋" w:hAnsi="仿宋" w:cs="宋体" w:hint="eastAsia"/>
                <w:color w:val="000000"/>
                <w:kern w:val="0"/>
                <w:sz w:val="24"/>
              </w:rPr>
              <w:t>的，得</w:t>
            </w:r>
            <w:r w:rsidR="00EF5467">
              <w:rPr>
                <w:rFonts w:ascii="仿宋" w:eastAsia="仿宋" w:hAnsi="仿宋" w:cs="宋体" w:hint="eastAsia"/>
                <w:color w:val="000000"/>
                <w:kern w:val="0"/>
                <w:sz w:val="24"/>
              </w:rPr>
              <w:t>10</w:t>
            </w:r>
            <w:r w:rsidR="00C55987" w:rsidRPr="00C55987">
              <w:rPr>
                <w:rFonts w:ascii="仿宋" w:eastAsia="仿宋" w:hAnsi="仿宋" w:cs="宋体" w:hint="eastAsia"/>
                <w:color w:val="000000"/>
                <w:kern w:val="0"/>
                <w:sz w:val="24"/>
              </w:rPr>
              <w:t>分</w:t>
            </w:r>
            <w:r w:rsidR="00EF5467">
              <w:rPr>
                <w:rFonts w:ascii="仿宋" w:eastAsia="仿宋" w:hAnsi="仿宋" w:cs="宋体" w:hint="eastAsia"/>
                <w:color w:val="000000"/>
                <w:kern w:val="0"/>
                <w:sz w:val="24"/>
              </w:rPr>
              <w:t>；无得0分。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600"/>
          <w:jc w:val="center"/>
        </w:trPr>
        <w:tc>
          <w:tcPr>
            <w:tcW w:w="1242" w:type="dxa"/>
            <w:vMerge/>
            <w:tcBorders>
              <w:left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D3生态效益（10分）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不设三级指标（10分）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生态平衡和生态系统的良性高效循环</w:t>
            </w:r>
          </w:p>
        </w:tc>
        <w:tc>
          <w:tcPr>
            <w:tcW w:w="2693" w:type="dxa"/>
            <w:tcBorders>
              <w:top w:val="nil"/>
              <w:left w:val="nil"/>
              <w:bottom w:val="single" w:sz="8" w:space="0" w:color="auto"/>
              <w:right w:val="single" w:sz="4" w:space="0" w:color="auto"/>
            </w:tcBorders>
          </w:tcPr>
          <w:p w:rsidR="00AB1168" w:rsidRPr="00C55987" w:rsidRDefault="00943E94">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利用生物手段防止病虫草害并配套增施有机肥料的，得10分；无得0分。</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eastAsia="仿宋" w:hint="eastAsia"/>
                <w:bCs/>
                <w:color w:val="000000"/>
                <w:kern w:val="0"/>
                <w:sz w:val="24"/>
              </w:rPr>
              <w:t>已完成</w:t>
            </w:r>
          </w:p>
        </w:tc>
      </w:tr>
      <w:tr w:rsidR="00AB1168">
        <w:trPr>
          <w:trHeight w:val="915"/>
          <w:jc w:val="center"/>
        </w:trPr>
        <w:tc>
          <w:tcPr>
            <w:tcW w:w="1242" w:type="dxa"/>
            <w:vMerge/>
            <w:tcBorders>
              <w:left w:val="single" w:sz="8" w:space="0" w:color="auto"/>
              <w:bottom w:val="single" w:sz="4"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tcBorders>
              <w:top w:val="nil"/>
              <w:left w:val="nil"/>
              <w:bottom w:val="single" w:sz="4"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D4满意度（10分）</w:t>
            </w:r>
          </w:p>
        </w:tc>
        <w:tc>
          <w:tcPr>
            <w:tcW w:w="4110" w:type="dxa"/>
            <w:tcBorders>
              <w:top w:val="nil"/>
              <w:left w:val="nil"/>
              <w:bottom w:val="single" w:sz="4"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不设三级指标（10分）</w:t>
            </w:r>
          </w:p>
        </w:tc>
        <w:tc>
          <w:tcPr>
            <w:tcW w:w="2977" w:type="dxa"/>
            <w:tcBorders>
              <w:top w:val="nil"/>
              <w:left w:val="nil"/>
              <w:bottom w:val="single" w:sz="4"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包含服务对象（可选）、管理对象（可选）、间接受益对象（可选）等</w:t>
            </w:r>
          </w:p>
        </w:tc>
        <w:tc>
          <w:tcPr>
            <w:tcW w:w="2693" w:type="dxa"/>
            <w:tcBorders>
              <w:top w:val="nil"/>
              <w:left w:val="nil"/>
              <w:bottom w:val="single" w:sz="4" w:space="0" w:color="auto"/>
              <w:right w:val="single" w:sz="4" w:space="0" w:color="auto"/>
            </w:tcBorders>
            <w:vAlign w:val="center"/>
          </w:tcPr>
          <w:p w:rsidR="00AB1168" w:rsidRPr="002E03C4" w:rsidRDefault="00C55987">
            <w:pPr>
              <w:widowControl/>
              <w:jc w:val="left"/>
              <w:rPr>
                <w:rFonts w:ascii="仿宋" w:eastAsia="仿宋" w:hAnsi="仿宋" w:cs="宋体"/>
                <w:color w:val="FF0000"/>
                <w:kern w:val="0"/>
                <w:sz w:val="24"/>
              </w:rPr>
            </w:pPr>
            <w:r>
              <w:rPr>
                <w:rFonts w:ascii="仿宋" w:eastAsia="仿宋" w:hAnsi="仿宋" w:cs="宋体" w:hint="eastAsia"/>
                <w:color w:val="000000"/>
                <w:kern w:val="0"/>
                <w:sz w:val="24"/>
              </w:rPr>
              <w:t>如不适用得满分</w:t>
            </w:r>
            <w:r w:rsidR="004D457E">
              <w:rPr>
                <w:rFonts w:ascii="仿宋" w:eastAsia="仿宋" w:hAnsi="仿宋" w:cs="宋体" w:hint="eastAsia"/>
                <w:color w:val="000000"/>
                <w:kern w:val="0"/>
                <w:sz w:val="24"/>
              </w:rPr>
              <w:t>。</w:t>
            </w:r>
          </w:p>
        </w:tc>
        <w:tc>
          <w:tcPr>
            <w:tcW w:w="1560" w:type="dxa"/>
            <w:tcBorders>
              <w:top w:val="nil"/>
              <w:left w:val="single" w:sz="4" w:space="0" w:color="auto"/>
              <w:bottom w:val="single" w:sz="4"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10</w:t>
            </w:r>
          </w:p>
        </w:tc>
        <w:tc>
          <w:tcPr>
            <w:tcW w:w="1560" w:type="dxa"/>
            <w:tcBorders>
              <w:top w:val="nil"/>
              <w:left w:val="single" w:sz="4" w:space="0" w:color="auto"/>
              <w:bottom w:val="single" w:sz="4" w:space="0" w:color="auto"/>
              <w:right w:val="single" w:sz="8" w:space="0" w:color="auto"/>
            </w:tcBorders>
            <w:shd w:val="clear" w:color="auto" w:fill="auto"/>
            <w:vAlign w:val="center"/>
          </w:tcPr>
          <w:p w:rsidR="00AB1168" w:rsidRDefault="00FB7DBF">
            <w:pPr>
              <w:widowControl/>
              <w:jc w:val="center"/>
              <w:rPr>
                <w:rFonts w:ascii="仿宋" w:eastAsia="仿宋" w:hAnsi="仿宋" w:cs="宋体"/>
                <w:color w:val="000000"/>
                <w:kern w:val="0"/>
                <w:sz w:val="24"/>
              </w:rPr>
            </w:pPr>
            <w:r>
              <w:rPr>
                <w:rFonts w:eastAsia="仿宋" w:hint="eastAsia"/>
                <w:bCs/>
                <w:color w:val="000000"/>
                <w:kern w:val="0"/>
                <w:sz w:val="24"/>
              </w:rPr>
              <w:t>不适用</w:t>
            </w:r>
          </w:p>
        </w:tc>
      </w:tr>
      <w:tr w:rsidR="00AB1168">
        <w:trPr>
          <w:trHeight w:val="600"/>
          <w:jc w:val="center"/>
        </w:trPr>
        <w:tc>
          <w:tcPr>
            <w:tcW w:w="1242"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lastRenderedPageBreak/>
              <w:t>E可持续发展能力（5分）</w:t>
            </w:r>
          </w:p>
        </w:tc>
        <w:tc>
          <w:tcPr>
            <w:tcW w:w="1560" w:type="dxa"/>
            <w:tcBorders>
              <w:top w:val="single" w:sz="8" w:space="0" w:color="auto"/>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E1信息化建设情况（可选）（3分）</w:t>
            </w:r>
          </w:p>
        </w:tc>
        <w:tc>
          <w:tcPr>
            <w:tcW w:w="4110" w:type="dxa"/>
            <w:tcBorders>
              <w:top w:val="single" w:sz="8" w:space="0" w:color="auto"/>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不设三级指标（3分）</w:t>
            </w:r>
          </w:p>
        </w:tc>
        <w:tc>
          <w:tcPr>
            <w:tcW w:w="2977" w:type="dxa"/>
            <w:tcBorders>
              <w:top w:val="single" w:sz="8" w:space="0" w:color="auto"/>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办公流程、业务开展是否能通过单位的信息系统实现</w:t>
            </w:r>
          </w:p>
        </w:tc>
        <w:tc>
          <w:tcPr>
            <w:tcW w:w="2693" w:type="dxa"/>
            <w:tcBorders>
              <w:top w:val="single" w:sz="8" w:space="0" w:color="auto"/>
              <w:left w:val="nil"/>
              <w:bottom w:val="single" w:sz="8" w:space="0" w:color="auto"/>
              <w:right w:val="single" w:sz="4" w:space="0" w:color="auto"/>
            </w:tcBorders>
          </w:tcPr>
          <w:p w:rsidR="00AB1168" w:rsidRPr="002E03C4" w:rsidRDefault="00C55987">
            <w:pPr>
              <w:widowControl/>
              <w:jc w:val="left"/>
              <w:rPr>
                <w:rFonts w:ascii="仿宋" w:eastAsia="仿宋" w:hAnsi="仿宋" w:cs="宋体"/>
                <w:color w:val="FF0000"/>
                <w:kern w:val="0"/>
                <w:sz w:val="24"/>
              </w:rPr>
            </w:pPr>
            <w:r>
              <w:rPr>
                <w:rFonts w:ascii="仿宋" w:eastAsia="仿宋" w:hAnsi="仿宋" w:cs="宋体" w:hint="eastAsia"/>
                <w:color w:val="000000"/>
                <w:kern w:val="0"/>
                <w:sz w:val="24"/>
              </w:rPr>
              <w:t>如不适用得满分</w:t>
            </w:r>
            <w:r w:rsidR="004D457E">
              <w:rPr>
                <w:rFonts w:ascii="仿宋" w:eastAsia="仿宋" w:hAnsi="仿宋" w:cs="宋体" w:hint="eastAsia"/>
                <w:color w:val="000000"/>
                <w:kern w:val="0"/>
                <w:sz w:val="24"/>
              </w:rPr>
              <w:t>。</w:t>
            </w:r>
          </w:p>
        </w:tc>
        <w:tc>
          <w:tcPr>
            <w:tcW w:w="1560" w:type="dxa"/>
            <w:tcBorders>
              <w:top w:val="single" w:sz="8" w:space="0" w:color="auto"/>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w:t>
            </w:r>
          </w:p>
        </w:tc>
        <w:tc>
          <w:tcPr>
            <w:tcW w:w="1560" w:type="dxa"/>
            <w:tcBorders>
              <w:top w:val="single" w:sz="8" w:space="0" w:color="auto"/>
              <w:left w:val="single" w:sz="4" w:space="0" w:color="auto"/>
              <w:bottom w:val="single" w:sz="8" w:space="0" w:color="auto"/>
              <w:right w:val="single" w:sz="8" w:space="0" w:color="auto"/>
            </w:tcBorders>
            <w:shd w:val="clear" w:color="auto" w:fill="auto"/>
            <w:vAlign w:val="center"/>
          </w:tcPr>
          <w:p w:rsidR="00AB1168" w:rsidRDefault="00FB7DBF">
            <w:pPr>
              <w:widowControl/>
              <w:jc w:val="center"/>
              <w:rPr>
                <w:rFonts w:ascii="仿宋" w:eastAsia="仿宋" w:hAnsi="仿宋" w:cs="宋体"/>
                <w:color w:val="000000"/>
                <w:kern w:val="0"/>
                <w:sz w:val="24"/>
              </w:rPr>
            </w:pPr>
            <w:r>
              <w:rPr>
                <w:rFonts w:eastAsia="仿宋" w:hint="eastAsia"/>
                <w:bCs/>
                <w:color w:val="000000"/>
                <w:kern w:val="0"/>
                <w:sz w:val="24"/>
              </w:rPr>
              <w:t>不适用</w:t>
            </w:r>
          </w:p>
        </w:tc>
      </w:tr>
      <w:tr w:rsidR="00AB1168">
        <w:trPr>
          <w:trHeight w:val="600"/>
          <w:jc w:val="center"/>
        </w:trPr>
        <w:tc>
          <w:tcPr>
            <w:tcW w:w="1242" w:type="dxa"/>
            <w:vMerge/>
            <w:tcBorders>
              <w:top w:val="single" w:sz="8" w:space="0" w:color="auto"/>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E2人力资源建设情况（可选）（2分）</w:t>
            </w:r>
          </w:p>
        </w:tc>
        <w:tc>
          <w:tcPr>
            <w:tcW w:w="4110" w:type="dxa"/>
            <w:tcBorders>
              <w:top w:val="nil"/>
              <w:left w:val="nil"/>
              <w:bottom w:val="single" w:sz="8" w:space="0" w:color="auto"/>
              <w:right w:val="single" w:sz="8" w:space="0" w:color="auto"/>
            </w:tcBorders>
            <w:shd w:val="clear" w:color="auto" w:fill="auto"/>
            <w:noWrap/>
            <w:vAlign w:val="center"/>
          </w:tcPr>
          <w:p w:rsidR="00AB1168" w:rsidRDefault="00BE1998">
            <w:pPr>
              <w:widowControl/>
              <w:jc w:val="left"/>
              <w:rPr>
                <w:rFonts w:ascii="等线" w:eastAsia="等线" w:hAnsi="等线" w:cs="宋体"/>
                <w:color w:val="000000"/>
                <w:kern w:val="0"/>
                <w:sz w:val="22"/>
              </w:rPr>
            </w:pPr>
            <w:r>
              <w:rPr>
                <w:rFonts w:ascii="仿宋" w:eastAsia="仿宋" w:hAnsi="仿宋" w:cs="宋体" w:hint="eastAsia"/>
                <w:color w:val="000000"/>
                <w:kern w:val="0"/>
                <w:sz w:val="24"/>
              </w:rPr>
              <w:t>不设三级指标（2分）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包含人才培养计划、人才选拔运用、激励措施等</w:t>
            </w:r>
          </w:p>
        </w:tc>
        <w:tc>
          <w:tcPr>
            <w:tcW w:w="2693" w:type="dxa"/>
            <w:tcBorders>
              <w:top w:val="nil"/>
              <w:left w:val="nil"/>
              <w:bottom w:val="single" w:sz="8" w:space="0" w:color="auto"/>
              <w:right w:val="single" w:sz="4" w:space="0" w:color="auto"/>
            </w:tcBorders>
          </w:tcPr>
          <w:p w:rsidR="00AB1168" w:rsidRDefault="002E03C4">
            <w:pPr>
              <w:widowControl/>
              <w:jc w:val="left"/>
              <w:rPr>
                <w:rFonts w:ascii="仿宋" w:eastAsia="仿宋" w:hAnsi="仿宋" w:cs="宋体"/>
                <w:color w:val="000000"/>
                <w:kern w:val="0"/>
                <w:sz w:val="24"/>
              </w:rPr>
            </w:pPr>
            <w:r>
              <w:rPr>
                <w:rFonts w:ascii="仿宋" w:eastAsia="仿宋" w:hAnsi="仿宋" w:cs="宋体" w:hint="eastAsia"/>
                <w:color w:val="000000"/>
                <w:kern w:val="0"/>
                <w:sz w:val="24"/>
              </w:rPr>
              <w:t>有人才培养计划、人才选拔运用及激励措施等办法得2分；无得0分。</w:t>
            </w:r>
          </w:p>
        </w:tc>
        <w:tc>
          <w:tcPr>
            <w:tcW w:w="1560" w:type="dxa"/>
            <w:tcBorders>
              <w:top w:val="nil"/>
              <w:left w:val="single" w:sz="4" w:space="0" w:color="auto"/>
              <w:bottom w:val="single" w:sz="8" w:space="0" w:color="auto"/>
              <w:right w:val="single" w:sz="8" w:space="0" w:color="auto"/>
            </w:tcBorders>
            <w:shd w:val="clear" w:color="auto" w:fill="auto"/>
            <w:noWrap/>
            <w:vAlign w:val="center"/>
          </w:tcPr>
          <w:p w:rsidR="00AB1168" w:rsidRDefault="00BE1998">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2</w:t>
            </w:r>
          </w:p>
        </w:tc>
        <w:tc>
          <w:tcPr>
            <w:tcW w:w="1560" w:type="dxa"/>
            <w:tcBorders>
              <w:top w:val="nil"/>
              <w:left w:val="single" w:sz="4" w:space="0" w:color="auto"/>
              <w:bottom w:val="single" w:sz="8" w:space="0" w:color="auto"/>
              <w:right w:val="single" w:sz="8" w:space="0" w:color="auto"/>
            </w:tcBorders>
            <w:shd w:val="clear" w:color="auto" w:fill="auto"/>
            <w:noWrap/>
            <w:vAlign w:val="center"/>
          </w:tcPr>
          <w:p w:rsidR="00AB1168" w:rsidRDefault="00BE1998">
            <w:pPr>
              <w:widowControl/>
              <w:jc w:val="center"/>
              <w:rPr>
                <w:rFonts w:ascii="等线" w:eastAsia="等线" w:hAnsi="等线" w:cs="宋体"/>
                <w:color w:val="000000"/>
                <w:kern w:val="0"/>
                <w:sz w:val="22"/>
              </w:rPr>
            </w:pPr>
            <w:r>
              <w:rPr>
                <w:rFonts w:eastAsia="仿宋" w:hint="eastAsia"/>
                <w:bCs/>
                <w:color w:val="000000"/>
                <w:kern w:val="0"/>
                <w:sz w:val="24"/>
              </w:rPr>
              <w:t>已完成</w:t>
            </w:r>
          </w:p>
        </w:tc>
      </w:tr>
      <w:tr w:rsidR="00AB1168">
        <w:trPr>
          <w:trHeight w:val="600"/>
          <w:jc w:val="center"/>
        </w:trPr>
        <w:tc>
          <w:tcPr>
            <w:tcW w:w="1242" w:type="dxa"/>
            <w:vMerge/>
            <w:tcBorders>
              <w:top w:val="single" w:sz="8" w:space="0" w:color="auto"/>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E3部门创新情况（可选）（0分）</w:t>
            </w:r>
          </w:p>
        </w:tc>
        <w:tc>
          <w:tcPr>
            <w:tcW w:w="4110" w:type="dxa"/>
            <w:tcBorders>
              <w:top w:val="nil"/>
              <w:left w:val="nil"/>
              <w:bottom w:val="single" w:sz="8" w:space="0" w:color="auto"/>
              <w:right w:val="single" w:sz="8" w:space="0" w:color="auto"/>
            </w:tcBorders>
            <w:shd w:val="clear" w:color="auto" w:fill="auto"/>
            <w:noWrap/>
            <w:vAlign w:val="center"/>
          </w:tcPr>
          <w:p w:rsidR="00AB1168" w:rsidRDefault="00BE1998">
            <w:pPr>
              <w:widowControl/>
              <w:jc w:val="left"/>
              <w:rPr>
                <w:rFonts w:ascii="仿宋" w:eastAsia="仿宋" w:hAnsi="仿宋" w:cs="宋体"/>
                <w:color w:val="000000"/>
                <w:kern w:val="0"/>
                <w:sz w:val="22"/>
              </w:rPr>
            </w:pPr>
            <w:r>
              <w:rPr>
                <w:rFonts w:ascii="仿宋" w:eastAsia="仿宋" w:hAnsi="仿宋" w:cs="宋体" w:hint="eastAsia"/>
                <w:color w:val="000000"/>
                <w:kern w:val="0"/>
                <w:sz w:val="24"/>
              </w:rPr>
              <w:t>不设三级指标（0分）</w:t>
            </w:r>
          </w:p>
        </w:tc>
        <w:tc>
          <w:tcPr>
            <w:tcW w:w="2977" w:type="dxa"/>
            <w:tcBorders>
              <w:top w:val="nil"/>
              <w:left w:val="nil"/>
              <w:bottom w:val="single" w:sz="8" w:space="0" w:color="auto"/>
              <w:right w:val="single" w:sz="8" w:space="0" w:color="auto"/>
            </w:tcBorders>
            <w:shd w:val="clear" w:color="auto" w:fill="auto"/>
            <w:noWrap/>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包含制度创新、方法创新等</w:t>
            </w:r>
          </w:p>
        </w:tc>
        <w:tc>
          <w:tcPr>
            <w:tcW w:w="2693" w:type="dxa"/>
            <w:tcBorders>
              <w:top w:val="nil"/>
              <w:left w:val="nil"/>
              <w:bottom w:val="single" w:sz="8" w:space="0" w:color="auto"/>
              <w:right w:val="single" w:sz="4" w:space="0" w:color="auto"/>
            </w:tcBorders>
            <w:vAlign w:val="center"/>
          </w:tcPr>
          <w:p w:rsidR="00AB1168" w:rsidRDefault="002E03C4">
            <w:pPr>
              <w:widowControl/>
              <w:jc w:val="left"/>
              <w:rPr>
                <w:rFonts w:ascii="仿宋" w:eastAsia="仿宋" w:hAnsi="仿宋" w:cs="宋体"/>
                <w:color w:val="000000"/>
                <w:kern w:val="0"/>
                <w:sz w:val="22"/>
              </w:rPr>
            </w:pPr>
            <w:r>
              <w:rPr>
                <w:rFonts w:ascii="仿宋" w:eastAsia="仿宋" w:hAnsi="仿宋" w:cs="宋体" w:hint="eastAsia"/>
                <w:color w:val="000000"/>
                <w:kern w:val="0"/>
                <w:sz w:val="22"/>
              </w:rPr>
              <w:t>不设分值。</w:t>
            </w:r>
          </w:p>
        </w:tc>
        <w:tc>
          <w:tcPr>
            <w:tcW w:w="1560" w:type="dxa"/>
            <w:tcBorders>
              <w:top w:val="nil"/>
              <w:left w:val="single" w:sz="4" w:space="0" w:color="auto"/>
              <w:bottom w:val="single" w:sz="8" w:space="0" w:color="auto"/>
              <w:right w:val="single" w:sz="8" w:space="0" w:color="auto"/>
            </w:tcBorders>
            <w:shd w:val="clear" w:color="auto" w:fill="auto"/>
            <w:noWrap/>
            <w:vAlign w:val="center"/>
          </w:tcPr>
          <w:p w:rsidR="00AB1168" w:rsidRDefault="00BE1998">
            <w:pPr>
              <w:widowControl/>
              <w:jc w:val="center"/>
              <w:rPr>
                <w:rFonts w:ascii="仿宋" w:eastAsia="仿宋" w:hAnsi="仿宋" w:cs="宋体"/>
                <w:color w:val="000000"/>
                <w:kern w:val="0"/>
                <w:sz w:val="22"/>
              </w:rPr>
            </w:pPr>
            <w:r>
              <w:rPr>
                <w:rFonts w:ascii="仿宋" w:eastAsia="仿宋" w:hAnsi="仿宋" w:cs="宋体" w:hint="eastAsia"/>
                <w:color w:val="000000"/>
                <w:kern w:val="0"/>
                <w:sz w:val="22"/>
              </w:rPr>
              <w:t>0</w:t>
            </w:r>
          </w:p>
        </w:tc>
        <w:tc>
          <w:tcPr>
            <w:tcW w:w="1560" w:type="dxa"/>
            <w:tcBorders>
              <w:top w:val="nil"/>
              <w:left w:val="single" w:sz="4" w:space="0" w:color="auto"/>
              <w:bottom w:val="single" w:sz="8" w:space="0" w:color="auto"/>
              <w:right w:val="single" w:sz="8" w:space="0" w:color="auto"/>
            </w:tcBorders>
            <w:shd w:val="clear" w:color="auto" w:fill="auto"/>
            <w:noWrap/>
            <w:vAlign w:val="center"/>
          </w:tcPr>
          <w:p w:rsidR="00AB1168" w:rsidRDefault="00BE1998">
            <w:pPr>
              <w:widowControl/>
              <w:jc w:val="center"/>
              <w:rPr>
                <w:rFonts w:ascii="仿宋" w:eastAsia="仿宋" w:hAnsi="仿宋" w:cs="宋体"/>
                <w:color w:val="000000"/>
                <w:kern w:val="0"/>
                <w:sz w:val="22"/>
              </w:rPr>
            </w:pPr>
            <w:r>
              <w:rPr>
                <w:rFonts w:ascii="仿宋" w:eastAsia="仿宋" w:hAnsi="仿宋" w:cs="宋体" w:hint="eastAsia"/>
                <w:color w:val="000000"/>
                <w:kern w:val="0"/>
                <w:sz w:val="22"/>
              </w:rPr>
              <w:t>无</w:t>
            </w:r>
          </w:p>
        </w:tc>
      </w:tr>
      <w:tr w:rsidR="00AB1168">
        <w:trPr>
          <w:trHeight w:val="923"/>
          <w:jc w:val="center"/>
        </w:trPr>
        <w:tc>
          <w:tcPr>
            <w:tcW w:w="1242" w:type="dxa"/>
            <w:vMerge w:val="restart"/>
            <w:tcBorders>
              <w:top w:val="nil"/>
              <w:left w:val="single" w:sz="8" w:space="0" w:color="auto"/>
              <w:bottom w:val="single" w:sz="8" w:space="0" w:color="auto"/>
              <w:right w:val="single" w:sz="8" w:space="0" w:color="auto"/>
            </w:tcBorders>
            <w:shd w:val="clear" w:color="auto" w:fill="auto"/>
            <w:noWrap/>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F加减分项（≤5分）</w:t>
            </w:r>
          </w:p>
        </w:tc>
        <w:tc>
          <w:tcPr>
            <w:tcW w:w="156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F1加分项（0分）</w:t>
            </w:r>
          </w:p>
        </w:tc>
        <w:tc>
          <w:tcPr>
            <w:tcW w:w="4110"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不设三级指标（0分）</w:t>
            </w:r>
          </w:p>
        </w:tc>
        <w:tc>
          <w:tcPr>
            <w:tcW w:w="2977" w:type="dxa"/>
            <w:tcBorders>
              <w:top w:val="nil"/>
              <w:left w:val="nil"/>
              <w:bottom w:val="single" w:sz="8" w:space="0" w:color="auto"/>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部门（单位）受到国务院、省级、市级嘉奖</w:t>
            </w:r>
          </w:p>
        </w:tc>
        <w:tc>
          <w:tcPr>
            <w:tcW w:w="2693" w:type="dxa"/>
            <w:tcBorders>
              <w:top w:val="nil"/>
              <w:left w:val="nil"/>
              <w:bottom w:val="single" w:sz="8" w:space="0" w:color="auto"/>
              <w:right w:val="single" w:sz="4" w:space="0" w:color="auto"/>
            </w:tcBorders>
            <w:vAlign w:val="center"/>
          </w:tcPr>
          <w:p w:rsidR="00AB1168" w:rsidRDefault="002E03C4">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不设分值。</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0</w:t>
            </w:r>
          </w:p>
        </w:tc>
        <w:tc>
          <w:tcPr>
            <w:tcW w:w="1560" w:type="dxa"/>
            <w:tcBorders>
              <w:top w:val="nil"/>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w:t>
            </w:r>
          </w:p>
        </w:tc>
      </w:tr>
      <w:tr w:rsidR="00AB1168">
        <w:trPr>
          <w:trHeight w:val="600"/>
          <w:jc w:val="center"/>
        </w:trPr>
        <w:tc>
          <w:tcPr>
            <w:tcW w:w="1242" w:type="dxa"/>
            <w:vMerge/>
            <w:tcBorders>
              <w:top w:val="nil"/>
              <w:left w:val="single" w:sz="8" w:space="0" w:color="auto"/>
              <w:bottom w:val="nil"/>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tcBorders>
              <w:top w:val="nil"/>
              <w:left w:val="nil"/>
              <w:bottom w:val="nil"/>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F2减分项（0分）</w:t>
            </w:r>
          </w:p>
        </w:tc>
        <w:tc>
          <w:tcPr>
            <w:tcW w:w="4110" w:type="dxa"/>
            <w:tcBorders>
              <w:top w:val="nil"/>
              <w:left w:val="nil"/>
              <w:bottom w:val="nil"/>
              <w:right w:val="single" w:sz="8" w:space="0" w:color="auto"/>
            </w:tcBorders>
            <w:shd w:val="clear" w:color="auto" w:fill="auto"/>
            <w:noWrap/>
            <w:vAlign w:val="center"/>
          </w:tcPr>
          <w:p w:rsidR="00AB1168" w:rsidRDefault="00BE1998">
            <w:pPr>
              <w:widowControl/>
              <w:jc w:val="left"/>
              <w:rPr>
                <w:rFonts w:ascii="等线" w:eastAsia="等线" w:hAnsi="等线" w:cs="宋体"/>
                <w:color w:val="000000"/>
                <w:kern w:val="0"/>
                <w:sz w:val="22"/>
              </w:rPr>
            </w:pPr>
            <w:r>
              <w:rPr>
                <w:rFonts w:ascii="仿宋" w:eastAsia="仿宋" w:hAnsi="仿宋" w:cs="宋体" w:hint="eastAsia"/>
                <w:color w:val="000000"/>
                <w:kern w:val="0"/>
                <w:sz w:val="24"/>
              </w:rPr>
              <w:t>不设三级指标（0分）</w:t>
            </w:r>
          </w:p>
        </w:tc>
        <w:tc>
          <w:tcPr>
            <w:tcW w:w="2977" w:type="dxa"/>
            <w:tcBorders>
              <w:top w:val="nil"/>
              <w:left w:val="nil"/>
              <w:bottom w:val="nil"/>
              <w:right w:val="single" w:sz="8" w:space="0" w:color="auto"/>
            </w:tcBorders>
            <w:shd w:val="clear" w:color="auto" w:fill="auto"/>
            <w:vAlign w:val="center"/>
          </w:tcPr>
          <w:p w:rsidR="00AB1168" w:rsidRDefault="00BE1998">
            <w:pPr>
              <w:widowControl/>
              <w:jc w:val="left"/>
              <w:rPr>
                <w:rFonts w:ascii="仿宋" w:eastAsia="仿宋" w:hAnsi="仿宋" w:cs="宋体"/>
                <w:color w:val="000000"/>
                <w:kern w:val="0"/>
                <w:sz w:val="24"/>
              </w:rPr>
            </w:pPr>
            <w:r>
              <w:rPr>
                <w:rFonts w:ascii="仿宋" w:eastAsia="仿宋" w:hAnsi="仿宋" w:cs="宋体" w:hint="eastAsia"/>
                <w:color w:val="000000"/>
                <w:kern w:val="0"/>
                <w:sz w:val="24"/>
              </w:rPr>
              <w:t>部门（单位）或工作人员违法违纪</w:t>
            </w:r>
          </w:p>
        </w:tc>
        <w:tc>
          <w:tcPr>
            <w:tcW w:w="2693" w:type="dxa"/>
            <w:tcBorders>
              <w:top w:val="nil"/>
              <w:left w:val="nil"/>
              <w:bottom w:val="nil"/>
              <w:right w:val="single" w:sz="4" w:space="0" w:color="auto"/>
            </w:tcBorders>
            <w:vAlign w:val="center"/>
          </w:tcPr>
          <w:p w:rsidR="00AB1168" w:rsidRDefault="002E03C4">
            <w:pPr>
              <w:widowControl/>
              <w:jc w:val="left"/>
              <w:rPr>
                <w:rFonts w:ascii="仿宋" w:eastAsia="仿宋" w:hAnsi="仿宋" w:cs="宋体"/>
                <w:color w:val="000000"/>
                <w:kern w:val="0"/>
                <w:sz w:val="24"/>
              </w:rPr>
            </w:pPr>
            <w:r>
              <w:rPr>
                <w:rFonts w:ascii="仿宋" w:eastAsia="仿宋" w:hAnsi="仿宋" w:cs="宋体" w:hint="eastAsia"/>
                <w:color w:val="000000"/>
                <w:kern w:val="0"/>
                <w:sz w:val="24"/>
              </w:rPr>
              <w:t>不设分值。</w:t>
            </w:r>
          </w:p>
        </w:tc>
        <w:tc>
          <w:tcPr>
            <w:tcW w:w="1560" w:type="dxa"/>
            <w:tcBorders>
              <w:top w:val="nil"/>
              <w:left w:val="single" w:sz="4" w:space="0" w:color="auto"/>
              <w:bottom w:val="nil"/>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0</w:t>
            </w:r>
          </w:p>
        </w:tc>
        <w:tc>
          <w:tcPr>
            <w:tcW w:w="1560" w:type="dxa"/>
            <w:tcBorders>
              <w:top w:val="nil"/>
              <w:left w:val="single" w:sz="4" w:space="0" w:color="auto"/>
              <w:bottom w:val="nil"/>
              <w:right w:val="single" w:sz="8" w:space="0" w:color="auto"/>
            </w:tcBorders>
            <w:shd w:val="clear" w:color="auto" w:fill="auto"/>
            <w:vAlign w:val="center"/>
          </w:tcPr>
          <w:p w:rsidR="00AB1168" w:rsidRDefault="00BE1998">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无</w:t>
            </w:r>
          </w:p>
        </w:tc>
      </w:tr>
      <w:tr w:rsidR="00AB1168">
        <w:trPr>
          <w:trHeight w:val="203"/>
          <w:jc w:val="center"/>
        </w:trPr>
        <w:tc>
          <w:tcPr>
            <w:tcW w:w="1242" w:type="dxa"/>
            <w:tcBorders>
              <w:top w:val="nil"/>
              <w:left w:val="single" w:sz="8" w:space="0" w:color="auto"/>
              <w:bottom w:val="single" w:sz="4"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tcBorders>
              <w:top w:val="nil"/>
              <w:left w:val="nil"/>
              <w:bottom w:val="single" w:sz="4" w:space="0" w:color="auto"/>
              <w:right w:val="single" w:sz="8" w:space="0" w:color="auto"/>
            </w:tcBorders>
            <w:shd w:val="clear" w:color="auto" w:fill="auto"/>
            <w:vAlign w:val="center"/>
          </w:tcPr>
          <w:p w:rsidR="00AB1168" w:rsidRDefault="00AB1168">
            <w:pPr>
              <w:widowControl/>
              <w:jc w:val="left"/>
              <w:rPr>
                <w:rFonts w:ascii="仿宋" w:eastAsia="仿宋" w:hAnsi="仿宋" w:cs="宋体"/>
                <w:color w:val="000000"/>
                <w:kern w:val="0"/>
                <w:sz w:val="24"/>
              </w:rPr>
            </w:pPr>
          </w:p>
        </w:tc>
        <w:tc>
          <w:tcPr>
            <w:tcW w:w="4110" w:type="dxa"/>
            <w:tcBorders>
              <w:top w:val="nil"/>
              <w:left w:val="nil"/>
              <w:bottom w:val="single" w:sz="4" w:space="0" w:color="auto"/>
              <w:right w:val="single" w:sz="8" w:space="0" w:color="auto"/>
            </w:tcBorders>
            <w:shd w:val="clear" w:color="auto" w:fill="auto"/>
            <w:noWrap/>
            <w:vAlign w:val="center"/>
          </w:tcPr>
          <w:p w:rsidR="00AB1168" w:rsidRDefault="00AB1168">
            <w:pPr>
              <w:widowControl/>
              <w:jc w:val="left"/>
              <w:rPr>
                <w:rFonts w:ascii="等线" w:eastAsia="等线" w:hAnsi="等线" w:cs="宋体"/>
                <w:color w:val="000000"/>
                <w:kern w:val="0"/>
                <w:sz w:val="22"/>
              </w:rPr>
            </w:pPr>
          </w:p>
        </w:tc>
        <w:tc>
          <w:tcPr>
            <w:tcW w:w="2977" w:type="dxa"/>
            <w:tcBorders>
              <w:top w:val="nil"/>
              <w:left w:val="nil"/>
              <w:bottom w:val="single" w:sz="4" w:space="0" w:color="auto"/>
              <w:right w:val="single" w:sz="8" w:space="0" w:color="auto"/>
            </w:tcBorders>
            <w:shd w:val="clear" w:color="auto" w:fill="auto"/>
            <w:vAlign w:val="center"/>
          </w:tcPr>
          <w:p w:rsidR="00AB1168" w:rsidRDefault="00AB1168">
            <w:pPr>
              <w:widowControl/>
              <w:jc w:val="left"/>
              <w:rPr>
                <w:rFonts w:ascii="仿宋" w:eastAsia="仿宋" w:hAnsi="仿宋" w:cs="宋体"/>
                <w:color w:val="000000"/>
                <w:kern w:val="0"/>
                <w:sz w:val="24"/>
              </w:rPr>
            </w:pPr>
          </w:p>
        </w:tc>
        <w:tc>
          <w:tcPr>
            <w:tcW w:w="2693" w:type="dxa"/>
            <w:tcBorders>
              <w:top w:val="nil"/>
              <w:left w:val="nil"/>
              <w:bottom w:val="single" w:sz="4" w:space="0" w:color="auto"/>
              <w:right w:val="single" w:sz="4"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tcBorders>
              <w:top w:val="nil"/>
              <w:left w:val="single" w:sz="4" w:space="0" w:color="auto"/>
              <w:bottom w:val="single" w:sz="4" w:space="0" w:color="auto"/>
              <w:right w:val="single" w:sz="8" w:space="0" w:color="auto"/>
            </w:tcBorders>
            <w:shd w:val="clear" w:color="auto" w:fill="auto"/>
            <w:vAlign w:val="center"/>
          </w:tcPr>
          <w:p w:rsidR="00AB1168" w:rsidRDefault="00AB1168">
            <w:pPr>
              <w:widowControl/>
              <w:jc w:val="center"/>
              <w:rPr>
                <w:rFonts w:ascii="仿宋" w:eastAsia="仿宋" w:hAnsi="仿宋" w:cs="宋体"/>
                <w:color w:val="000000"/>
                <w:kern w:val="0"/>
                <w:sz w:val="24"/>
              </w:rPr>
            </w:pPr>
          </w:p>
        </w:tc>
        <w:tc>
          <w:tcPr>
            <w:tcW w:w="1560" w:type="dxa"/>
            <w:tcBorders>
              <w:top w:val="nil"/>
              <w:left w:val="single" w:sz="4" w:space="0" w:color="auto"/>
              <w:bottom w:val="single" w:sz="4" w:space="0" w:color="auto"/>
              <w:right w:val="single" w:sz="8" w:space="0" w:color="auto"/>
            </w:tcBorders>
            <w:shd w:val="clear" w:color="auto" w:fill="auto"/>
            <w:vAlign w:val="center"/>
          </w:tcPr>
          <w:p w:rsidR="00AB1168" w:rsidRDefault="00AB1168">
            <w:pPr>
              <w:widowControl/>
              <w:jc w:val="center"/>
              <w:rPr>
                <w:rFonts w:ascii="仿宋" w:eastAsia="仿宋" w:hAnsi="仿宋" w:cs="宋体"/>
                <w:color w:val="000000"/>
                <w:kern w:val="0"/>
                <w:sz w:val="24"/>
              </w:rPr>
            </w:pPr>
          </w:p>
        </w:tc>
      </w:tr>
      <w:tr w:rsidR="00AB1168">
        <w:trPr>
          <w:trHeight w:val="423"/>
          <w:jc w:val="center"/>
        </w:trPr>
        <w:tc>
          <w:tcPr>
            <w:tcW w:w="1242" w:type="dxa"/>
            <w:tcBorders>
              <w:top w:val="single" w:sz="4" w:space="0" w:color="auto"/>
              <w:left w:val="single" w:sz="8" w:space="0" w:color="auto"/>
              <w:bottom w:val="single" w:sz="8" w:space="0" w:color="auto"/>
              <w:right w:val="single" w:sz="8"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tcBorders>
              <w:top w:val="single" w:sz="4" w:space="0" w:color="auto"/>
              <w:left w:val="nil"/>
              <w:bottom w:val="single" w:sz="8" w:space="0" w:color="auto"/>
              <w:right w:val="single" w:sz="8" w:space="0" w:color="auto"/>
            </w:tcBorders>
            <w:shd w:val="clear" w:color="auto" w:fill="auto"/>
            <w:vAlign w:val="center"/>
          </w:tcPr>
          <w:p w:rsidR="00AB1168" w:rsidRDefault="00AB1168">
            <w:pPr>
              <w:widowControl/>
              <w:jc w:val="left"/>
              <w:rPr>
                <w:rFonts w:ascii="仿宋" w:eastAsia="仿宋" w:hAnsi="仿宋" w:cs="宋体"/>
                <w:color w:val="000000"/>
                <w:kern w:val="0"/>
                <w:sz w:val="24"/>
              </w:rPr>
            </w:pPr>
          </w:p>
        </w:tc>
        <w:tc>
          <w:tcPr>
            <w:tcW w:w="4110" w:type="dxa"/>
            <w:tcBorders>
              <w:top w:val="single" w:sz="4" w:space="0" w:color="auto"/>
              <w:left w:val="nil"/>
              <w:bottom w:val="single" w:sz="8" w:space="0" w:color="auto"/>
              <w:right w:val="single" w:sz="8" w:space="0" w:color="auto"/>
            </w:tcBorders>
            <w:shd w:val="clear" w:color="auto" w:fill="auto"/>
            <w:noWrap/>
            <w:vAlign w:val="center"/>
          </w:tcPr>
          <w:p w:rsidR="00AB1168" w:rsidRDefault="00AB1168">
            <w:pPr>
              <w:widowControl/>
              <w:jc w:val="left"/>
              <w:rPr>
                <w:rFonts w:ascii="等线" w:eastAsia="等线" w:hAnsi="等线" w:cs="宋体"/>
                <w:color w:val="000000"/>
                <w:kern w:val="0"/>
                <w:sz w:val="22"/>
              </w:rPr>
            </w:pPr>
          </w:p>
        </w:tc>
        <w:tc>
          <w:tcPr>
            <w:tcW w:w="2977" w:type="dxa"/>
            <w:tcBorders>
              <w:top w:val="single" w:sz="4" w:space="0" w:color="auto"/>
              <w:left w:val="nil"/>
              <w:bottom w:val="single" w:sz="8" w:space="0" w:color="auto"/>
              <w:right w:val="single" w:sz="8" w:space="0" w:color="auto"/>
            </w:tcBorders>
            <w:shd w:val="clear" w:color="auto" w:fill="auto"/>
            <w:vAlign w:val="center"/>
          </w:tcPr>
          <w:p w:rsidR="00AB1168" w:rsidRDefault="00AB1168">
            <w:pPr>
              <w:widowControl/>
              <w:jc w:val="left"/>
              <w:rPr>
                <w:rFonts w:ascii="仿宋" w:eastAsia="仿宋" w:hAnsi="仿宋" w:cs="宋体"/>
                <w:color w:val="000000"/>
                <w:kern w:val="0"/>
                <w:sz w:val="24"/>
              </w:rPr>
            </w:pPr>
          </w:p>
        </w:tc>
        <w:tc>
          <w:tcPr>
            <w:tcW w:w="2693" w:type="dxa"/>
            <w:tcBorders>
              <w:top w:val="single" w:sz="4" w:space="0" w:color="auto"/>
              <w:left w:val="nil"/>
              <w:bottom w:val="single" w:sz="8" w:space="0" w:color="auto"/>
              <w:right w:val="single" w:sz="4" w:space="0" w:color="auto"/>
            </w:tcBorders>
            <w:vAlign w:val="center"/>
          </w:tcPr>
          <w:p w:rsidR="00AB1168" w:rsidRDefault="00AB1168">
            <w:pPr>
              <w:widowControl/>
              <w:jc w:val="left"/>
              <w:rPr>
                <w:rFonts w:ascii="仿宋" w:eastAsia="仿宋" w:hAnsi="仿宋" w:cs="宋体"/>
                <w:color w:val="000000"/>
                <w:kern w:val="0"/>
                <w:sz w:val="24"/>
              </w:rPr>
            </w:pPr>
          </w:p>
        </w:tc>
        <w:tc>
          <w:tcPr>
            <w:tcW w:w="1560" w:type="dxa"/>
            <w:tcBorders>
              <w:top w:val="single" w:sz="4" w:space="0" w:color="auto"/>
              <w:left w:val="single" w:sz="4" w:space="0" w:color="auto"/>
              <w:bottom w:val="single" w:sz="8" w:space="0" w:color="auto"/>
              <w:right w:val="single" w:sz="8" w:space="0" w:color="auto"/>
            </w:tcBorders>
            <w:shd w:val="clear" w:color="auto" w:fill="auto"/>
            <w:vAlign w:val="center"/>
          </w:tcPr>
          <w:p w:rsidR="00AB1168" w:rsidRDefault="00BE1998">
            <w:pPr>
              <w:widowControl/>
              <w:jc w:val="center"/>
              <w:rPr>
                <w:rFonts w:ascii="仿宋" w:eastAsia="仿宋" w:hAnsi="仿宋" w:cs="宋体"/>
                <w:b/>
                <w:color w:val="000000"/>
                <w:kern w:val="0"/>
                <w:sz w:val="24"/>
              </w:rPr>
            </w:pPr>
            <w:r>
              <w:rPr>
                <w:rFonts w:ascii="仿宋" w:eastAsia="仿宋" w:hAnsi="仿宋" w:cs="宋体" w:hint="eastAsia"/>
                <w:b/>
                <w:color w:val="000000"/>
                <w:kern w:val="0"/>
                <w:sz w:val="24"/>
              </w:rPr>
              <w:t>100分</w:t>
            </w:r>
          </w:p>
        </w:tc>
        <w:tc>
          <w:tcPr>
            <w:tcW w:w="1560" w:type="dxa"/>
            <w:tcBorders>
              <w:top w:val="single" w:sz="4" w:space="0" w:color="auto"/>
              <w:left w:val="single" w:sz="4" w:space="0" w:color="auto"/>
              <w:bottom w:val="single" w:sz="8" w:space="0" w:color="auto"/>
              <w:right w:val="single" w:sz="8" w:space="0" w:color="auto"/>
            </w:tcBorders>
            <w:shd w:val="clear" w:color="auto" w:fill="auto"/>
            <w:vAlign w:val="center"/>
          </w:tcPr>
          <w:p w:rsidR="00AB1168" w:rsidRDefault="00AB1168">
            <w:pPr>
              <w:widowControl/>
              <w:jc w:val="center"/>
              <w:rPr>
                <w:rFonts w:ascii="仿宋" w:eastAsia="仿宋" w:hAnsi="仿宋" w:cs="宋体"/>
                <w:b/>
                <w:color w:val="000000"/>
                <w:kern w:val="0"/>
                <w:sz w:val="24"/>
              </w:rPr>
            </w:pPr>
          </w:p>
        </w:tc>
      </w:tr>
    </w:tbl>
    <w:p w:rsidR="00AB1168" w:rsidRDefault="00AB1168">
      <w:pPr>
        <w:spacing w:line="560" w:lineRule="exact"/>
        <w:jc w:val="left"/>
        <w:rPr>
          <w:rFonts w:ascii="仿宋" w:eastAsia="仿宋" w:hAnsi="仿宋" w:cs="宋体"/>
          <w:kern w:val="0"/>
          <w:sz w:val="32"/>
          <w:szCs w:val="32"/>
        </w:rPr>
      </w:pPr>
    </w:p>
    <w:sectPr w:rsidR="00AB1168" w:rsidSect="00AB1168">
      <w:pgSz w:w="16838" w:h="11906" w:orient="landscape"/>
      <w:pgMar w:top="1803" w:right="1440" w:bottom="1803" w:left="1440" w:header="851" w:footer="992" w:gutter="0"/>
      <w:cols w:space="0"/>
      <w:docGrid w:type="lines"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70EE" w:rsidRDefault="005170EE" w:rsidP="00AB1168">
      <w:r>
        <w:separator/>
      </w:r>
    </w:p>
  </w:endnote>
  <w:endnote w:type="continuationSeparator" w:id="1">
    <w:p w:rsidR="005170EE" w:rsidRDefault="005170EE" w:rsidP="00AB11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embedRegular r:id="rId1" w:subsetted="1" w:fontKey="{4B666E63-DFA2-4F26-864B-D8826F0AE219}"/>
  </w:font>
  <w:font w:name="仿宋">
    <w:panose1 w:val="02010609060101010101"/>
    <w:charset w:val="86"/>
    <w:family w:val="modern"/>
    <w:pitch w:val="fixed"/>
    <w:sig w:usb0="800002BF" w:usb1="38CF7CFA" w:usb2="00000016" w:usb3="00000000" w:csb0="00040001" w:csb1="00000000"/>
    <w:embedRegular r:id="rId2" w:subsetted="1" w:fontKey="{D3A95AEC-8964-4068-B74B-19D396B9B362}"/>
    <w:embedBold r:id="rId3" w:subsetted="1" w:fontKey="{337AF628-838E-417C-A322-121172F9642A}"/>
  </w:font>
  <w:font w:name="黑体">
    <w:altName w:val="SimHei"/>
    <w:panose1 w:val="02010609060101010101"/>
    <w:charset w:val="86"/>
    <w:family w:val="modern"/>
    <w:pitch w:val="fixed"/>
    <w:sig w:usb0="800002BF" w:usb1="38CF7CFA" w:usb2="00000016" w:usb3="00000000" w:csb0="00040001" w:csb1="00000000"/>
    <w:embedRegular r:id="rId4" w:subsetted="1" w:fontKey="{C4FFB367-18FD-4F76-A422-48456DA1C616}"/>
  </w:font>
  <w:font w:name="等线">
    <w:altName w:val="DengXian"/>
    <w:panose1 w:val="02010600030101010101"/>
    <w:charset w:val="86"/>
    <w:family w:val="auto"/>
    <w:pitch w:val="variable"/>
    <w:sig w:usb0="A00002BF" w:usb1="38CF7CFA" w:usb2="00000016" w:usb3="00000000" w:csb0="0004000F" w:csb1="00000000"/>
    <w:embedRegular r:id="rId5" w:subsetted="1" w:fontKey="{8794B5FB-9D75-4108-8879-CEB8708A4592}"/>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31360"/>
    </w:sdtPr>
    <w:sdtContent>
      <w:p w:rsidR="00BE1998" w:rsidRDefault="00BE1998">
        <w:pPr>
          <w:pStyle w:val="a4"/>
          <w:jc w:val="center"/>
        </w:pPr>
        <w:r w:rsidRPr="00AB1168">
          <w:fldChar w:fldCharType="begin"/>
        </w:r>
        <w:r>
          <w:instrText xml:space="preserve"> PAGE   \* MERGEFORMAT </w:instrText>
        </w:r>
        <w:r w:rsidRPr="00AB1168">
          <w:fldChar w:fldCharType="separate"/>
        </w:r>
        <w:r w:rsidR="001C6250" w:rsidRPr="001C6250">
          <w:rPr>
            <w:noProof/>
            <w:lang w:val="zh-CN"/>
          </w:rPr>
          <w:t>12</w:t>
        </w:r>
        <w:r>
          <w:rPr>
            <w:lang w:val="zh-CN"/>
          </w:rPr>
          <w:fldChar w:fldCharType="end"/>
        </w:r>
      </w:p>
    </w:sdtContent>
  </w:sdt>
  <w:p w:rsidR="00BE1998" w:rsidRDefault="00BE199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70EE" w:rsidRDefault="005170EE" w:rsidP="00AB1168">
      <w:r>
        <w:separator/>
      </w:r>
    </w:p>
  </w:footnote>
  <w:footnote w:type="continuationSeparator" w:id="1">
    <w:p w:rsidR="005170EE" w:rsidRDefault="005170EE" w:rsidP="00AB11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DA4ECF"/>
    <w:multiLevelType w:val="singleLevel"/>
    <w:tmpl w:val="34DA4ECF"/>
    <w:lvl w:ilvl="0">
      <w:start w:val="4"/>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defaultTabStop w:val="420"/>
  <w:drawingGridVerticalSpacing w:val="159"/>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docVars>
    <w:docVar w:name="commondata" w:val="eyJoZGlkIjoiOTJhNWUzZjJkNGIwNzVhNDg3MzliZDg1NmZjZDk4YmQifQ=="/>
  </w:docVars>
  <w:rsids>
    <w:rsidRoot w:val="003E7ED0"/>
    <w:rsid w:val="FFAE0124"/>
    <w:rsid w:val="00044B59"/>
    <w:rsid w:val="001C0C05"/>
    <w:rsid w:val="001C6250"/>
    <w:rsid w:val="002E03C4"/>
    <w:rsid w:val="003E7ED0"/>
    <w:rsid w:val="004C607B"/>
    <w:rsid w:val="004D457E"/>
    <w:rsid w:val="00500F03"/>
    <w:rsid w:val="005170EE"/>
    <w:rsid w:val="005A625C"/>
    <w:rsid w:val="006A7A91"/>
    <w:rsid w:val="0078149F"/>
    <w:rsid w:val="007D5FA4"/>
    <w:rsid w:val="00906638"/>
    <w:rsid w:val="00943E94"/>
    <w:rsid w:val="0094486A"/>
    <w:rsid w:val="00A43EF6"/>
    <w:rsid w:val="00A956BD"/>
    <w:rsid w:val="00AB1168"/>
    <w:rsid w:val="00BA7B2E"/>
    <w:rsid w:val="00BE1998"/>
    <w:rsid w:val="00C00A5A"/>
    <w:rsid w:val="00C55987"/>
    <w:rsid w:val="00C63BCC"/>
    <w:rsid w:val="00D53EA5"/>
    <w:rsid w:val="00E97502"/>
    <w:rsid w:val="00EF5467"/>
    <w:rsid w:val="00F53B27"/>
    <w:rsid w:val="00F53B45"/>
    <w:rsid w:val="00FB7DBF"/>
    <w:rsid w:val="011E0236"/>
    <w:rsid w:val="01B14C06"/>
    <w:rsid w:val="047C774D"/>
    <w:rsid w:val="05ED4030"/>
    <w:rsid w:val="09095327"/>
    <w:rsid w:val="0BCD088E"/>
    <w:rsid w:val="0D735465"/>
    <w:rsid w:val="0E317DA1"/>
    <w:rsid w:val="0F7C2CF7"/>
    <w:rsid w:val="108A4E29"/>
    <w:rsid w:val="14227215"/>
    <w:rsid w:val="163A541B"/>
    <w:rsid w:val="178F70D4"/>
    <w:rsid w:val="1C531D65"/>
    <w:rsid w:val="1D8A2EC9"/>
    <w:rsid w:val="22234031"/>
    <w:rsid w:val="22242078"/>
    <w:rsid w:val="22665141"/>
    <w:rsid w:val="27182EAE"/>
    <w:rsid w:val="2AB12A34"/>
    <w:rsid w:val="2D352469"/>
    <w:rsid w:val="2DCD7AEB"/>
    <w:rsid w:val="2E6D7F83"/>
    <w:rsid w:val="2F520237"/>
    <w:rsid w:val="305466EE"/>
    <w:rsid w:val="33FD3B57"/>
    <w:rsid w:val="36780D5A"/>
    <w:rsid w:val="36794749"/>
    <w:rsid w:val="3A322081"/>
    <w:rsid w:val="3A667F7C"/>
    <w:rsid w:val="3C0A35A5"/>
    <w:rsid w:val="3D8449A1"/>
    <w:rsid w:val="3EF339AB"/>
    <w:rsid w:val="43FC569C"/>
    <w:rsid w:val="4572682B"/>
    <w:rsid w:val="477F0A9A"/>
    <w:rsid w:val="48F03833"/>
    <w:rsid w:val="4AA448D5"/>
    <w:rsid w:val="4C6D2226"/>
    <w:rsid w:val="4CA44B4F"/>
    <w:rsid w:val="4E321BC5"/>
    <w:rsid w:val="4EC93209"/>
    <w:rsid w:val="4FE16C4E"/>
    <w:rsid w:val="508876D5"/>
    <w:rsid w:val="51631477"/>
    <w:rsid w:val="51680191"/>
    <w:rsid w:val="56662D66"/>
    <w:rsid w:val="58CA3A63"/>
    <w:rsid w:val="5925136B"/>
    <w:rsid w:val="5BF11EBE"/>
    <w:rsid w:val="5CB431B0"/>
    <w:rsid w:val="5CF0207D"/>
    <w:rsid w:val="6089214B"/>
    <w:rsid w:val="616C7377"/>
    <w:rsid w:val="620F042E"/>
    <w:rsid w:val="62CD088D"/>
    <w:rsid w:val="64613BF3"/>
    <w:rsid w:val="6814375B"/>
    <w:rsid w:val="68B56040"/>
    <w:rsid w:val="69851E23"/>
    <w:rsid w:val="6A7E26E3"/>
    <w:rsid w:val="6B4C1BCE"/>
    <w:rsid w:val="705160B5"/>
    <w:rsid w:val="718D5813"/>
    <w:rsid w:val="71F2315E"/>
    <w:rsid w:val="725E7ADD"/>
    <w:rsid w:val="726913B4"/>
    <w:rsid w:val="73FB89CD"/>
    <w:rsid w:val="74362698"/>
    <w:rsid w:val="74F96852"/>
    <w:rsid w:val="75FA1BFE"/>
    <w:rsid w:val="77894387"/>
    <w:rsid w:val="7A804167"/>
    <w:rsid w:val="7B205002"/>
    <w:rsid w:val="7C5A5B4A"/>
    <w:rsid w:val="7DD86068"/>
    <w:rsid w:val="7E437A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168"/>
    <w:pPr>
      <w:widowControl w:val="0"/>
      <w:jc w:val="both"/>
    </w:pPr>
    <w:rPr>
      <w:kern w:val="2"/>
      <w:sz w:val="21"/>
    </w:rPr>
  </w:style>
  <w:style w:type="paragraph" w:styleId="1">
    <w:name w:val="heading 1"/>
    <w:next w:val="a"/>
    <w:qFormat/>
    <w:rsid w:val="00AB1168"/>
    <w:pPr>
      <w:keepNext/>
      <w:keepLines/>
      <w:spacing w:after="180" w:line="259" w:lineRule="auto"/>
      <w:ind w:left="651" w:hanging="10"/>
      <w:outlineLvl w:val="0"/>
    </w:pPr>
    <w:rPr>
      <w:rFonts w:ascii="微软雅黑" w:eastAsia="微软雅黑" w:cs="微软雅黑"/>
      <w:color w:val="000000"/>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qFormat/>
    <w:rsid w:val="00AB1168"/>
    <w:pPr>
      <w:spacing w:after="120"/>
    </w:pPr>
  </w:style>
  <w:style w:type="paragraph" w:styleId="a4">
    <w:name w:val="footer"/>
    <w:basedOn w:val="a"/>
    <w:link w:val="Char"/>
    <w:uiPriority w:val="99"/>
    <w:qFormat/>
    <w:rsid w:val="00AB1168"/>
    <w:pPr>
      <w:tabs>
        <w:tab w:val="center" w:pos="4153"/>
        <w:tab w:val="right" w:pos="8306"/>
      </w:tabs>
      <w:snapToGrid w:val="0"/>
      <w:jc w:val="left"/>
    </w:pPr>
    <w:rPr>
      <w:sz w:val="18"/>
    </w:rPr>
  </w:style>
  <w:style w:type="paragraph" w:styleId="a5">
    <w:name w:val="header"/>
    <w:basedOn w:val="a"/>
    <w:link w:val="Char0"/>
    <w:uiPriority w:val="99"/>
    <w:semiHidden/>
    <w:unhideWhenUsed/>
    <w:qFormat/>
    <w:rsid w:val="00AB1168"/>
    <w:pPr>
      <w:pBdr>
        <w:bottom w:val="single" w:sz="6" w:space="1" w:color="auto"/>
      </w:pBdr>
      <w:tabs>
        <w:tab w:val="center" w:pos="4153"/>
        <w:tab w:val="right" w:pos="8306"/>
      </w:tabs>
      <w:snapToGrid w:val="0"/>
      <w:jc w:val="center"/>
    </w:pPr>
    <w:rPr>
      <w:sz w:val="18"/>
      <w:szCs w:val="18"/>
    </w:rPr>
  </w:style>
  <w:style w:type="table" w:styleId="a6">
    <w:name w:val="Table Grid"/>
    <w:basedOn w:val="a1"/>
    <w:qFormat/>
    <w:rsid w:val="00AB116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脚 Char"/>
    <w:basedOn w:val="a0"/>
    <w:link w:val="a4"/>
    <w:uiPriority w:val="99"/>
    <w:qFormat/>
    <w:rsid w:val="00AB1168"/>
    <w:rPr>
      <w:rFonts w:ascii="Times New Roman" w:eastAsia="宋体" w:hAnsi="Times New Roman" w:cs="Times New Roman"/>
      <w:sz w:val="18"/>
      <w:szCs w:val="20"/>
    </w:rPr>
  </w:style>
  <w:style w:type="paragraph" w:styleId="a7">
    <w:name w:val="List Paragraph"/>
    <w:basedOn w:val="a"/>
    <w:uiPriority w:val="99"/>
    <w:qFormat/>
    <w:rsid w:val="00AB1168"/>
    <w:pPr>
      <w:ind w:firstLineChars="200" w:firstLine="420"/>
    </w:pPr>
    <w:rPr>
      <w:rFonts w:ascii="Calibri" w:hAnsi="Calibri"/>
    </w:rPr>
  </w:style>
  <w:style w:type="character" w:customStyle="1" w:styleId="Char0">
    <w:name w:val="页眉 Char"/>
    <w:basedOn w:val="a0"/>
    <w:link w:val="a5"/>
    <w:uiPriority w:val="99"/>
    <w:semiHidden/>
    <w:qFormat/>
    <w:rsid w:val="00AB1168"/>
    <w:rPr>
      <w:rFonts w:ascii="Times New Roman" w:eastAsia="宋体" w:hAnsi="Times New Roman" w:cs="Times New Roman"/>
      <w:kern w:val="2"/>
      <w:sz w:val="18"/>
      <w:szCs w:val="18"/>
    </w:rPr>
  </w:style>
  <w:style w:type="table" w:customStyle="1" w:styleId="TableNormal">
    <w:name w:val="Table Normal"/>
    <w:semiHidden/>
    <w:unhideWhenUsed/>
    <w:qFormat/>
    <w:rsid w:val="00AB1168"/>
    <w:tblPr>
      <w:tblCellMar>
        <w:top w:w="0" w:type="dxa"/>
        <w:left w:w="0" w:type="dxa"/>
        <w:bottom w:w="0" w:type="dxa"/>
        <w:right w:w="0" w:type="dxa"/>
      </w:tblCellMar>
    </w:tblPr>
  </w:style>
  <w:style w:type="paragraph" w:styleId="a8">
    <w:name w:val="Balloon Text"/>
    <w:basedOn w:val="a"/>
    <w:link w:val="Char1"/>
    <w:uiPriority w:val="99"/>
    <w:semiHidden/>
    <w:unhideWhenUsed/>
    <w:rsid w:val="00F53B27"/>
    <w:rPr>
      <w:sz w:val="18"/>
      <w:szCs w:val="18"/>
    </w:rPr>
  </w:style>
  <w:style w:type="character" w:customStyle="1" w:styleId="Char1">
    <w:name w:val="批注框文本 Char"/>
    <w:basedOn w:val="a0"/>
    <w:link w:val="a8"/>
    <w:uiPriority w:val="99"/>
    <w:semiHidden/>
    <w:rsid w:val="00F53B27"/>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445</TotalTime>
  <Pages>13</Pages>
  <Words>1150</Words>
  <Characters>6561</Characters>
  <Application>Microsoft Office Word</Application>
  <DocSecurity>0</DocSecurity>
  <Lines>54</Lines>
  <Paragraphs>15</Paragraphs>
  <ScaleCrop>false</ScaleCrop>
  <Company/>
  <LinksUpToDate>false</LinksUpToDate>
  <CharactersWithSpaces>7696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lenovo1</dc:creator>
  <cp:lastModifiedBy>len</cp:lastModifiedBy>
  <cp:revision>24</cp:revision>
  <cp:lastPrinted>2026-06-30T10:22:00Z</cp:lastPrinted>
  <dcterms:created xsi:type="dcterms:W3CDTF">2021-07-26T10:31:00Z</dcterms:created>
  <dcterms:modified xsi:type="dcterms:W3CDTF">2026-06-30T10:23:00Z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23BF04CFB7F51A7F5B383E6A148FDF61_43</vt:lpwstr>
  </property>
  <property fmtid="{D5CDD505-2E9C-101B-9397-08002B2CF9AE}" pid="4" name="KSOTemplateDocerSaveRecord">
    <vt:lpwstr>eyJoZGlkIjoiOTJhNWUzZjJkNGIwNzVhNDg3MzliZDg1NmZjZDk4YmQiLCJ1c2VySWQiOiIzMTAxMjQwMTkifQ==</vt:lpwstr>
  </property>
</Properties>
</file>