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b"/>
        <w:tblW w:w="0" w:type="auto"/>
        <w:tblLook w:val="04A0" w:firstRow="1" w:lastRow="0" w:firstColumn="1" w:lastColumn="0" w:noHBand="0" w:noVBand="1"/>
      </w:tblPr>
      <w:tblGrid>
        <w:gridCol w:w="10402"/>
      </w:tblGrid>
      <w:tr w:rsidR="00D33C55">
        <w:trPr>
          <w:trHeight w:val="3592"/>
        </w:trPr>
        <w:tc>
          <w:tcPr>
            <w:tcW w:w="10402" w:type="dxa"/>
            <w:tcBorders>
              <w:top w:val="nil"/>
              <w:left w:val="nil"/>
              <w:bottom w:val="nil"/>
              <w:right w:val="nil"/>
            </w:tcBorders>
          </w:tcPr>
          <w:p w:rsidR="00D33C55" w:rsidRDefault="00D33C55">
            <w:pPr>
              <w:pStyle w:val="a5"/>
              <w:spacing w:line="360" w:lineRule="auto"/>
              <w:rPr>
                <w:rFonts w:ascii="仿宋" w:eastAsia="仿宋" w:hAnsi="仿宋" w:cs="仿宋" w:hint="eastAsia"/>
                <w:b/>
                <w:bCs/>
                <w:color w:val="FF0000"/>
                <w:sz w:val="22"/>
                <w:szCs w:val="22"/>
              </w:rPr>
            </w:pPr>
          </w:p>
        </w:tc>
      </w:tr>
      <w:tr w:rsidR="00D33C55">
        <w:trPr>
          <w:trHeight w:val="4945"/>
        </w:trPr>
        <w:tc>
          <w:tcPr>
            <w:tcW w:w="10402" w:type="dxa"/>
            <w:tcBorders>
              <w:top w:val="nil"/>
              <w:left w:val="nil"/>
              <w:bottom w:val="nil"/>
              <w:right w:val="nil"/>
            </w:tcBorders>
          </w:tcPr>
          <w:p w:rsidR="00D33C55" w:rsidRDefault="00706D03">
            <w:pPr>
              <w:ind w:rightChars="129" w:right="284"/>
              <w:jc w:val="center"/>
              <w:rPr>
                <w:rFonts w:ascii="宋体" w:eastAsia="宋体" w:hAnsi="宋体" w:cs="宋体"/>
                <w:b/>
                <w:bCs/>
                <w:sz w:val="52"/>
                <w:szCs w:val="52"/>
                <w:lang w:val="en-US"/>
              </w:rPr>
            </w:pPr>
            <w:r>
              <w:rPr>
                <w:rFonts w:ascii="宋体" w:eastAsia="宋体" w:hAnsi="宋体" w:cs="宋体"/>
                <w:b/>
                <w:sz w:val="52"/>
              </w:rPr>
              <w:t>2025</w:t>
            </w:r>
            <w:r>
              <w:rPr>
                <w:rFonts w:ascii="宋体" w:eastAsia="宋体" w:hAnsi="宋体" w:cs="宋体"/>
                <w:b/>
                <w:sz w:val="52"/>
              </w:rPr>
              <w:t>年度南京市农业农村局部门决算公开</w:t>
            </w:r>
          </w:p>
        </w:tc>
      </w:tr>
    </w:tbl>
    <w:p w:rsidR="00D33C55" w:rsidRDefault="00D33C55">
      <w:pPr>
        <w:ind w:rightChars="129" w:right="284"/>
        <w:jc w:val="both"/>
        <w:rPr>
          <w:rFonts w:ascii="宋体" w:eastAsia="宋体" w:hAnsi="宋体" w:cs="宋体"/>
          <w:b/>
          <w:bCs/>
          <w:sz w:val="52"/>
          <w:szCs w:val="52"/>
        </w:rPr>
        <w:sectPr w:rsidR="00D33C55">
          <w:headerReference w:type="default" r:id="rId8"/>
          <w:headerReference w:type="first" r:id="rId9"/>
          <w:pgSz w:w="11906" w:h="16838"/>
          <w:pgMar w:top="1580" w:right="700" w:bottom="770" w:left="1020" w:header="170" w:footer="280" w:gutter="0"/>
          <w:cols w:space="720"/>
          <w:formProt w:val="0"/>
          <w:titlePg/>
          <w:docGrid w:linePitch="100"/>
        </w:sectPr>
      </w:pPr>
    </w:p>
    <w:p w:rsidR="00D33C55" w:rsidRDefault="00D33C55">
      <w:pPr>
        <w:pStyle w:val="a5"/>
        <w:spacing w:before="4"/>
        <w:rPr>
          <w:rFonts w:ascii="华文仿宋" w:eastAsia="华文仿宋" w:hAnsi="华文仿宋" w:cs="仿宋"/>
          <w:sz w:val="10"/>
        </w:rPr>
      </w:pPr>
    </w:p>
    <w:p w:rsidR="00D33C55" w:rsidRDefault="00706D03">
      <w:pPr>
        <w:pStyle w:val="2"/>
        <w:tabs>
          <w:tab w:val="left" w:pos="880"/>
        </w:tabs>
        <w:spacing w:line="718" w:lineRule="exact"/>
        <w:ind w:right="313"/>
        <w:rPr>
          <w:rFonts w:ascii="仿宋" w:eastAsia="仿宋" w:hAnsi="仿宋" w:cs="仿宋"/>
        </w:rPr>
      </w:pPr>
      <w:r>
        <w:rPr>
          <w:rFonts w:ascii="仿宋" w:eastAsia="仿宋" w:hAnsi="仿宋" w:cs="仿宋" w:hint="eastAsia"/>
          <w:b/>
          <w:bCs/>
        </w:rPr>
        <w:t>目</w:t>
      </w:r>
      <w:r>
        <w:rPr>
          <w:rFonts w:ascii="仿宋" w:eastAsia="仿宋" w:hAnsi="仿宋" w:cs="仿宋" w:hint="eastAsia"/>
          <w:b/>
          <w:bCs/>
        </w:rPr>
        <w:tab/>
      </w:r>
      <w:r>
        <w:rPr>
          <w:rFonts w:ascii="仿宋" w:eastAsia="仿宋" w:hAnsi="仿宋" w:cs="仿宋" w:hint="eastAsia"/>
          <w:b/>
          <w:bCs/>
        </w:rPr>
        <w:t>录</w:t>
      </w:r>
    </w:p>
    <w:p w:rsidR="00D33C55" w:rsidRDefault="00D33C55">
      <w:pPr>
        <w:pStyle w:val="a5"/>
        <w:spacing w:before="7"/>
        <w:rPr>
          <w:rFonts w:ascii="仿宋" w:eastAsia="仿宋" w:hAnsi="仿宋" w:cs="仿宋"/>
          <w:sz w:val="27"/>
        </w:rPr>
      </w:pPr>
    </w:p>
    <w:p w:rsidR="00D33C55" w:rsidRDefault="00706D03">
      <w:pPr>
        <w:pStyle w:val="a5"/>
        <w:spacing w:line="360" w:lineRule="auto"/>
        <w:ind w:leftChars="300" w:left="671" w:hanging="11"/>
        <w:jc w:val="both"/>
        <w:outlineLvl w:val="0"/>
        <w:rPr>
          <w:rFonts w:ascii="黑体" w:eastAsia="黑体" w:hAnsi="黑体" w:cs="黑体"/>
        </w:rPr>
      </w:pPr>
      <w:r>
        <w:rPr>
          <w:rFonts w:ascii="黑体" w:eastAsia="黑体" w:hAnsi="黑体" w:cs="黑体" w:hint="eastAsia"/>
        </w:rPr>
        <w:t>第一部分</w:t>
      </w:r>
      <w:r>
        <w:rPr>
          <w:rFonts w:ascii="黑体" w:eastAsia="黑体" w:hAnsi="黑体" w:cs="黑体" w:hint="eastAsia"/>
        </w:rPr>
        <w:t xml:space="preserve"> </w:t>
      </w:r>
      <w:r>
        <w:rPr>
          <w:rFonts w:ascii="黑体" w:eastAsia="黑体" w:hAnsi="黑体" w:cs="黑体" w:hint="eastAsia"/>
          <w:lang w:val="en-US"/>
        </w:rPr>
        <w:t>部门</w:t>
      </w:r>
      <w:r>
        <w:rPr>
          <w:rFonts w:ascii="黑体" w:eastAsia="黑体" w:hAnsi="黑体" w:cs="黑体" w:hint="eastAsia"/>
        </w:rPr>
        <w:t>概况</w:t>
      </w:r>
    </w:p>
    <w:p w:rsidR="00D33C55" w:rsidRDefault="00706D03">
      <w:pPr>
        <w:pStyle w:val="a5"/>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一、主要职能</w:t>
      </w:r>
    </w:p>
    <w:p w:rsidR="00D33C55" w:rsidRDefault="00706D03">
      <w:pPr>
        <w:pStyle w:val="a5"/>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二、</w:t>
      </w:r>
      <w:r>
        <w:rPr>
          <w:rFonts w:ascii="仿宋" w:eastAsia="仿宋" w:hAnsi="仿宋" w:cs="仿宋" w:hint="eastAsia"/>
          <w:lang w:val="en-US"/>
        </w:rPr>
        <w:t>部门</w:t>
      </w:r>
      <w:r>
        <w:rPr>
          <w:rFonts w:ascii="仿宋" w:eastAsia="仿宋" w:hAnsi="仿宋" w:cs="仿宋" w:hint="eastAsia"/>
        </w:rPr>
        <w:t>机构设置及决算单位构成情况</w:t>
      </w:r>
    </w:p>
    <w:p w:rsidR="00D33C55" w:rsidRDefault="00706D03">
      <w:pPr>
        <w:pStyle w:val="a5"/>
        <w:tabs>
          <w:tab w:val="left" w:pos="2249"/>
        </w:tabs>
        <w:spacing w:line="360" w:lineRule="auto"/>
        <w:ind w:leftChars="300" w:left="671" w:hanging="11"/>
        <w:jc w:val="both"/>
        <w:rPr>
          <w:rFonts w:ascii="仿宋" w:eastAsia="仿宋" w:hAnsi="仿宋" w:cs="仿宋"/>
        </w:rPr>
      </w:pPr>
      <w:r>
        <w:rPr>
          <w:rFonts w:ascii="仿宋" w:eastAsia="仿宋" w:hAnsi="仿宋" w:cs="仿宋" w:hint="eastAsia"/>
        </w:rPr>
        <w:t>三、</w:t>
      </w:r>
      <w:r>
        <w:rPr>
          <w:rFonts w:ascii="仿宋" w:eastAsia="仿宋" w:hAnsi="仿宋" w:cs="仿宋" w:hint="eastAsia"/>
        </w:rPr>
        <w:t>2025</w:t>
      </w:r>
      <w:r>
        <w:rPr>
          <w:rFonts w:ascii="仿宋" w:eastAsia="仿宋" w:hAnsi="仿宋" w:cs="仿宋" w:hint="eastAsia"/>
        </w:rPr>
        <w:t>年度主要工作完成情况</w:t>
      </w:r>
    </w:p>
    <w:p w:rsidR="00D33C55" w:rsidRDefault="00706D03">
      <w:pPr>
        <w:pStyle w:val="a5"/>
        <w:spacing w:line="360" w:lineRule="auto"/>
        <w:ind w:leftChars="300" w:left="671" w:hanging="11"/>
        <w:jc w:val="both"/>
        <w:rPr>
          <w:rFonts w:ascii="黑体" w:eastAsia="黑体" w:hAnsi="黑体" w:cs="黑体"/>
        </w:rPr>
      </w:pPr>
      <w:r>
        <w:rPr>
          <w:rFonts w:ascii="黑体" w:eastAsia="黑体" w:hAnsi="黑体" w:cs="黑体" w:hint="eastAsia"/>
          <w:lang w:val="en-US"/>
        </w:rPr>
        <w:t>第二部分</w:t>
      </w:r>
      <w:r>
        <w:rPr>
          <w:rFonts w:ascii="黑体" w:eastAsia="黑体" w:hAnsi="黑体" w:cs="黑体" w:hint="eastAsia"/>
          <w:lang w:val="en-US"/>
        </w:rPr>
        <w:t xml:space="preserve"> 2025</w:t>
      </w:r>
      <w:r>
        <w:rPr>
          <w:rFonts w:ascii="黑体" w:eastAsia="黑体" w:hAnsi="黑体" w:cs="黑体" w:hint="eastAsia"/>
          <w:lang w:val="en-US"/>
        </w:rPr>
        <w:t>年度</w:t>
      </w:r>
      <w:r>
        <w:rPr>
          <w:rFonts w:ascii="黑体" w:eastAsia="黑体" w:hAnsi="黑体" w:cs="黑体"/>
        </w:rPr>
        <w:t>部门决算表</w:t>
      </w:r>
    </w:p>
    <w:p w:rsidR="00D33C55" w:rsidRDefault="00706D03">
      <w:pPr>
        <w:pStyle w:val="a5"/>
        <w:spacing w:line="360" w:lineRule="auto"/>
        <w:ind w:leftChars="300" w:left="671" w:right="5774" w:hanging="11"/>
        <w:jc w:val="both"/>
        <w:rPr>
          <w:rFonts w:ascii="仿宋" w:eastAsia="仿宋" w:hAnsi="仿宋" w:cs="仿宋"/>
        </w:rPr>
      </w:pPr>
      <w:r>
        <w:rPr>
          <w:rFonts w:ascii="仿宋" w:eastAsia="仿宋" w:hAnsi="仿宋" w:cs="仿宋" w:hint="eastAsia"/>
          <w:spacing w:val="-2"/>
        </w:rPr>
        <w:t>一、收入支出决算总表</w:t>
      </w:r>
    </w:p>
    <w:p w:rsidR="00D33C55" w:rsidRDefault="00706D03">
      <w:pPr>
        <w:pStyle w:val="a5"/>
        <w:spacing w:line="360" w:lineRule="auto"/>
        <w:ind w:leftChars="300" w:left="671" w:right="5774" w:hanging="11"/>
        <w:jc w:val="both"/>
        <w:rPr>
          <w:rFonts w:ascii="仿宋" w:eastAsia="仿宋" w:hAnsi="仿宋" w:cs="仿宋"/>
        </w:rPr>
      </w:pPr>
      <w:r>
        <w:rPr>
          <w:rFonts w:ascii="仿宋" w:eastAsia="仿宋" w:hAnsi="仿宋" w:cs="仿宋" w:hint="eastAsia"/>
        </w:rPr>
        <w:t>二、收入决算表</w:t>
      </w:r>
    </w:p>
    <w:p w:rsidR="00D33C55" w:rsidRDefault="00706D03">
      <w:pPr>
        <w:pStyle w:val="a5"/>
        <w:spacing w:line="360" w:lineRule="auto"/>
        <w:ind w:leftChars="300" w:left="671" w:hanging="11"/>
        <w:jc w:val="both"/>
        <w:rPr>
          <w:rFonts w:ascii="仿宋" w:eastAsia="仿宋" w:hAnsi="仿宋" w:cs="仿宋"/>
        </w:rPr>
      </w:pPr>
      <w:r>
        <w:rPr>
          <w:rFonts w:ascii="仿宋" w:eastAsia="仿宋" w:hAnsi="仿宋" w:cs="仿宋" w:hint="eastAsia"/>
          <w:w w:val="95"/>
        </w:rPr>
        <w:t>三、支出决算表</w:t>
      </w:r>
    </w:p>
    <w:p w:rsidR="00D33C55" w:rsidRDefault="00706D03">
      <w:pPr>
        <w:pStyle w:val="a5"/>
        <w:spacing w:line="360" w:lineRule="auto"/>
        <w:ind w:leftChars="300" w:left="671" w:hanging="11"/>
        <w:jc w:val="both"/>
        <w:rPr>
          <w:rFonts w:ascii="仿宋" w:eastAsia="仿宋" w:hAnsi="仿宋" w:cs="仿宋"/>
        </w:rPr>
      </w:pPr>
      <w:r>
        <w:rPr>
          <w:rFonts w:ascii="仿宋" w:eastAsia="仿宋" w:hAnsi="仿宋" w:cs="仿宋" w:hint="eastAsia"/>
        </w:rPr>
        <w:t>四、财政拨款收入支出决算总表</w:t>
      </w:r>
    </w:p>
    <w:p w:rsidR="00D33C55" w:rsidRDefault="00706D03">
      <w:pPr>
        <w:pStyle w:val="a5"/>
        <w:spacing w:line="360" w:lineRule="auto"/>
        <w:ind w:leftChars="300" w:left="671" w:hanging="11"/>
        <w:jc w:val="both"/>
        <w:rPr>
          <w:rFonts w:ascii="仿宋" w:eastAsia="仿宋" w:hAnsi="仿宋" w:cs="仿宋"/>
        </w:rPr>
      </w:pPr>
      <w:r>
        <w:rPr>
          <w:rFonts w:ascii="仿宋" w:eastAsia="仿宋" w:hAnsi="仿宋" w:cs="仿宋" w:hint="eastAsia"/>
        </w:rPr>
        <w:t>五、财政拨款支出决算表（功能科目）</w:t>
      </w:r>
    </w:p>
    <w:p w:rsidR="00D33C55" w:rsidRDefault="00706D03">
      <w:pPr>
        <w:pStyle w:val="a5"/>
        <w:spacing w:line="360" w:lineRule="auto"/>
        <w:ind w:leftChars="300" w:left="671" w:right="2894" w:hanging="11"/>
        <w:jc w:val="both"/>
        <w:rPr>
          <w:rFonts w:ascii="仿宋" w:eastAsia="仿宋" w:hAnsi="仿宋" w:cs="仿宋"/>
        </w:rPr>
      </w:pPr>
      <w:r>
        <w:rPr>
          <w:rFonts w:ascii="仿宋" w:eastAsia="仿宋" w:hAnsi="仿宋" w:cs="仿宋" w:hint="eastAsia"/>
        </w:rPr>
        <w:t>六、财政拨款基本支出决算表（经济科目）</w:t>
      </w:r>
      <w:r>
        <w:rPr>
          <w:rFonts w:ascii="仿宋" w:eastAsia="仿宋" w:hAnsi="仿宋" w:cs="仿宋" w:hint="eastAsia"/>
        </w:rPr>
        <w:t xml:space="preserve"> </w:t>
      </w:r>
    </w:p>
    <w:p w:rsidR="00D33C55" w:rsidRDefault="00706D03">
      <w:pPr>
        <w:pStyle w:val="a5"/>
        <w:spacing w:line="360" w:lineRule="auto"/>
        <w:ind w:leftChars="300" w:left="671" w:right="2894" w:hanging="11"/>
        <w:jc w:val="both"/>
        <w:rPr>
          <w:rFonts w:ascii="仿宋" w:eastAsia="仿宋" w:hAnsi="仿宋" w:cs="仿宋"/>
        </w:rPr>
      </w:pPr>
      <w:r>
        <w:rPr>
          <w:rFonts w:ascii="仿宋" w:eastAsia="仿宋" w:hAnsi="仿宋" w:cs="仿宋" w:hint="eastAsia"/>
        </w:rPr>
        <w:t>七、一般公共预算支出决算表（功能科目）</w:t>
      </w:r>
    </w:p>
    <w:p w:rsidR="00D33C55" w:rsidRDefault="00706D03">
      <w:pPr>
        <w:pStyle w:val="a5"/>
        <w:spacing w:line="360" w:lineRule="auto"/>
        <w:ind w:leftChars="300" w:left="671" w:hanging="11"/>
        <w:jc w:val="both"/>
        <w:rPr>
          <w:rFonts w:ascii="仿宋" w:eastAsia="仿宋" w:hAnsi="仿宋" w:cs="仿宋"/>
        </w:rPr>
      </w:pPr>
      <w:r>
        <w:rPr>
          <w:rFonts w:ascii="仿宋" w:eastAsia="仿宋" w:hAnsi="仿宋" w:cs="仿宋" w:hint="eastAsia"/>
        </w:rPr>
        <w:t>八、一般公共预算基本支出决算表（经济科目）</w:t>
      </w:r>
    </w:p>
    <w:p w:rsidR="00D33C55" w:rsidRDefault="00706D03">
      <w:pPr>
        <w:pStyle w:val="a5"/>
        <w:spacing w:line="360" w:lineRule="auto"/>
        <w:ind w:leftChars="300" w:left="671" w:hanging="11"/>
        <w:jc w:val="both"/>
        <w:rPr>
          <w:rFonts w:ascii="仿宋" w:eastAsia="仿宋" w:hAnsi="仿宋" w:cs="仿宋"/>
        </w:rPr>
      </w:pPr>
      <w:r>
        <w:rPr>
          <w:rFonts w:ascii="仿宋" w:eastAsia="仿宋" w:hAnsi="仿宋" w:cs="仿宋" w:hint="eastAsia"/>
        </w:rPr>
        <w:t>九、</w:t>
      </w:r>
      <w:r>
        <w:rPr>
          <w:rFonts w:ascii="仿宋" w:eastAsia="仿宋" w:hAnsi="仿宋" w:cs="仿宋" w:hint="eastAsia"/>
          <w:lang w:val="en-US"/>
        </w:rPr>
        <w:t>财政拨款</w:t>
      </w:r>
      <w:r>
        <w:rPr>
          <w:rFonts w:ascii="仿宋" w:eastAsia="仿宋" w:hAnsi="仿宋" w:cs="仿宋" w:hint="eastAsia"/>
        </w:rPr>
        <w:t>“三公”经费、会议费、培训费支出决算表</w:t>
      </w:r>
    </w:p>
    <w:p w:rsidR="00D33C55" w:rsidRDefault="00706D03">
      <w:pPr>
        <w:pStyle w:val="a5"/>
        <w:spacing w:line="360" w:lineRule="auto"/>
        <w:ind w:leftChars="300" w:left="671" w:hanging="11"/>
        <w:jc w:val="both"/>
        <w:rPr>
          <w:rFonts w:ascii="仿宋" w:eastAsia="仿宋" w:hAnsi="仿宋" w:cs="仿宋"/>
        </w:rPr>
      </w:pPr>
      <w:r>
        <w:rPr>
          <w:rFonts w:ascii="仿宋" w:eastAsia="仿宋" w:hAnsi="仿宋" w:cs="仿宋" w:hint="eastAsia"/>
        </w:rPr>
        <w:t>十、政府性基金预算支出决算表</w:t>
      </w:r>
    </w:p>
    <w:p w:rsidR="00D33C55" w:rsidRDefault="00706D03">
      <w:pPr>
        <w:pStyle w:val="a5"/>
        <w:spacing w:line="360" w:lineRule="auto"/>
        <w:ind w:leftChars="300" w:left="671" w:right="2575" w:hanging="11"/>
        <w:jc w:val="both"/>
        <w:rPr>
          <w:rFonts w:ascii="仿宋" w:eastAsia="仿宋" w:hAnsi="仿宋" w:cs="仿宋"/>
          <w:lang w:val="en-US"/>
        </w:rPr>
      </w:pPr>
      <w:r>
        <w:rPr>
          <w:rFonts w:ascii="仿宋" w:eastAsia="仿宋" w:hAnsi="仿宋" w:cs="仿宋" w:hint="eastAsia"/>
        </w:rPr>
        <w:t>十一、</w:t>
      </w:r>
      <w:r>
        <w:rPr>
          <w:rFonts w:ascii="仿宋" w:eastAsia="仿宋" w:hAnsi="仿宋" w:cs="仿宋" w:hint="eastAsia"/>
          <w:lang w:val="en-US"/>
        </w:rPr>
        <w:t>国有资本经营预算支出决算表</w:t>
      </w:r>
    </w:p>
    <w:p w:rsidR="00D33C55" w:rsidRDefault="00706D03">
      <w:pPr>
        <w:pStyle w:val="a5"/>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二</w:t>
      </w:r>
      <w:r>
        <w:rPr>
          <w:rFonts w:ascii="仿宋" w:eastAsia="仿宋" w:hAnsi="仿宋" w:cs="仿宋" w:hint="eastAsia"/>
        </w:rPr>
        <w:t>、</w:t>
      </w:r>
      <w:r>
        <w:rPr>
          <w:rFonts w:ascii="仿宋" w:eastAsia="仿宋" w:hAnsi="仿宋" w:cs="仿宋" w:hint="eastAsia"/>
          <w:lang w:val="en-US"/>
        </w:rPr>
        <w:t>财政拨款</w:t>
      </w:r>
      <w:r>
        <w:rPr>
          <w:rFonts w:ascii="仿宋" w:eastAsia="仿宋" w:hAnsi="仿宋" w:cs="仿宋" w:hint="eastAsia"/>
        </w:rPr>
        <w:t>机关运行经费支出决算表</w:t>
      </w:r>
    </w:p>
    <w:p w:rsidR="00D33C55" w:rsidRDefault="00706D03">
      <w:pPr>
        <w:pStyle w:val="a5"/>
        <w:spacing w:line="360" w:lineRule="auto"/>
        <w:ind w:leftChars="300" w:left="671" w:right="2575" w:hanging="11"/>
        <w:jc w:val="both"/>
        <w:rPr>
          <w:rFonts w:ascii="仿宋" w:eastAsia="仿宋" w:hAnsi="仿宋" w:cs="仿宋"/>
        </w:rPr>
      </w:pPr>
      <w:r>
        <w:rPr>
          <w:rFonts w:ascii="仿宋" w:eastAsia="仿宋" w:hAnsi="仿宋" w:cs="仿宋" w:hint="eastAsia"/>
        </w:rPr>
        <w:t>十</w:t>
      </w:r>
      <w:r>
        <w:rPr>
          <w:rFonts w:ascii="仿宋" w:eastAsia="仿宋" w:hAnsi="仿宋" w:cs="仿宋" w:hint="eastAsia"/>
          <w:lang w:val="en-US"/>
        </w:rPr>
        <w:t>三</w:t>
      </w:r>
      <w:r>
        <w:rPr>
          <w:rFonts w:ascii="仿宋" w:eastAsia="仿宋" w:hAnsi="仿宋" w:cs="仿宋" w:hint="eastAsia"/>
        </w:rPr>
        <w:t>、政府采购支出决算表</w:t>
      </w:r>
    </w:p>
    <w:p w:rsidR="00D33C55" w:rsidRDefault="00706D03">
      <w:pPr>
        <w:pStyle w:val="a5"/>
        <w:spacing w:line="360" w:lineRule="auto"/>
        <w:ind w:leftChars="300" w:left="671" w:hanging="11"/>
        <w:jc w:val="both"/>
        <w:rPr>
          <w:rFonts w:ascii="黑体" w:eastAsia="黑体" w:hAnsi="黑体" w:cs="黑体"/>
          <w:lang w:val="en-US"/>
        </w:rPr>
      </w:pPr>
      <w:r>
        <w:rPr>
          <w:rFonts w:ascii="黑体" w:eastAsia="黑体" w:hAnsi="黑体" w:cs="黑体" w:hint="eastAsia"/>
          <w:lang w:val="en-US"/>
        </w:rPr>
        <w:t>第三部分</w:t>
      </w:r>
      <w:r>
        <w:rPr>
          <w:rFonts w:ascii="黑体" w:eastAsia="黑体" w:hAnsi="黑体" w:cs="黑体" w:hint="eastAsia"/>
          <w:lang w:val="en-US"/>
        </w:rPr>
        <w:t xml:space="preserve"> 2025</w:t>
      </w:r>
      <w:r>
        <w:rPr>
          <w:rFonts w:ascii="黑体" w:eastAsia="黑体" w:hAnsi="黑体" w:cs="黑体" w:hint="eastAsia"/>
          <w:lang w:val="en-US"/>
        </w:rPr>
        <w:t>年度</w:t>
      </w:r>
      <w:r>
        <w:rPr>
          <w:rFonts w:ascii="黑体" w:eastAsia="黑体" w:hAnsi="黑体" w:cs="黑体"/>
        </w:rPr>
        <w:t>部门决算情况说明</w:t>
      </w:r>
    </w:p>
    <w:p w:rsidR="00D33C55" w:rsidRDefault="00706D03">
      <w:pPr>
        <w:pStyle w:val="a5"/>
        <w:spacing w:line="360" w:lineRule="auto"/>
        <w:ind w:leftChars="300" w:left="671" w:hanging="11"/>
        <w:jc w:val="both"/>
        <w:rPr>
          <w:rFonts w:ascii="仿宋" w:eastAsia="仿宋" w:hAnsi="仿宋" w:cs="仿宋"/>
          <w:b/>
          <w:bCs/>
          <w:color w:val="000000"/>
          <w:sz w:val="30"/>
          <w:szCs w:val="30"/>
          <w:lang w:val="en-US" w:bidi="ar"/>
        </w:rPr>
      </w:pPr>
      <w:r>
        <w:rPr>
          <w:rFonts w:ascii="黑体" w:eastAsia="黑体" w:hAnsi="黑体" w:cs="黑体" w:hint="eastAsia"/>
          <w:lang w:val="en-US"/>
        </w:rPr>
        <w:t>第四部分</w:t>
      </w:r>
      <w:r>
        <w:rPr>
          <w:rFonts w:ascii="黑体" w:eastAsia="黑体" w:hAnsi="黑体" w:cs="黑体" w:hint="eastAsia"/>
          <w:lang w:val="en-US"/>
        </w:rPr>
        <w:t xml:space="preserve"> </w:t>
      </w:r>
      <w:r>
        <w:rPr>
          <w:rFonts w:ascii="黑体" w:eastAsia="黑体" w:hAnsi="黑体" w:cs="黑体" w:hint="eastAsia"/>
          <w:lang w:val="en-US"/>
        </w:rPr>
        <w:t>名词解释</w:t>
      </w:r>
    </w:p>
    <w:p w:rsidR="00D33C55" w:rsidRDefault="00D33C55">
      <w:pPr>
        <w:pStyle w:val="a5"/>
        <w:spacing w:line="235" w:lineRule="auto"/>
        <w:ind w:leftChars="300" w:left="669" w:right="2414" w:hanging="9"/>
        <w:jc w:val="both"/>
        <w:rPr>
          <w:rFonts w:ascii="仿宋" w:eastAsia="仿宋" w:hAnsi="仿宋" w:cs="仿宋"/>
        </w:rPr>
        <w:sectPr w:rsidR="00D33C55">
          <w:footerReference w:type="default" r:id="rId10"/>
          <w:pgSz w:w="11906" w:h="16838"/>
          <w:pgMar w:top="1580" w:right="700" w:bottom="770" w:left="1020" w:header="283" w:footer="280" w:gutter="0"/>
          <w:pgNumType w:fmt="numberInDash" w:start="1"/>
          <w:cols w:space="720"/>
          <w:formProt w:val="0"/>
          <w:docGrid w:linePitch="100"/>
        </w:sectPr>
      </w:pPr>
    </w:p>
    <w:p w:rsidR="00D33C55" w:rsidRDefault="00D33C55">
      <w:pPr>
        <w:pStyle w:val="a5"/>
        <w:spacing w:before="1"/>
        <w:rPr>
          <w:rFonts w:ascii="华文仿宋" w:eastAsia="华文仿宋" w:hAnsi="华文仿宋" w:cs="仿宋"/>
          <w:sz w:val="14"/>
        </w:rPr>
      </w:pPr>
    </w:p>
    <w:p w:rsidR="00D33C55" w:rsidRDefault="00706D03">
      <w:pPr>
        <w:pStyle w:val="4"/>
        <w:tabs>
          <w:tab w:val="left" w:pos="4395"/>
        </w:tabs>
        <w:spacing w:line="606" w:lineRule="exact"/>
        <w:ind w:rightChars="229" w:right="504"/>
        <w:rPr>
          <w:rFonts w:ascii="宋体" w:eastAsia="宋体" w:hAnsi="宋体" w:cs="宋体"/>
          <w:b/>
          <w:bCs/>
        </w:rPr>
      </w:pPr>
      <w:r>
        <w:rPr>
          <w:rFonts w:ascii="宋体" w:eastAsia="宋体" w:hAnsi="宋体" w:cs="宋体" w:hint="eastAsia"/>
          <w:b/>
          <w:bCs/>
        </w:rPr>
        <w:t>第一部分</w:t>
      </w:r>
      <w:r>
        <w:rPr>
          <w:rFonts w:ascii="宋体" w:eastAsia="宋体" w:hAnsi="宋体" w:cs="宋体" w:hint="eastAsia"/>
          <w:b/>
          <w:bCs/>
          <w:lang w:val="en-US"/>
        </w:rPr>
        <w:t xml:space="preserve"> </w:t>
      </w:r>
      <w:r>
        <w:rPr>
          <w:rFonts w:ascii="宋体" w:eastAsia="宋体" w:hAnsi="宋体" w:cs="宋体" w:hint="eastAsia"/>
          <w:b/>
          <w:bCs/>
        </w:rPr>
        <w:t>部门概况</w:t>
      </w:r>
    </w:p>
    <w:p w:rsidR="00D33C55" w:rsidRDefault="00D33C55">
      <w:pPr>
        <w:ind w:rightChars="229" w:right="504"/>
        <w:jc w:val="both"/>
      </w:pPr>
    </w:p>
    <w:p w:rsidR="00D33C55" w:rsidRDefault="00706D03">
      <w:pPr>
        <w:pStyle w:val="a5"/>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一、主要职能</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市农业农村局负责贯彻落实中央关于</w:t>
      </w:r>
      <w:r>
        <w:rPr>
          <w:rFonts w:ascii="仿宋" w:eastAsia="仿宋" w:hAnsi="仿宋" w:cs="仿宋"/>
        </w:rPr>
        <w:t>“</w:t>
      </w:r>
      <w:r>
        <w:rPr>
          <w:rFonts w:ascii="仿宋" w:eastAsia="仿宋" w:hAnsi="仿宋" w:cs="仿宋"/>
        </w:rPr>
        <w:t>三农</w:t>
      </w:r>
      <w:r>
        <w:rPr>
          <w:rFonts w:ascii="仿宋" w:eastAsia="仿宋" w:hAnsi="仿宋" w:cs="仿宋"/>
        </w:rPr>
        <w:t>”</w:t>
      </w:r>
      <w:r>
        <w:rPr>
          <w:rFonts w:ascii="仿宋" w:eastAsia="仿宋" w:hAnsi="仿宋" w:cs="仿宋"/>
        </w:rPr>
        <w:t>工作的方针政策和省委、市委的决策部署，在履行职责过程中坚持和加强党对</w:t>
      </w:r>
      <w:r>
        <w:rPr>
          <w:rFonts w:ascii="仿宋" w:eastAsia="仿宋" w:hAnsi="仿宋" w:cs="仿宋"/>
        </w:rPr>
        <w:t>“</w:t>
      </w:r>
      <w:r>
        <w:rPr>
          <w:rFonts w:ascii="仿宋" w:eastAsia="仿宋" w:hAnsi="仿宋" w:cs="仿宋"/>
        </w:rPr>
        <w:t>三农</w:t>
      </w:r>
      <w:r>
        <w:rPr>
          <w:rFonts w:ascii="仿宋" w:eastAsia="仿宋" w:hAnsi="仿宋" w:cs="仿宋"/>
        </w:rPr>
        <w:t>”</w:t>
      </w:r>
      <w:r>
        <w:rPr>
          <w:rFonts w:ascii="仿宋" w:eastAsia="仿宋" w:hAnsi="仿宋" w:cs="仿宋"/>
        </w:rPr>
        <w:t>工作的集中统一领导。主要职责是：</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w:t>
      </w:r>
      <w:proofErr w:type="gramStart"/>
      <w:r>
        <w:rPr>
          <w:rFonts w:ascii="仿宋" w:eastAsia="仿宋" w:hAnsi="仿宋" w:cs="仿宋"/>
        </w:rPr>
        <w:t>一</w:t>
      </w:r>
      <w:proofErr w:type="gramEnd"/>
      <w:r>
        <w:rPr>
          <w:rFonts w:ascii="仿宋" w:eastAsia="仿宋" w:hAnsi="仿宋" w:cs="仿宋"/>
        </w:rPr>
        <w:t>)</w:t>
      </w:r>
      <w:r>
        <w:rPr>
          <w:rFonts w:ascii="仿宋" w:eastAsia="仿宋" w:hAnsi="仿宋" w:cs="仿宋"/>
        </w:rPr>
        <w:t>贯彻落实</w:t>
      </w:r>
      <w:r>
        <w:rPr>
          <w:rFonts w:ascii="仿宋" w:eastAsia="仿宋" w:hAnsi="仿宋" w:cs="仿宋"/>
        </w:rPr>
        <w:t>“</w:t>
      </w:r>
      <w:r>
        <w:rPr>
          <w:rFonts w:ascii="仿宋" w:eastAsia="仿宋" w:hAnsi="仿宋" w:cs="仿宋"/>
        </w:rPr>
        <w:t>三农</w:t>
      </w:r>
      <w:r>
        <w:rPr>
          <w:rFonts w:ascii="仿宋" w:eastAsia="仿宋" w:hAnsi="仿宋" w:cs="仿宋"/>
        </w:rPr>
        <w:t>”</w:t>
      </w:r>
      <w:r>
        <w:rPr>
          <w:rFonts w:ascii="仿宋" w:eastAsia="仿宋" w:hAnsi="仿宋" w:cs="仿宋"/>
        </w:rPr>
        <w:t>工作发展战略，统筹研究和组织实施</w:t>
      </w:r>
      <w:r>
        <w:rPr>
          <w:rFonts w:ascii="仿宋" w:eastAsia="仿宋" w:hAnsi="仿宋" w:cs="仿宋"/>
        </w:rPr>
        <w:t>“</w:t>
      </w:r>
      <w:r>
        <w:rPr>
          <w:rFonts w:ascii="仿宋" w:eastAsia="仿宋" w:hAnsi="仿宋" w:cs="仿宋"/>
        </w:rPr>
        <w:t>三农</w:t>
      </w:r>
      <w:r>
        <w:rPr>
          <w:rFonts w:ascii="仿宋" w:eastAsia="仿宋" w:hAnsi="仿宋" w:cs="仿宋"/>
        </w:rPr>
        <w:t>”</w:t>
      </w:r>
      <w:r>
        <w:rPr>
          <w:rFonts w:ascii="仿宋" w:eastAsia="仿宋" w:hAnsi="仿宋" w:cs="仿宋"/>
        </w:rPr>
        <w:t>工作发展战略、中长期规划、重大政策。组织起草农业农村有关地方性法规、规章草案，组织实施农业综合行政执法工作。参与涉农财税、价格、收储、金融保险、进出口等政策制定。承担市委农村工作领导小组具体工作。</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w:t>
      </w:r>
      <w:r>
        <w:rPr>
          <w:rFonts w:ascii="仿宋" w:eastAsia="仿宋" w:hAnsi="仿宋" w:cs="仿宋"/>
        </w:rPr>
        <w:t>二</w:t>
      </w:r>
      <w:r>
        <w:rPr>
          <w:rFonts w:ascii="仿宋" w:eastAsia="仿宋" w:hAnsi="仿宋" w:cs="仿宋"/>
        </w:rPr>
        <w:t>)</w:t>
      </w:r>
      <w:r>
        <w:rPr>
          <w:rFonts w:ascii="仿宋" w:eastAsia="仿宋" w:hAnsi="仿宋" w:cs="仿宋"/>
        </w:rPr>
        <w:t>统筹推动发展农村社会事业、农村公共服务、农村文化、农村基础设施和乡村治理。牵头组织改善农村人居环境。指导农村精神文明和优秀农耕文化建设。指导农业行业安全生产工作。</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w:t>
      </w:r>
      <w:r>
        <w:rPr>
          <w:rFonts w:ascii="仿宋" w:eastAsia="仿宋" w:hAnsi="仿宋" w:cs="仿宋"/>
        </w:rPr>
        <w:t>三</w:t>
      </w:r>
      <w:r>
        <w:rPr>
          <w:rFonts w:ascii="仿宋" w:eastAsia="仿宋" w:hAnsi="仿宋" w:cs="仿宋"/>
        </w:rPr>
        <w:t>)</w:t>
      </w:r>
      <w:r>
        <w:rPr>
          <w:rFonts w:ascii="仿宋" w:eastAsia="仿宋" w:hAnsi="仿宋" w:cs="仿宋"/>
        </w:rPr>
        <w:t>拟订深化农村经济体制改革和巩固完善农村基本经营制度的政策。负责农民承包地、农村宅基地改革和管理有关工作。负责农村集体产权制度改革，指导农村集体经济组织发展和集体资产管理工作。指导农民合作经济组织、农业社会化服务体系、新型农业经营主体建设与发展。</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w:t>
      </w:r>
      <w:r>
        <w:rPr>
          <w:rFonts w:ascii="仿宋" w:eastAsia="仿宋" w:hAnsi="仿宋" w:cs="仿宋"/>
        </w:rPr>
        <w:t>四</w:t>
      </w:r>
      <w:r>
        <w:rPr>
          <w:rFonts w:ascii="仿宋" w:eastAsia="仿宋" w:hAnsi="仿宋" w:cs="仿宋"/>
        </w:rPr>
        <w:t>)</w:t>
      </w:r>
      <w:r>
        <w:rPr>
          <w:rFonts w:ascii="仿宋" w:eastAsia="仿宋" w:hAnsi="仿宋" w:cs="仿宋"/>
        </w:rPr>
        <w:t>指导乡村特色产业、农产品加工业、休闲农业发展工作。提出促进大宗农产品流通建议，培育、</w:t>
      </w:r>
      <w:r>
        <w:rPr>
          <w:rFonts w:ascii="仿宋" w:eastAsia="仿宋" w:hAnsi="仿宋" w:cs="仿宋"/>
        </w:rPr>
        <w:t>保护农业品牌。发布农业农村经济信息，监测分析农业农村经济运行。承担农业统计和农业农村信息化有关工作。</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lastRenderedPageBreak/>
        <w:t>(</w:t>
      </w:r>
      <w:r>
        <w:rPr>
          <w:rFonts w:ascii="仿宋" w:eastAsia="仿宋" w:hAnsi="仿宋" w:cs="仿宋"/>
        </w:rPr>
        <w:t>五</w:t>
      </w:r>
      <w:r>
        <w:rPr>
          <w:rFonts w:ascii="仿宋" w:eastAsia="仿宋" w:hAnsi="仿宋" w:cs="仿宋"/>
        </w:rPr>
        <w:t>)</w:t>
      </w:r>
      <w:r>
        <w:rPr>
          <w:rFonts w:ascii="仿宋" w:eastAsia="仿宋" w:hAnsi="仿宋" w:cs="仿宋"/>
        </w:rPr>
        <w:t>负责种植业、畜牧业、渔业、农业机械化等农业各产业工作的监督管理。指导粮食等农产品生产。组织构建现代农业产业体系、生产体系、经营体系，指导种植业、畜牧业、渔业、农机标准化生产及建设工作。负责渔政渔港监督管理。</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w:t>
      </w:r>
      <w:r>
        <w:rPr>
          <w:rFonts w:ascii="仿宋" w:eastAsia="仿宋" w:hAnsi="仿宋" w:cs="仿宋"/>
        </w:rPr>
        <w:t>六</w:t>
      </w:r>
      <w:r>
        <w:rPr>
          <w:rFonts w:ascii="仿宋" w:eastAsia="仿宋" w:hAnsi="仿宋" w:cs="仿宋"/>
        </w:rPr>
        <w:t>)</w:t>
      </w:r>
      <w:r>
        <w:rPr>
          <w:rFonts w:ascii="仿宋" w:eastAsia="仿宋" w:hAnsi="仿宋" w:cs="仿宋"/>
        </w:rPr>
        <w:t>负责农产品质</w:t>
      </w:r>
      <w:proofErr w:type="gramStart"/>
      <w:r>
        <w:rPr>
          <w:rFonts w:ascii="仿宋" w:eastAsia="仿宋" w:hAnsi="仿宋" w:cs="仿宋"/>
        </w:rPr>
        <w:t>量安全</w:t>
      </w:r>
      <w:proofErr w:type="gramEnd"/>
      <w:r>
        <w:rPr>
          <w:rFonts w:ascii="仿宋" w:eastAsia="仿宋" w:hAnsi="仿宋" w:cs="仿宋"/>
        </w:rPr>
        <w:t>监督管理。组织开展农产品质</w:t>
      </w:r>
      <w:proofErr w:type="gramStart"/>
      <w:r>
        <w:rPr>
          <w:rFonts w:ascii="仿宋" w:eastAsia="仿宋" w:hAnsi="仿宋" w:cs="仿宋"/>
        </w:rPr>
        <w:t>量安全</w:t>
      </w:r>
      <w:proofErr w:type="gramEnd"/>
      <w:r>
        <w:rPr>
          <w:rFonts w:ascii="仿宋" w:eastAsia="仿宋" w:hAnsi="仿宋" w:cs="仿宋"/>
        </w:rPr>
        <w:t>监测、追溯、风险评估。参与制定农产品质</w:t>
      </w:r>
      <w:proofErr w:type="gramStart"/>
      <w:r>
        <w:rPr>
          <w:rFonts w:ascii="仿宋" w:eastAsia="仿宋" w:hAnsi="仿宋" w:cs="仿宋"/>
        </w:rPr>
        <w:t>量安全</w:t>
      </w:r>
      <w:proofErr w:type="gramEnd"/>
      <w:r>
        <w:rPr>
          <w:rFonts w:ascii="仿宋" w:eastAsia="仿宋" w:hAnsi="仿宋" w:cs="仿宋"/>
        </w:rPr>
        <w:t>地方标准并会同有关部门组织实施。指导农业检验检测体系建设。依法实施符合安全标准的农产品认证和监督</w:t>
      </w:r>
      <w:r>
        <w:rPr>
          <w:rFonts w:ascii="仿宋" w:eastAsia="仿宋" w:hAnsi="仿宋" w:cs="仿宋"/>
        </w:rPr>
        <w:t>管理。</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w:t>
      </w:r>
      <w:r>
        <w:rPr>
          <w:rFonts w:ascii="仿宋" w:eastAsia="仿宋" w:hAnsi="仿宋" w:cs="仿宋"/>
        </w:rPr>
        <w:t>七</w:t>
      </w:r>
      <w:r>
        <w:rPr>
          <w:rFonts w:ascii="仿宋" w:eastAsia="仿宋" w:hAnsi="仿宋" w:cs="仿宋"/>
        </w:rPr>
        <w:t>)</w:t>
      </w:r>
      <w:r>
        <w:rPr>
          <w:rFonts w:ascii="仿宋" w:eastAsia="仿宋" w:hAnsi="仿宋" w:cs="仿宋"/>
        </w:rPr>
        <w:t>组织农业资源区划工作。指导农用地、渔业水域以及农业生物物种资源的保护与管理。负责水生野生动植物保护、耕地及永久基本农田质量保护工作。推进农业绿色发展，指导农产品产地环境管理和农业清洁生产及农产品禁止生产区划定。推广休耕轮作提高耕地地力，促进农业可持续发展。指导设施农业、生态循环农业、节水农业发展以及农村能源综合开发利用、农业生物质产业发展。负责外来物种管理相关工作。</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w:t>
      </w:r>
      <w:r>
        <w:rPr>
          <w:rFonts w:ascii="仿宋" w:eastAsia="仿宋" w:hAnsi="仿宋" w:cs="仿宋"/>
        </w:rPr>
        <w:t>八</w:t>
      </w:r>
      <w:r>
        <w:rPr>
          <w:rFonts w:ascii="仿宋" w:eastAsia="仿宋" w:hAnsi="仿宋" w:cs="仿宋"/>
        </w:rPr>
        <w:t>)</w:t>
      </w:r>
      <w:r>
        <w:rPr>
          <w:rFonts w:ascii="仿宋" w:eastAsia="仿宋" w:hAnsi="仿宋" w:cs="仿宋"/>
        </w:rPr>
        <w:t>负责有关农业生产资料和农业投入品的监督管理。组织协调农业生产资料市场体系建设，拟订有关农业生产资料地方标准并监督实施。制定</w:t>
      </w:r>
      <w:r>
        <w:rPr>
          <w:rFonts w:ascii="仿宋" w:eastAsia="仿宋" w:hAnsi="仿宋" w:cs="仿宋"/>
        </w:rPr>
        <w:t>兽药质量、兽药残留限量和残留检测方法地方标准并按规定实施。组织兽医</w:t>
      </w:r>
      <w:proofErr w:type="gramStart"/>
      <w:r>
        <w:rPr>
          <w:rFonts w:ascii="仿宋" w:eastAsia="仿宋" w:hAnsi="仿宋" w:cs="仿宋"/>
        </w:rPr>
        <w:t>医</w:t>
      </w:r>
      <w:proofErr w:type="gramEnd"/>
      <w:r>
        <w:rPr>
          <w:rFonts w:ascii="仿宋" w:eastAsia="仿宋" w:hAnsi="仿宋" w:cs="仿宋"/>
        </w:rPr>
        <w:t>政、兽药药政药检工作，负责执业兽医和畜禽屠宰行业管理。依法开展农作物种子（种苗）、种畜禽、肥料、农药、兽药、饲料及饲料添加剂的相关许可与监督管理。指导和督办重大农业案件的处理。</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w:t>
      </w:r>
      <w:r>
        <w:rPr>
          <w:rFonts w:ascii="仿宋" w:eastAsia="仿宋" w:hAnsi="仿宋" w:cs="仿宋"/>
        </w:rPr>
        <w:t>九</w:t>
      </w:r>
      <w:r>
        <w:rPr>
          <w:rFonts w:ascii="仿宋" w:eastAsia="仿宋" w:hAnsi="仿宋" w:cs="仿宋"/>
        </w:rPr>
        <w:t>)</w:t>
      </w:r>
      <w:r>
        <w:rPr>
          <w:rFonts w:ascii="仿宋" w:eastAsia="仿宋" w:hAnsi="仿宋" w:cs="仿宋"/>
        </w:rPr>
        <w:t>负责农业防灾减灾、农作物重大病虫害防治、重大动物</w:t>
      </w:r>
      <w:r>
        <w:rPr>
          <w:rFonts w:ascii="仿宋" w:eastAsia="仿宋" w:hAnsi="仿宋" w:cs="仿宋"/>
        </w:rPr>
        <w:lastRenderedPageBreak/>
        <w:t>疾病防控。组织重大动植物疫病的防控工作，发布疫情并组织扑灭。指导动植物防疫检疫体系建设。组织种子、化肥等救灾物资储备和调拨，提出生产救灾资金安排建议，指导紧急救灾和灾后恢复生产。</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w:t>
      </w:r>
      <w:r>
        <w:rPr>
          <w:rFonts w:ascii="仿宋" w:eastAsia="仿宋" w:hAnsi="仿宋" w:cs="仿宋"/>
        </w:rPr>
        <w:t>十</w:t>
      </w:r>
      <w:r>
        <w:rPr>
          <w:rFonts w:ascii="仿宋" w:eastAsia="仿宋" w:hAnsi="仿宋" w:cs="仿宋"/>
        </w:rPr>
        <w:t>)</w:t>
      </w:r>
      <w:r>
        <w:rPr>
          <w:rFonts w:ascii="仿宋" w:eastAsia="仿宋" w:hAnsi="仿宋" w:cs="仿宋"/>
        </w:rPr>
        <w:t>负责农业投资管理和农业领域</w:t>
      </w:r>
      <w:r>
        <w:rPr>
          <w:rFonts w:ascii="仿宋" w:eastAsia="仿宋" w:hAnsi="仿宋" w:cs="仿宋"/>
        </w:rPr>
        <w:t>投资促进工作。提出农业投融资体制机制改革建议。编制市级投资安排的农业投资项目规划，提出农业投资规模和方向、扶持农业农村发展市级财政项目的建议，按照规定权限审批农业投资项目，负责农业投资项目资金安排和监督管理。组织实施中央和省投资安排的农业投资项目。</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十一）推动农业科技体制改革和农业科技创新体系建设。指导农业生产技术体系和农技推广体系建设，组织开展农业领域的高新技术和应用技术研究、科技成果转化和技术推广。负责农业转基因生物安全监督管理和农业植物新品种保护。</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（十二）指导农业农村人才工作。拟订农业农村人才队伍</w:t>
      </w:r>
      <w:r>
        <w:rPr>
          <w:rFonts w:ascii="仿宋" w:eastAsia="仿宋" w:hAnsi="仿宋" w:cs="仿宋"/>
        </w:rPr>
        <w:t>建设规划并组织实施，指导农业教育和农业职业技能开发，指导新型职业农民培育、农业科技人才培养和农村实用人才培训工作。</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（十三）承办农业涉外事务工作，组织开展农业对外交流、农业利用外资、农业</w:t>
      </w:r>
      <w:r>
        <w:rPr>
          <w:rFonts w:ascii="仿宋" w:eastAsia="仿宋" w:hAnsi="仿宋" w:cs="仿宋"/>
        </w:rPr>
        <w:t>“</w:t>
      </w:r>
      <w:r>
        <w:rPr>
          <w:rFonts w:ascii="仿宋" w:eastAsia="仿宋" w:hAnsi="仿宋" w:cs="仿宋"/>
        </w:rPr>
        <w:t>走出去</w:t>
      </w:r>
      <w:r>
        <w:rPr>
          <w:rFonts w:ascii="仿宋" w:eastAsia="仿宋" w:hAnsi="仿宋" w:cs="仿宋"/>
        </w:rPr>
        <w:t>”</w:t>
      </w:r>
      <w:r>
        <w:rPr>
          <w:rFonts w:ascii="仿宋" w:eastAsia="仿宋" w:hAnsi="仿宋" w:cs="仿宋"/>
        </w:rPr>
        <w:t>、农业贸易促进和有关国际经济技术交流合作，指导开放型农业发展，协助实施农业援外项目。</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（十四）完成市委、市政府交办的其他任务。</w:t>
      </w:r>
    </w:p>
    <w:p w:rsidR="00D33C55" w:rsidRDefault="00706D03">
      <w:pPr>
        <w:pStyle w:val="a5"/>
        <w:spacing w:line="360" w:lineRule="auto"/>
        <w:ind w:leftChars="200" w:left="440" w:rightChars="229" w:right="504" w:firstLine="658"/>
        <w:jc w:val="both"/>
        <w:outlineLvl w:val="1"/>
        <w:rPr>
          <w:rFonts w:ascii="黑体" w:eastAsia="黑体" w:hAnsi="黑体" w:cs="黑体"/>
          <w:lang w:val="en-US"/>
        </w:rPr>
      </w:pPr>
      <w:r>
        <w:rPr>
          <w:rFonts w:ascii="黑体" w:eastAsia="黑体" w:hAnsi="黑体" w:cs="黑体" w:hint="eastAsia"/>
        </w:rPr>
        <w:t>二、</w:t>
      </w:r>
      <w:r>
        <w:rPr>
          <w:rFonts w:ascii="黑体" w:eastAsia="黑体" w:hAnsi="黑体" w:cs="黑体" w:hint="eastAsia"/>
          <w:lang w:val="en-US"/>
        </w:rPr>
        <w:t>部门</w:t>
      </w:r>
      <w:r>
        <w:rPr>
          <w:rFonts w:ascii="黑体" w:eastAsia="黑体" w:hAnsi="黑体" w:cs="黑体" w:hint="eastAsia"/>
        </w:rPr>
        <w:t>机构设置及决算单位构成情况</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1.</w:t>
      </w:r>
      <w:r>
        <w:rPr>
          <w:rFonts w:ascii="仿宋" w:eastAsia="仿宋" w:hAnsi="仿宋" w:cs="仿宋" w:hint="eastAsia"/>
        </w:rPr>
        <w:t>根据</w:t>
      </w:r>
      <w:r>
        <w:rPr>
          <w:rFonts w:ascii="仿宋" w:eastAsia="仿宋" w:hAnsi="仿宋" w:cs="仿宋" w:hint="eastAsia"/>
          <w:lang w:val="en-US"/>
        </w:rPr>
        <w:t>部门</w:t>
      </w:r>
      <w:r>
        <w:rPr>
          <w:rFonts w:ascii="仿宋" w:eastAsia="仿宋" w:hAnsi="仿宋" w:cs="仿宋" w:hint="eastAsia"/>
        </w:rPr>
        <w:t>职责分工</w:t>
      </w:r>
      <w:r>
        <w:rPr>
          <w:rFonts w:ascii="仿宋" w:eastAsia="仿宋" w:hAnsi="仿宋" w:cs="仿宋" w:hint="eastAsia"/>
          <w:lang w:val="en-US"/>
        </w:rPr>
        <w:t>，</w:t>
      </w:r>
      <w:r>
        <w:rPr>
          <w:rFonts w:ascii="仿宋" w:eastAsia="仿宋" w:hAnsi="仿宋" w:cs="仿宋"/>
        </w:rPr>
        <w:t>本部门内设机构包括市委农办综合处、市委农办督查考核处、办公室、行政审批服务处、政策与改革处、</w:t>
      </w:r>
      <w:r>
        <w:rPr>
          <w:rFonts w:ascii="仿宋" w:eastAsia="仿宋" w:hAnsi="仿宋" w:cs="仿宋"/>
        </w:rPr>
        <w:lastRenderedPageBreak/>
        <w:t>发展规划处、计划财务处、乡村产业发展处</w:t>
      </w:r>
      <w:r>
        <w:rPr>
          <w:rFonts w:ascii="仿宋" w:eastAsia="仿宋" w:hAnsi="仿宋" w:cs="仿宋"/>
        </w:rPr>
        <w:t>、农村社会事业促进处、开发指导处、农村合作经济指导处、市场与信息化处、科技教育处、农产品质</w:t>
      </w:r>
      <w:proofErr w:type="gramStart"/>
      <w:r>
        <w:rPr>
          <w:rFonts w:ascii="仿宋" w:eastAsia="仿宋" w:hAnsi="仿宋" w:cs="仿宋"/>
        </w:rPr>
        <w:t>量安全</w:t>
      </w:r>
      <w:proofErr w:type="gramEnd"/>
      <w:r>
        <w:rPr>
          <w:rFonts w:ascii="仿宋" w:eastAsia="仿宋" w:hAnsi="仿宋" w:cs="仿宋"/>
        </w:rPr>
        <w:t>监管处、种植业管理处、蔬菜园艺处、畜牧与畜禽屠宰管理处、兽医兽药处、渔业处、渔政监督管理处、农业装备处、种业管理处、农业生态建设与农村能源处、农田建设管理处、耕地质量保护处、组织人事处、机关党委、离退休干部处。本部门下属单位包括：南京市农业技术推广站，南京市耕地质量保护站，南京市植保植检站，南京市种子管理站，南京市畜牧兽医站</w:t>
      </w:r>
      <w:r>
        <w:rPr>
          <w:rFonts w:ascii="仿宋" w:eastAsia="仿宋" w:hAnsi="仿宋" w:cs="仿宋"/>
        </w:rPr>
        <w:t>(</w:t>
      </w:r>
      <w:r>
        <w:rPr>
          <w:rFonts w:ascii="仿宋" w:eastAsia="仿宋" w:hAnsi="仿宋" w:cs="仿宋"/>
        </w:rPr>
        <w:t>南京市动物疫病预防控制中心），南京市农业装备推广中心，南京市农业综合行政执法总队，南京市</w:t>
      </w:r>
      <w:r>
        <w:rPr>
          <w:rFonts w:ascii="仿宋" w:eastAsia="仿宋" w:hAnsi="仿宋" w:cs="仿宋"/>
        </w:rPr>
        <w:t>农产品质量检测院，南京市农村合作经济经营管理站，南京市农业农村经济发展研究中心，南京市水产科学研究所，南京市蔬菜科学研究所，南京市畜牧家禽科学研究所。</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hint="eastAsia"/>
          <w:lang w:val="en-US"/>
        </w:rPr>
        <w:t>2.</w:t>
      </w:r>
      <w:r>
        <w:rPr>
          <w:rFonts w:ascii="仿宋" w:eastAsia="仿宋" w:hAnsi="仿宋" w:cs="仿宋" w:hint="eastAsia"/>
        </w:rPr>
        <w:t>从决算单位构成看</w:t>
      </w:r>
      <w:r>
        <w:rPr>
          <w:rFonts w:ascii="仿宋" w:eastAsia="仿宋" w:hAnsi="仿宋" w:cs="仿宋" w:hint="eastAsia"/>
          <w:lang w:val="en-US"/>
        </w:rPr>
        <w:t>，</w:t>
      </w:r>
      <w:r>
        <w:rPr>
          <w:rFonts w:ascii="仿宋" w:eastAsia="仿宋" w:hAnsi="仿宋" w:cs="仿宋" w:hint="eastAsia"/>
        </w:rPr>
        <w:t>纳入本</w:t>
      </w:r>
      <w:r>
        <w:rPr>
          <w:rFonts w:ascii="仿宋" w:eastAsia="仿宋" w:hAnsi="仿宋" w:cs="仿宋" w:hint="eastAsia"/>
          <w:lang w:val="en-US"/>
        </w:rPr>
        <w:t>部门</w:t>
      </w:r>
      <w:r>
        <w:rPr>
          <w:rFonts w:ascii="仿宋" w:eastAsia="仿宋" w:hAnsi="仿宋" w:cs="仿宋" w:hint="eastAsia"/>
          <w:lang w:val="en-US"/>
        </w:rPr>
        <w:t>2025</w:t>
      </w:r>
      <w:r>
        <w:rPr>
          <w:rFonts w:ascii="仿宋" w:eastAsia="仿宋" w:hAnsi="仿宋" w:cs="仿宋" w:hint="eastAsia"/>
        </w:rPr>
        <w:t>年</w:t>
      </w:r>
      <w:r>
        <w:rPr>
          <w:rFonts w:ascii="仿宋" w:eastAsia="仿宋" w:hAnsi="仿宋" w:cs="仿宋" w:hint="eastAsia"/>
          <w:lang w:val="en-US"/>
        </w:rPr>
        <w:t>部门</w:t>
      </w:r>
      <w:r>
        <w:rPr>
          <w:rFonts w:ascii="仿宋" w:eastAsia="仿宋" w:hAnsi="仿宋" w:cs="仿宋" w:hint="eastAsia"/>
        </w:rPr>
        <w:t>汇总决算编制范围的预算单位共计</w:t>
      </w:r>
      <w:r>
        <w:rPr>
          <w:rFonts w:ascii="仿宋" w:eastAsia="仿宋" w:hAnsi="仿宋" w:cs="仿宋"/>
        </w:rPr>
        <w:t>14</w:t>
      </w:r>
      <w:r>
        <w:rPr>
          <w:rFonts w:ascii="仿宋" w:eastAsia="仿宋" w:hAnsi="仿宋" w:cs="仿宋" w:hint="eastAsia"/>
        </w:rPr>
        <w:t>家</w:t>
      </w:r>
      <w:r>
        <w:rPr>
          <w:rFonts w:ascii="仿宋" w:eastAsia="仿宋" w:hAnsi="仿宋" w:cs="仿宋" w:hint="eastAsia"/>
          <w:lang w:val="en-US"/>
        </w:rPr>
        <w:t>，</w:t>
      </w:r>
      <w:r>
        <w:rPr>
          <w:rFonts w:ascii="仿宋" w:eastAsia="仿宋" w:hAnsi="仿宋" w:cs="仿宋" w:hint="eastAsia"/>
        </w:rPr>
        <w:t>具体包括</w:t>
      </w:r>
      <w:r>
        <w:rPr>
          <w:rFonts w:ascii="仿宋" w:eastAsia="仿宋" w:hAnsi="仿宋" w:cs="仿宋" w:hint="eastAsia"/>
          <w:lang w:val="en-US"/>
        </w:rPr>
        <w:t>：</w:t>
      </w:r>
      <w:r>
        <w:rPr>
          <w:rFonts w:ascii="仿宋" w:eastAsia="仿宋" w:hAnsi="仿宋" w:cs="仿宋"/>
        </w:rPr>
        <w:t>南京市农业农村局本级，南京市农业技术推广站，南京市耕地质量保护站，南京市植保植检站，南京市种子管理站，南京市畜牧兽医站</w:t>
      </w:r>
      <w:r>
        <w:rPr>
          <w:rFonts w:ascii="仿宋" w:eastAsia="仿宋" w:hAnsi="仿宋" w:cs="仿宋"/>
        </w:rPr>
        <w:t>(</w:t>
      </w:r>
      <w:r>
        <w:rPr>
          <w:rFonts w:ascii="仿宋" w:eastAsia="仿宋" w:hAnsi="仿宋" w:cs="仿宋"/>
        </w:rPr>
        <w:t>南京市动物疫病预防控制中心），南京市农业装备推广中心，南京市农业综合行政执法总队，南京市农产品质量检测院，南京市农村合作经济经营管理站，南京市农业农村经济发展研究中心，南京市水产科学研究所，南京市蔬菜科学研究所，南京市畜牧家禽科学研究所。</w:t>
      </w:r>
    </w:p>
    <w:p w:rsidR="00D33C55" w:rsidRDefault="00706D03">
      <w:pPr>
        <w:pStyle w:val="a5"/>
        <w:spacing w:line="360" w:lineRule="auto"/>
        <w:ind w:leftChars="200" w:left="440" w:rightChars="229" w:right="504" w:firstLine="658"/>
        <w:jc w:val="both"/>
        <w:outlineLvl w:val="1"/>
        <w:rPr>
          <w:rFonts w:ascii="黑体" w:eastAsia="黑体" w:hAnsi="黑体" w:cs="黑体"/>
        </w:rPr>
      </w:pPr>
      <w:r>
        <w:rPr>
          <w:rFonts w:ascii="黑体" w:eastAsia="黑体" w:hAnsi="黑体" w:cs="黑体" w:hint="eastAsia"/>
        </w:rPr>
        <w:t>三、</w:t>
      </w:r>
      <w:r>
        <w:rPr>
          <w:rFonts w:ascii="黑体" w:eastAsia="黑体" w:hAnsi="黑体" w:cs="黑体" w:hint="eastAsia"/>
        </w:rPr>
        <w:t>2025</w:t>
      </w:r>
      <w:r>
        <w:rPr>
          <w:rFonts w:ascii="黑体" w:eastAsia="黑体" w:hAnsi="黑体" w:cs="黑体" w:hint="eastAsia"/>
        </w:rPr>
        <w:t>年度主要工作完成情况</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2025</w:t>
      </w:r>
      <w:r>
        <w:rPr>
          <w:rFonts w:ascii="仿宋" w:eastAsia="仿宋" w:hAnsi="仿宋" w:cs="仿宋"/>
        </w:rPr>
        <w:t>年，市农业农村局持续深刻领悟全面贯彻习近平总书记</w:t>
      </w:r>
      <w:r>
        <w:rPr>
          <w:rFonts w:ascii="仿宋" w:eastAsia="仿宋" w:hAnsi="仿宋" w:cs="仿宋"/>
        </w:rPr>
        <w:lastRenderedPageBreak/>
        <w:t>关于</w:t>
      </w:r>
      <w:r>
        <w:rPr>
          <w:rFonts w:ascii="仿宋" w:eastAsia="仿宋" w:hAnsi="仿宋" w:cs="仿宋"/>
        </w:rPr>
        <w:t>“</w:t>
      </w:r>
      <w:r>
        <w:rPr>
          <w:rFonts w:ascii="仿宋" w:eastAsia="仿宋" w:hAnsi="仿宋" w:cs="仿宋"/>
        </w:rPr>
        <w:t>三农</w:t>
      </w:r>
      <w:r>
        <w:rPr>
          <w:rFonts w:ascii="仿宋" w:eastAsia="仿宋" w:hAnsi="仿宋" w:cs="仿宋"/>
        </w:rPr>
        <w:t>”</w:t>
      </w:r>
      <w:r>
        <w:rPr>
          <w:rFonts w:ascii="仿宋" w:eastAsia="仿宋" w:hAnsi="仿宋" w:cs="仿宋"/>
        </w:rPr>
        <w:t>工作重要论述和重要指示批示精神，深入学习贯彻党的二</w:t>
      </w:r>
      <w:r>
        <w:rPr>
          <w:rFonts w:ascii="仿宋" w:eastAsia="仿宋" w:hAnsi="仿宋" w:cs="仿宋"/>
        </w:rPr>
        <w:t>十届三中全会精神，牢牢把握</w:t>
      </w:r>
      <w:r>
        <w:rPr>
          <w:rFonts w:ascii="仿宋" w:eastAsia="仿宋" w:hAnsi="仿宋" w:cs="仿宋"/>
        </w:rPr>
        <w:t>“</w:t>
      </w:r>
      <w:r>
        <w:rPr>
          <w:rFonts w:ascii="仿宋" w:eastAsia="仿宋" w:hAnsi="仿宋" w:cs="仿宋"/>
        </w:rPr>
        <w:t>三农</w:t>
      </w:r>
      <w:r>
        <w:rPr>
          <w:rFonts w:ascii="仿宋" w:eastAsia="仿宋" w:hAnsi="仿宋" w:cs="仿宋"/>
        </w:rPr>
        <w:t>”</w:t>
      </w:r>
      <w:r>
        <w:rPr>
          <w:rFonts w:ascii="仿宋" w:eastAsia="仿宋" w:hAnsi="仿宋" w:cs="仿宋"/>
        </w:rPr>
        <w:t>工作重中之</w:t>
      </w:r>
      <w:proofErr w:type="gramStart"/>
      <w:r>
        <w:rPr>
          <w:rFonts w:ascii="仿宋" w:eastAsia="仿宋" w:hAnsi="仿宋" w:cs="仿宋"/>
        </w:rPr>
        <w:t>重战略</w:t>
      </w:r>
      <w:proofErr w:type="gramEnd"/>
      <w:r>
        <w:rPr>
          <w:rFonts w:ascii="仿宋" w:eastAsia="仿宋" w:hAnsi="仿宋" w:cs="仿宋"/>
        </w:rPr>
        <w:t>地位，纵深推进中央、省市最新决策部署和建设都市现代农业强市重点</w:t>
      </w:r>
      <w:proofErr w:type="gramStart"/>
      <w:r>
        <w:rPr>
          <w:rFonts w:ascii="仿宋" w:eastAsia="仿宋" w:hAnsi="仿宋" w:cs="仿宋"/>
        </w:rPr>
        <w:t>工作落细落实</w:t>
      </w:r>
      <w:proofErr w:type="gramEnd"/>
      <w:r>
        <w:rPr>
          <w:rFonts w:ascii="仿宋" w:eastAsia="仿宋" w:hAnsi="仿宋" w:cs="仿宋"/>
        </w:rPr>
        <w:t>。</w:t>
      </w:r>
    </w:p>
    <w:p w:rsidR="00D33C55" w:rsidRDefault="00706D03">
      <w:pPr>
        <w:pStyle w:val="a5"/>
        <w:spacing w:line="360" w:lineRule="auto"/>
        <w:ind w:leftChars="200" w:left="440" w:rightChars="229" w:right="504" w:firstLine="658"/>
        <w:jc w:val="both"/>
        <w:rPr>
          <w:rFonts w:ascii="仿宋" w:eastAsia="仿宋" w:hAnsi="仿宋" w:cs="仿宋"/>
        </w:rPr>
      </w:pPr>
      <w:r>
        <w:rPr>
          <w:rFonts w:ascii="仿宋" w:eastAsia="仿宋" w:hAnsi="仿宋" w:cs="仿宋"/>
        </w:rPr>
        <w:t>一是聚焦稳面积提单产，提升重要农产品生产能力。坚决扛</w:t>
      </w:r>
      <w:proofErr w:type="gramStart"/>
      <w:r>
        <w:rPr>
          <w:rFonts w:ascii="仿宋" w:eastAsia="仿宋" w:hAnsi="仿宋" w:cs="仿宋"/>
        </w:rPr>
        <w:t>牢粮食</w:t>
      </w:r>
      <w:proofErr w:type="gramEnd"/>
      <w:r>
        <w:rPr>
          <w:rFonts w:ascii="仿宋" w:eastAsia="仿宋" w:hAnsi="仿宋" w:cs="仿宋"/>
        </w:rPr>
        <w:t>安全政治责任，全力围绕稳粮食、扩油料、提单产、增效益，抓实抓细各项粮食生产措施落实，推进单产提升示范片项目，确保完成省下粮食生产目标任务。推动优质稻米产业链高质量发展，以品牌建设带动提升种粮效益。深入推进高标准农田新建和改造提升项目建设。</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二是聚焦链式驱动牵引，提升都市现代农业质效。充分发挥</w:t>
      </w:r>
      <w:r>
        <w:rPr>
          <w:rFonts w:ascii="仿宋" w:eastAsia="仿宋" w:hAnsi="仿宋" w:cs="仿宋"/>
        </w:rPr>
        <w:t>“</w:t>
      </w:r>
      <w:r>
        <w:rPr>
          <w:rFonts w:ascii="仿宋" w:eastAsia="仿宋" w:hAnsi="仿宋" w:cs="仿宋"/>
        </w:rPr>
        <w:t>科金兴农服务日</w:t>
      </w:r>
      <w:r>
        <w:rPr>
          <w:rFonts w:ascii="仿宋" w:eastAsia="仿宋" w:hAnsi="仿宋" w:cs="仿宋"/>
        </w:rPr>
        <w:t>”</w:t>
      </w:r>
      <w:r>
        <w:rPr>
          <w:rFonts w:ascii="仿宋" w:eastAsia="仿宋" w:hAnsi="仿宋" w:cs="仿宋"/>
        </w:rPr>
        <w:t>平台作用，</w:t>
      </w:r>
      <w:proofErr w:type="gramStart"/>
      <w:r>
        <w:rPr>
          <w:rFonts w:ascii="仿宋" w:eastAsia="仿宋" w:hAnsi="仿宋" w:cs="仿宋"/>
        </w:rPr>
        <w:t>深化科金</w:t>
      </w:r>
      <w:proofErr w:type="gramEnd"/>
      <w:r>
        <w:rPr>
          <w:rFonts w:ascii="仿宋" w:eastAsia="仿宋" w:hAnsi="仿宋" w:cs="仿宋"/>
        </w:rPr>
        <w:t>政、种养加、农文旅等有机衔接，加快发展短链鲜食、休闲农业、文化创意等乡村</w:t>
      </w:r>
      <w:r>
        <w:rPr>
          <w:rFonts w:ascii="仿宋" w:eastAsia="仿宋" w:hAnsi="仿宋" w:cs="仿宋"/>
        </w:rPr>
        <w:t>“</w:t>
      </w:r>
      <w:r>
        <w:rPr>
          <w:rFonts w:ascii="仿宋" w:eastAsia="仿宋" w:hAnsi="仿宋" w:cs="仿宋"/>
        </w:rPr>
        <w:t>接二连三</w:t>
      </w:r>
      <w:r>
        <w:rPr>
          <w:rFonts w:ascii="仿宋" w:eastAsia="仿宋" w:hAnsi="仿宋" w:cs="仿宋"/>
        </w:rPr>
        <w:t>”</w:t>
      </w:r>
      <w:r>
        <w:rPr>
          <w:rFonts w:ascii="仿宋" w:eastAsia="仿宋" w:hAnsi="仿宋" w:cs="仿宋"/>
        </w:rPr>
        <w:t>融合产业。创新农产品营销服务，支持</w:t>
      </w:r>
      <w:r>
        <w:rPr>
          <w:rFonts w:ascii="仿宋" w:eastAsia="仿宋" w:hAnsi="仿宋" w:cs="仿宋"/>
        </w:rPr>
        <w:t>“</w:t>
      </w:r>
      <w:r>
        <w:rPr>
          <w:rFonts w:ascii="仿宋" w:eastAsia="仿宋" w:hAnsi="仿宋" w:cs="仿宋"/>
        </w:rPr>
        <w:t>食礼秦淮</w:t>
      </w:r>
      <w:r>
        <w:rPr>
          <w:rFonts w:ascii="仿宋" w:eastAsia="仿宋" w:hAnsi="仿宋" w:cs="仿宋"/>
        </w:rPr>
        <w:t>”</w:t>
      </w:r>
      <w:r>
        <w:rPr>
          <w:rFonts w:ascii="仿宋" w:eastAsia="仿宋" w:hAnsi="仿宋" w:cs="仿宋"/>
        </w:rPr>
        <w:t>等市级农产品</w:t>
      </w:r>
      <w:proofErr w:type="gramStart"/>
      <w:r>
        <w:rPr>
          <w:rFonts w:ascii="仿宋" w:eastAsia="仿宋" w:hAnsi="仿宋" w:cs="仿宋"/>
        </w:rPr>
        <w:t>品牌专项</w:t>
      </w:r>
      <w:proofErr w:type="gramEnd"/>
      <w:r>
        <w:rPr>
          <w:rFonts w:ascii="仿宋" w:eastAsia="仿宋" w:hAnsi="仿宋" w:cs="仿宋"/>
        </w:rPr>
        <w:t>建设，</w:t>
      </w:r>
      <w:r>
        <w:rPr>
          <w:rFonts w:ascii="仿宋" w:eastAsia="仿宋" w:hAnsi="仿宋" w:cs="仿宋"/>
        </w:rPr>
        <w:t>“</w:t>
      </w:r>
      <w:r>
        <w:rPr>
          <w:rFonts w:ascii="仿宋" w:eastAsia="仿宋" w:hAnsi="仿宋" w:cs="仿宋"/>
        </w:rPr>
        <w:t>食礼秦淮</w:t>
      </w:r>
      <w:r>
        <w:rPr>
          <w:rFonts w:ascii="仿宋" w:eastAsia="仿宋" w:hAnsi="仿宋" w:cs="仿宋"/>
        </w:rPr>
        <w:t>”</w:t>
      </w:r>
      <w:r>
        <w:rPr>
          <w:rFonts w:ascii="仿宋" w:eastAsia="仿宋" w:hAnsi="仿宋" w:cs="仿宋"/>
        </w:rPr>
        <w:t>品牌授权主体</w:t>
      </w:r>
      <w:proofErr w:type="gramStart"/>
      <w:r>
        <w:rPr>
          <w:rFonts w:ascii="仿宋" w:eastAsia="仿宋" w:hAnsi="仿宋" w:cs="仿宋"/>
        </w:rPr>
        <w:t>数量超</w:t>
      </w:r>
      <w:proofErr w:type="gramEnd"/>
      <w:r>
        <w:rPr>
          <w:rFonts w:ascii="仿宋" w:eastAsia="仿宋" w:hAnsi="仿宋" w:cs="仿宋"/>
        </w:rPr>
        <w:t>240</w:t>
      </w:r>
      <w:r>
        <w:rPr>
          <w:rFonts w:ascii="仿宋" w:eastAsia="仿宋" w:hAnsi="仿宋" w:cs="仿宋"/>
        </w:rPr>
        <w:t>家。组织开展产销推介活动</w:t>
      </w:r>
      <w:r>
        <w:rPr>
          <w:rFonts w:ascii="仿宋" w:eastAsia="仿宋" w:hAnsi="仿宋" w:cs="仿宋"/>
        </w:rPr>
        <w:t>40</w:t>
      </w:r>
      <w:r>
        <w:rPr>
          <w:rFonts w:ascii="仿宋" w:eastAsia="仿宋" w:hAnsi="仿宋" w:cs="仿宋"/>
        </w:rPr>
        <w:t>余场。</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三是聚焦强农惠农富农，提升现代农业经营水平。推动新型农业经营主体提振发展，提升农业经营主体财务管理水平，打造区域性镇</w:t>
      </w:r>
      <w:proofErr w:type="gramStart"/>
      <w:r>
        <w:rPr>
          <w:rFonts w:ascii="仿宋" w:eastAsia="仿宋" w:hAnsi="仿宋" w:cs="仿宋"/>
        </w:rPr>
        <w:t>街农业</w:t>
      </w:r>
      <w:proofErr w:type="gramEnd"/>
      <w:r>
        <w:rPr>
          <w:rFonts w:ascii="仿宋" w:eastAsia="仿宋" w:hAnsi="仿宋" w:cs="仿宋"/>
        </w:rPr>
        <w:t>农村综合服务中心。持续推进农村金融服务创新，新增</w:t>
      </w:r>
      <w:r>
        <w:rPr>
          <w:rFonts w:ascii="仿宋" w:eastAsia="仿宋" w:hAnsi="仿宋" w:cs="仿宋"/>
        </w:rPr>
        <w:t>“</w:t>
      </w:r>
      <w:r>
        <w:rPr>
          <w:rFonts w:ascii="仿宋" w:eastAsia="仿宋" w:hAnsi="仿宋" w:cs="仿宋"/>
        </w:rPr>
        <w:t>金陵惠农贷</w:t>
      </w:r>
      <w:r>
        <w:rPr>
          <w:rFonts w:ascii="仿宋" w:eastAsia="仿宋" w:hAnsi="仿宋" w:cs="仿宋"/>
        </w:rPr>
        <w:t>”“</w:t>
      </w:r>
      <w:r>
        <w:rPr>
          <w:rFonts w:ascii="仿宋" w:eastAsia="仿宋" w:hAnsi="仿宋" w:cs="仿宋"/>
        </w:rPr>
        <w:t>金陵农担贷</w:t>
      </w:r>
      <w:r>
        <w:rPr>
          <w:rFonts w:ascii="仿宋" w:eastAsia="仿宋" w:hAnsi="仿宋" w:cs="仿宋"/>
        </w:rPr>
        <w:t>”</w:t>
      </w:r>
      <w:r>
        <w:rPr>
          <w:rFonts w:ascii="仿宋" w:eastAsia="仿宋" w:hAnsi="仿宋" w:cs="仿宋"/>
        </w:rPr>
        <w:t>投放，</w:t>
      </w:r>
      <w:proofErr w:type="gramStart"/>
      <w:r>
        <w:rPr>
          <w:rFonts w:ascii="仿宋" w:eastAsia="仿宋" w:hAnsi="仿宋" w:cs="仿宋"/>
        </w:rPr>
        <w:t>惠及新型</w:t>
      </w:r>
      <w:proofErr w:type="gramEnd"/>
      <w:r>
        <w:rPr>
          <w:rFonts w:ascii="仿宋" w:eastAsia="仿宋" w:hAnsi="仿宋" w:cs="仿宋"/>
        </w:rPr>
        <w:t>农业经营主体。积极扶持农村初始创业主体。推动农村居民人均可支配收入增速继续高于城镇居民收入增速。</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四是聚焦优化人居环境，提升和美乡村建设标准。坚持</w:t>
      </w:r>
      <w:r>
        <w:rPr>
          <w:rFonts w:ascii="仿宋" w:eastAsia="仿宋" w:hAnsi="仿宋" w:cs="仿宋"/>
        </w:rPr>
        <w:t>“</w:t>
      </w:r>
      <w:r>
        <w:rPr>
          <w:rFonts w:ascii="仿宋" w:eastAsia="仿宋" w:hAnsi="仿宋" w:cs="仿宋"/>
        </w:rPr>
        <w:t>点</w:t>
      </w:r>
      <w:r>
        <w:rPr>
          <w:rFonts w:ascii="仿宋" w:eastAsia="仿宋" w:hAnsi="仿宋" w:cs="仿宋"/>
        </w:rPr>
        <w:lastRenderedPageBreak/>
        <w:t>面结合、重点突破</w:t>
      </w:r>
      <w:r>
        <w:rPr>
          <w:rFonts w:ascii="仿宋" w:eastAsia="仿宋" w:hAnsi="仿宋" w:cs="仿宋"/>
        </w:rPr>
        <w:t>”</w:t>
      </w:r>
      <w:r>
        <w:rPr>
          <w:rFonts w:ascii="仿宋" w:eastAsia="仿宋" w:hAnsi="仿宋" w:cs="仿宋"/>
        </w:rPr>
        <w:t>，落实和美乡村建设的</w:t>
      </w:r>
      <w:r>
        <w:rPr>
          <w:rFonts w:ascii="仿宋" w:eastAsia="仿宋" w:hAnsi="仿宋" w:cs="仿宋"/>
        </w:rPr>
        <w:t>“</w:t>
      </w:r>
      <w:r>
        <w:rPr>
          <w:rFonts w:ascii="仿宋" w:eastAsia="仿宋" w:hAnsi="仿宋" w:cs="仿宋"/>
        </w:rPr>
        <w:t>十有</w:t>
      </w:r>
      <w:r>
        <w:rPr>
          <w:rFonts w:ascii="仿宋" w:eastAsia="仿宋" w:hAnsi="仿宋" w:cs="仿宋"/>
        </w:rPr>
        <w:t>”</w:t>
      </w:r>
      <w:r>
        <w:rPr>
          <w:rFonts w:ascii="仿宋" w:eastAsia="仿宋" w:hAnsi="仿宋" w:cs="仿宋"/>
        </w:rPr>
        <w:t>标准和建设指引，片区化组团式打造宜</w:t>
      </w:r>
      <w:proofErr w:type="gramStart"/>
      <w:r>
        <w:rPr>
          <w:rFonts w:ascii="仿宋" w:eastAsia="仿宋" w:hAnsi="仿宋" w:cs="仿宋"/>
        </w:rPr>
        <w:t>居宜业</w:t>
      </w:r>
      <w:proofErr w:type="gramEnd"/>
      <w:r>
        <w:rPr>
          <w:rFonts w:ascii="仿宋" w:eastAsia="仿宋" w:hAnsi="仿宋" w:cs="仿宋"/>
        </w:rPr>
        <w:t>和美乡村。全年建成一批市级和美乡村和省级和美乡村、省级特色田园乡村。积极引导有条件的集体经济组织、合作组织开展村庄人居环境自主管护。放大</w:t>
      </w:r>
      <w:r>
        <w:rPr>
          <w:rFonts w:ascii="仿宋" w:eastAsia="仿宋" w:hAnsi="仿宋" w:cs="仿宋"/>
        </w:rPr>
        <w:t>“</w:t>
      </w:r>
      <w:r>
        <w:rPr>
          <w:rFonts w:ascii="仿宋" w:eastAsia="仿宋" w:hAnsi="仿宋" w:cs="仿宋"/>
        </w:rPr>
        <w:t>莱斯乡村</w:t>
      </w:r>
      <w:r>
        <w:rPr>
          <w:rFonts w:ascii="仿宋" w:eastAsia="仿宋" w:hAnsi="仿宋" w:cs="仿宋"/>
        </w:rPr>
        <w:t>”“</w:t>
      </w:r>
      <w:r>
        <w:rPr>
          <w:rFonts w:ascii="仿宋" w:eastAsia="仿宋" w:hAnsi="仿宋" w:cs="仿宋"/>
        </w:rPr>
        <w:t>共享小院</w:t>
      </w:r>
      <w:r>
        <w:rPr>
          <w:rFonts w:ascii="仿宋" w:eastAsia="仿宋" w:hAnsi="仿宋" w:cs="仿宋"/>
        </w:rPr>
        <w:t>”“</w:t>
      </w:r>
      <w:r>
        <w:rPr>
          <w:rFonts w:ascii="仿宋" w:eastAsia="仿宋" w:hAnsi="仿宋" w:cs="仿宋"/>
        </w:rPr>
        <w:t>都市农园</w:t>
      </w:r>
      <w:r>
        <w:rPr>
          <w:rFonts w:ascii="仿宋" w:eastAsia="仿宋" w:hAnsi="仿宋" w:cs="仿宋"/>
        </w:rPr>
        <w:t>”</w:t>
      </w:r>
      <w:r>
        <w:rPr>
          <w:rFonts w:ascii="仿宋" w:eastAsia="仿宋" w:hAnsi="仿宋" w:cs="仿宋"/>
        </w:rPr>
        <w:t>等带动效益，加速推动美丽环境向美丽经济转变。</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五是聚焦新质导向引领，提升现代农业生产效率</w:t>
      </w:r>
      <w:r>
        <w:rPr>
          <w:rFonts w:ascii="仿宋" w:eastAsia="仿宋" w:hAnsi="仿宋" w:cs="仿宋"/>
        </w:rPr>
        <w:t>。因地制宜育</w:t>
      </w:r>
      <w:proofErr w:type="gramStart"/>
      <w:r>
        <w:rPr>
          <w:rFonts w:ascii="仿宋" w:eastAsia="仿宋" w:hAnsi="仿宋" w:cs="仿宋"/>
        </w:rPr>
        <w:t>强农业</w:t>
      </w:r>
      <w:proofErr w:type="gramEnd"/>
      <w:r>
        <w:rPr>
          <w:rFonts w:ascii="仿宋" w:eastAsia="仿宋" w:hAnsi="仿宋" w:cs="仿宋"/>
        </w:rPr>
        <w:t>新质生产力，聚焦主导产业发展关键技术需求，加强</w:t>
      </w:r>
      <w:r>
        <w:rPr>
          <w:rFonts w:ascii="仿宋" w:eastAsia="仿宋" w:hAnsi="仿宋" w:cs="仿宋"/>
        </w:rPr>
        <w:t>“</w:t>
      </w:r>
      <w:r>
        <w:rPr>
          <w:rFonts w:ascii="仿宋" w:eastAsia="仿宋" w:hAnsi="仿宋" w:cs="仿宋"/>
        </w:rPr>
        <w:t>四新</w:t>
      </w:r>
      <w:r>
        <w:rPr>
          <w:rFonts w:ascii="仿宋" w:eastAsia="仿宋" w:hAnsi="仿宋" w:cs="仿宋"/>
        </w:rPr>
        <w:t>”</w:t>
      </w:r>
      <w:r>
        <w:rPr>
          <w:rFonts w:ascii="仿宋" w:eastAsia="仿宋" w:hAnsi="仿宋" w:cs="仿宋"/>
        </w:rPr>
        <w:t>（新品种、新技术、新装备、新模式）成果示范应用。持续突出精深加工、新模式新业态、高技术等</w:t>
      </w:r>
      <w:r>
        <w:rPr>
          <w:rFonts w:ascii="仿宋" w:eastAsia="仿宋" w:hAnsi="仿宋" w:cs="仿宋"/>
        </w:rPr>
        <w:t>3</w:t>
      </w:r>
      <w:r>
        <w:rPr>
          <w:rFonts w:ascii="仿宋" w:eastAsia="仿宋" w:hAnsi="仿宋" w:cs="仿宋"/>
        </w:rPr>
        <w:t>个主攻方向，推动建设农业农村重大项目，完成年度计划投资额。推进</w:t>
      </w:r>
      <w:r>
        <w:rPr>
          <w:rFonts w:ascii="仿宋" w:eastAsia="仿宋" w:hAnsi="仿宋" w:cs="仿宋"/>
        </w:rPr>
        <w:t>“</w:t>
      </w:r>
      <w:r>
        <w:rPr>
          <w:rFonts w:ascii="仿宋" w:eastAsia="仿宋" w:hAnsi="仿宋" w:cs="仿宋"/>
        </w:rPr>
        <w:t>智汇三农</w:t>
      </w:r>
      <w:r>
        <w:rPr>
          <w:rFonts w:ascii="仿宋" w:eastAsia="仿宋" w:hAnsi="仿宋" w:cs="仿宋"/>
        </w:rPr>
        <w:t>”</w:t>
      </w:r>
      <w:r>
        <w:rPr>
          <w:rFonts w:ascii="仿宋" w:eastAsia="仿宋" w:hAnsi="仿宋" w:cs="仿宋"/>
        </w:rPr>
        <w:t>人才工程，加大青年大学生</w:t>
      </w:r>
      <w:r>
        <w:rPr>
          <w:rFonts w:ascii="仿宋" w:eastAsia="仿宋" w:hAnsi="仿宋" w:cs="仿宋"/>
        </w:rPr>
        <w:t>“</w:t>
      </w:r>
      <w:r>
        <w:rPr>
          <w:rFonts w:ascii="仿宋" w:eastAsia="仿宋" w:hAnsi="仿宋" w:cs="仿宋"/>
        </w:rPr>
        <w:t>新农人</w:t>
      </w:r>
      <w:r>
        <w:rPr>
          <w:rFonts w:ascii="仿宋" w:eastAsia="仿宋" w:hAnsi="仿宋" w:cs="仿宋"/>
        </w:rPr>
        <w:t>”</w:t>
      </w:r>
      <w:r>
        <w:rPr>
          <w:rFonts w:ascii="仿宋" w:eastAsia="仿宋" w:hAnsi="仿宋" w:cs="仿宋"/>
        </w:rPr>
        <w:t>引进力度，培育助</w:t>
      </w:r>
      <w:proofErr w:type="gramStart"/>
      <w:r>
        <w:rPr>
          <w:rFonts w:ascii="仿宋" w:eastAsia="仿宋" w:hAnsi="仿宋" w:cs="仿宋"/>
        </w:rPr>
        <w:t>飞农业</w:t>
      </w:r>
      <w:proofErr w:type="gramEnd"/>
      <w:r>
        <w:rPr>
          <w:rFonts w:ascii="仿宋" w:eastAsia="仿宋" w:hAnsi="仿宋" w:cs="仿宋"/>
        </w:rPr>
        <w:t>农村</w:t>
      </w:r>
      <w:r>
        <w:rPr>
          <w:rFonts w:ascii="仿宋" w:eastAsia="仿宋" w:hAnsi="仿宋" w:cs="仿宋"/>
        </w:rPr>
        <w:t>“</w:t>
      </w:r>
      <w:r>
        <w:rPr>
          <w:rFonts w:ascii="仿宋" w:eastAsia="仿宋" w:hAnsi="仿宋" w:cs="仿宋"/>
        </w:rPr>
        <w:t>头雁种苗</w:t>
      </w:r>
      <w:r>
        <w:rPr>
          <w:rFonts w:ascii="仿宋" w:eastAsia="仿宋" w:hAnsi="仿宋" w:cs="仿宋"/>
        </w:rPr>
        <w:t>”</w:t>
      </w:r>
      <w:r>
        <w:rPr>
          <w:rFonts w:ascii="仿宋" w:eastAsia="仿宋" w:hAnsi="仿宋" w:cs="仿宋"/>
        </w:rPr>
        <w:t>，开展高素质农民培训。</w:t>
      </w:r>
    </w:p>
    <w:p w:rsidR="00D33C55" w:rsidRDefault="00706D03">
      <w:pPr>
        <w:pStyle w:val="a5"/>
        <w:spacing w:line="360" w:lineRule="auto"/>
        <w:ind w:leftChars="200" w:left="440" w:rightChars="229" w:right="504" w:firstLine="658"/>
        <w:jc w:val="both"/>
        <w:rPr>
          <w:rFonts w:ascii="仿宋" w:eastAsia="仿宋" w:hAnsi="仿宋" w:cs="仿宋"/>
          <w:lang w:val="en-US"/>
        </w:rPr>
      </w:pPr>
      <w:r>
        <w:rPr>
          <w:rFonts w:ascii="仿宋" w:eastAsia="仿宋" w:hAnsi="仿宋" w:cs="仿宋"/>
        </w:rPr>
        <w:t>六是聚焦深化改革赋能，提升乡村全面振兴活力。整体推进二轮延包工作，完成</w:t>
      </w:r>
      <w:r>
        <w:rPr>
          <w:rFonts w:ascii="仿宋" w:eastAsia="仿宋" w:hAnsi="仿宋" w:cs="仿宋"/>
        </w:rPr>
        <w:t>2025</w:t>
      </w:r>
      <w:r>
        <w:rPr>
          <w:rFonts w:ascii="仿宋" w:eastAsia="仿宋" w:hAnsi="仿宋" w:cs="仿宋"/>
        </w:rPr>
        <w:t>年到期承包农户的延包工作，开展</w:t>
      </w:r>
      <w:r>
        <w:rPr>
          <w:rFonts w:ascii="仿宋" w:eastAsia="仿宋" w:hAnsi="仿宋" w:cs="仿宋"/>
        </w:rPr>
        <w:t>2026</w:t>
      </w:r>
      <w:r>
        <w:rPr>
          <w:rFonts w:ascii="仿宋" w:eastAsia="仿宋" w:hAnsi="仿宋" w:cs="仿宋"/>
        </w:rPr>
        <w:t>年到期承包农户的摸底调查工作。按照部省部署，适时开展乱占耕地建房</w:t>
      </w:r>
      <w:r>
        <w:rPr>
          <w:rFonts w:ascii="仿宋" w:eastAsia="仿宋" w:hAnsi="仿宋" w:cs="仿宋"/>
        </w:rPr>
        <w:t>整治试点。实施全国农村改革试验区拓展试验任务，全面完成全国农村产权流转交易整市试点任务。大力实施农村闲置集体资产盘活行动，全面完成盘活</w:t>
      </w:r>
      <w:r>
        <w:rPr>
          <w:rFonts w:ascii="仿宋" w:eastAsia="仿宋" w:hAnsi="仿宋" w:cs="仿宋"/>
        </w:rPr>
        <w:t>4</w:t>
      </w:r>
      <w:r>
        <w:rPr>
          <w:rFonts w:ascii="仿宋" w:eastAsia="仿宋" w:hAnsi="仿宋" w:cs="仿宋"/>
        </w:rPr>
        <w:t>万平方米的三年目标任务。</w:t>
      </w:r>
    </w:p>
    <w:p w:rsidR="00D33C55" w:rsidRDefault="00D33C55">
      <w:pPr>
        <w:pStyle w:val="a5"/>
        <w:spacing w:line="235" w:lineRule="auto"/>
        <w:ind w:leftChars="300" w:left="669" w:right="2414" w:hanging="9"/>
        <w:jc w:val="both"/>
        <w:rPr>
          <w:rFonts w:ascii="仿宋" w:eastAsia="仿宋" w:hAnsi="仿宋" w:cs="仿宋"/>
          <w:lang w:val="en-US"/>
        </w:rPr>
        <w:sectPr w:rsidR="00D33C55">
          <w:footerReference w:type="default" r:id="rId11"/>
          <w:pgSz w:w="11906" w:h="16838"/>
          <w:pgMar w:top="1580" w:right="700" w:bottom="770" w:left="1020" w:header="283" w:footer="280" w:gutter="0"/>
          <w:pgNumType w:fmt="numberInDash"/>
          <w:cols w:space="720"/>
          <w:formProt w:val="0"/>
          <w:docGrid w:linePitch="100"/>
        </w:sectPr>
      </w:pPr>
    </w:p>
    <w:p w:rsidR="00D33C55" w:rsidRDefault="00D33C55">
      <w:pPr>
        <w:pStyle w:val="a5"/>
        <w:spacing w:line="360" w:lineRule="auto"/>
        <w:ind w:leftChars="200" w:left="440" w:rightChars="229" w:right="504" w:firstLine="658"/>
        <w:jc w:val="both"/>
        <w:rPr>
          <w:rFonts w:ascii="仿宋" w:eastAsia="仿宋" w:hAnsi="仿宋" w:cs="仿宋"/>
          <w:lang w:val="en-US"/>
        </w:rPr>
      </w:pPr>
    </w:p>
    <w:p w:rsidR="00D33C55" w:rsidRDefault="00D33C55">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D33C55" w:rsidRDefault="00D33C55">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D33C55" w:rsidRDefault="00D33C55">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D33C55" w:rsidRDefault="00D33C55">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D33C55" w:rsidRDefault="00D33C55">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D33C55" w:rsidRDefault="00D33C55">
      <w:pPr>
        <w:pStyle w:val="10"/>
        <w:tabs>
          <w:tab w:val="left" w:pos="1609"/>
        </w:tabs>
        <w:spacing w:before="12" w:line="300" w:lineRule="auto"/>
        <w:ind w:left="340" w:right="567" w:firstLine="0"/>
        <w:jc w:val="center"/>
        <w:rPr>
          <w:rFonts w:ascii="仿宋" w:eastAsia="仿宋" w:hAnsi="仿宋" w:cs="仿宋"/>
          <w:b/>
          <w:bCs/>
          <w:sz w:val="44"/>
          <w:szCs w:val="44"/>
          <w:lang w:val="en-US"/>
        </w:rPr>
      </w:pPr>
    </w:p>
    <w:p w:rsidR="00D33C55" w:rsidRDefault="00706D03">
      <w:pPr>
        <w:pStyle w:val="10"/>
        <w:tabs>
          <w:tab w:val="left" w:pos="1609"/>
        </w:tabs>
        <w:spacing w:before="12" w:line="300" w:lineRule="auto"/>
        <w:ind w:left="340" w:right="567" w:firstLine="0"/>
        <w:jc w:val="center"/>
        <w:outlineLvl w:val="0"/>
        <w:rPr>
          <w:rFonts w:ascii="宋体" w:eastAsia="宋体" w:hAnsi="宋体" w:cs="宋体"/>
          <w:b/>
          <w:bCs/>
          <w:sz w:val="36"/>
          <w:szCs w:val="36"/>
          <w:lang w:val="en-US"/>
        </w:rPr>
      </w:pPr>
      <w:r>
        <w:rPr>
          <w:rFonts w:ascii="宋体" w:eastAsia="宋体" w:hAnsi="宋体" w:cs="宋体" w:hint="eastAsia"/>
          <w:b/>
          <w:bCs/>
          <w:sz w:val="36"/>
          <w:szCs w:val="36"/>
        </w:rPr>
        <w:t>第二部分</w:t>
      </w:r>
    </w:p>
    <w:p w:rsidR="00D33C55" w:rsidRDefault="00706D03">
      <w:pPr>
        <w:pStyle w:val="10"/>
        <w:tabs>
          <w:tab w:val="left" w:pos="1609"/>
        </w:tabs>
        <w:spacing w:before="12" w:line="300" w:lineRule="auto"/>
        <w:ind w:left="340" w:right="567" w:firstLine="0"/>
        <w:jc w:val="center"/>
        <w:rPr>
          <w:rFonts w:ascii="宋体" w:eastAsia="宋体" w:hAnsi="宋体" w:cs="宋体"/>
          <w:b/>
          <w:bCs/>
          <w:sz w:val="36"/>
          <w:szCs w:val="36"/>
        </w:rPr>
      </w:pPr>
      <w:r>
        <w:rPr>
          <w:rFonts w:ascii="宋体" w:eastAsia="宋体" w:hAnsi="宋体" w:cs="宋体" w:hint="eastAsia"/>
          <w:b/>
          <w:bCs/>
          <w:sz w:val="36"/>
          <w:szCs w:val="36"/>
        </w:rPr>
        <w:t>南京市农业农村局</w:t>
      </w:r>
    </w:p>
    <w:p w:rsidR="00D33C55" w:rsidRDefault="00706D03">
      <w:pPr>
        <w:pStyle w:val="10"/>
        <w:tabs>
          <w:tab w:val="left" w:pos="1609"/>
        </w:tabs>
        <w:spacing w:before="12" w:line="300" w:lineRule="auto"/>
        <w:ind w:left="340" w:right="567" w:firstLine="0"/>
        <w:jc w:val="center"/>
        <w:outlineLvl w:val="1"/>
        <w:rPr>
          <w:rFonts w:ascii="宋体" w:eastAsia="宋体" w:hAnsi="宋体" w:cs="宋体"/>
          <w:b/>
          <w:bCs/>
          <w:sz w:val="36"/>
          <w:szCs w:val="36"/>
        </w:rPr>
      </w:pPr>
      <w:r>
        <w:rPr>
          <w:rFonts w:ascii="宋体" w:eastAsia="宋体" w:hAnsi="宋体" w:cs="宋体" w:hint="eastAsia"/>
          <w:b/>
          <w:bCs/>
          <w:sz w:val="36"/>
          <w:szCs w:val="36"/>
        </w:rPr>
        <w:t>2025</w:t>
      </w:r>
      <w:r>
        <w:rPr>
          <w:rFonts w:ascii="宋体" w:eastAsia="宋体" w:hAnsi="宋体" w:cs="宋体" w:hint="eastAsia"/>
          <w:b/>
          <w:bCs/>
          <w:sz w:val="36"/>
          <w:szCs w:val="36"/>
        </w:rPr>
        <w:t>年度</w:t>
      </w:r>
      <w:r>
        <w:rPr>
          <w:rFonts w:ascii="宋体" w:eastAsia="宋体" w:hAnsi="宋体" w:cs="宋体" w:hint="eastAsia"/>
          <w:b/>
          <w:bCs/>
          <w:sz w:val="36"/>
          <w:szCs w:val="36"/>
          <w:lang w:val="en-US"/>
        </w:rPr>
        <w:t>部门</w:t>
      </w:r>
      <w:r>
        <w:rPr>
          <w:rFonts w:ascii="宋体" w:eastAsia="宋体" w:hAnsi="宋体" w:cs="宋体"/>
          <w:b/>
          <w:sz w:val="36"/>
        </w:rPr>
        <w:t>决算表</w:t>
      </w:r>
    </w:p>
    <w:tbl>
      <w:tblPr>
        <w:tblW w:w="10447" w:type="dxa"/>
        <w:jc w:val="center"/>
        <w:tblLayout w:type="fixed"/>
        <w:tblLook w:val="04A0" w:firstRow="1" w:lastRow="0" w:firstColumn="1" w:lastColumn="0" w:noHBand="0" w:noVBand="1"/>
      </w:tblPr>
      <w:tblGrid>
        <w:gridCol w:w="3468"/>
        <w:gridCol w:w="1777"/>
        <w:gridCol w:w="2035"/>
        <w:gridCol w:w="1341"/>
        <w:gridCol w:w="1826"/>
      </w:tblGrid>
      <w:tr w:rsidR="00D33C55">
        <w:trPr>
          <w:trHeight w:val="544"/>
          <w:jc w:val="center"/>
        </w:trPr>
        <w:tc>
          <w:tcPr>
            <w:tcW w:w="10447" w:type="dxa"/>
            <w:gridSpan w:val="5"/>
          </w:tcPr>
          <w:p w:rsidR="00D33C55" w:rsidRDefault="00706D03">
            <w:pPr>
              <w:pageBreakBefore/>
              <w:jc w:val="center"/>
              <w:rPr>
                <w:rFonts w:ascii="仿宋" w:eastAsia="仿宋" w:hAnsi="仿宋" w:cs="仿宋"/>
                <w:b/>
                <w:bCs/>
                <w:color w:val="000000"/>
              </w:rPr>
            </w:pPr>
            <w:r>
              <w:rPr>
                <w:rFonts w:ascii="宋体" w:eastAsia="宋体" w:hAnsi="宋体" w:cs="宋体" w:hint="eastAsia"/>
                <w:b/>
                <w:bCs/>
                <w:color w:val="000000"/>
                <w:sz w:val="36"/>
                <w:szCs w:val="36"/>
                <w:lang w:eastAsia="ar-SA"/>
              </w:rPr>
              <w:lastRenderedPageBreak/>
              <w:t>收入支出决算总表</w:t>
            </w:r>
          </w:p>
        </w:tc>
      </w:tr>
      <w:tr w:rsidR="00D33C55">
        <w:trPr>
          <w:trHeight w:val="348"/>
          <w:jc w:val="center"/>
        </w:trPr>
        <w:tc>
          <w:tcPr>
            <w:tcW w:w="3468" w:type="dxa"/>
          </w:tcPr>
          <w:p w:rsidR="00D33C55" w:rsidRDefault="00D33C55">
            <w:pPr>
              <w:rPr>
                <w:rFonts w:ascii="仿宋" w:eastAsia="仿宋" w:hAnsi="仿宋" w:cs="仿宋"/>
                <w:color w:val="000000"/>
                <w:sz w:val="20"/>
              </w:rPr>
            </w:pPr>
          </w:p>
        </w:tc>
        <w:tc>
          <w:tcPr>
            <w:tcW w:w="1777" w:type="dxa"/>
          </w:tcPr>
          <w:p w:rsidR="00D33C55" w:rsidRDefault="00D33C55">
            <w:pPr>
              <w:rPr>
                <w:rFonts w:ascii="仿宋" w:eastAsia="仿宋" w:hAnsi="仿宋" w:cs="仿宋"/>
                <w:color w:val="000000"/>
                <w:sz w:val="20"/>
              </w:rPr>
            </w:pPr>
          </w:p>
        </w:tc>
        <w:tc>
          <w:tcPr>
            <w:tcW w:w="5202" w:type="dxa"/>
            <w:gridSpan w:val="3"/>
          </w:tcPr>
          <w:p w:rsidR="00D33C55" w:rsidRDefault="00706D03">
            <w:pPr>
              <w:jc w:val="right"/>
              <w:rPr>
                <w:rFonts w:ascii="仿宋" w:eastAsia="仿宋" w:hAnsi="仿宋" w:cs="仿宋"/>
                <w:color w:val="000000"/>
              </w:rPr>
            </w:pPr>
            <w:r>
              <w:rPr>
                <w:rFonts w:ascii="仿宋" w:eastAsia="仿宋" w:hAnsi="仿宋" w:cs="仿宋" w:hint="eastAsia"/>
                <w:color w:val="000000"/>
                <w:lang w:eastAsia="ar-SA"/>
              </w:rPr>
              <w:t>公开</w:t>
            </w:r>
            <w:r>
              <w:rPr>
                <w:rFonts w:ascii="仿宋" w:eastAsia="仿宋" w:hAnsi="仿宋" w:cs="仿宋" w:hint="eastAsia"/>
                <w:color w:val="000000"/>
                <w:lang w:eastAsia="ar-SA"/>
              </w:rPr>
              <w:t>01</w:t>
            </w:r>
            <w:r>
              <w:rPr>
                <w:rFonts w:ascii="仿宋" w:eastAsia="仿宋" w:hAnsi="仿宋" w:cs="仿宋" w:hint="eastAsia"/>
                <w:color w:val="000000"/>
                <w:lang w:eastAsia="ar-SA"/>
              </w:rPr>
              <w:t>表</w:t>
            </w:r>
          </w:p>
        </w:tc>
      </w:tr>
      <w:tr w:rsidR="00D33C55">
        <w:trPr>
          <w:trHeight w:val="333"/>
          <w:jc w:val="center"/>
        </w:trPr>
        <w:tc>
          <w:tcPr>
            <w:tcW w:w="7280" w:type="dxa"/>
            <w:gridSpan w:val="3"/>
            <w:tcBorders>
              <w:bottom w:val="single" w:sz="4" w:space="0" w:color="000000"/>
            </w:tcBorders>
            <w:vAlign w:val="center"/>
          </w:tcPr>
          <w:p w:rsidR="00D33C55" w:rsidRDefault="00706D03">
            <w:pPr>
              <w:rPr>
                <w:rFonts w:ascii="仿宋" w:eastAsia="仿宋" w:hAnsi="仿宋" w:cs="仿宋"/>
                <w:color w:val="00000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color w:val="000000"/>
                <w:lang w:eastAsia="ar-SA"/>
              </w:rPr>
              <w:t>南京市农业农村局</w:t>
            </w:r>
          </w:p>
        </w:tc>
        <w:tc>
          <w:tcPr>
            <w:tcW w:w="3167" w:type="dxa"/>
            <w:gridSpan w:val="2"/>
            <w:tcBorders>
              <w:bottom w:val="single" w:sz="4" w:space="0" w:color="000000"/>
            </w:tcBorders>
            <w:vAlign w:val="center"/>
          </w:tcPr>
          <w:p w:rsidR="00D33C55" w:rsidRDefault="00706D03">
            <w:pPr>
              <w:jc w:val="right"/>
              <w:rPr>
                <w:rFonts w:ascii="仿宋" w:eastAsia="仿宋" w:hAnsi="仿宋" w:cs="仿宋"/>
                <w:color w:val="000000"/>
              </w:rPr>
            </w:pPr>
            <w:r>
              <w:rPr>
                <w:rFonts w:ascii="仿宋" w:eastAsia="仿宋" w:hAnsi="仿宋" w:cs="仿宋" w:hint="eastAsia"/>
                <w:color w:val="000000"/>
              </w:rPr>
              <w:t>金额单位：万元</w:t>
            </w:r>
          </w:p>
        </w:tc>
      </w:tr>
      <w:tr w:rsidR="00D33C55">
        <w:trPr>
          <w:trHeight w:val="450"/>
          <w:jc w:val="center"/>
        </w:trPr>
        <w:tc>
          <w:tcPr>
            <w:tcW w:w="524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jc w:val="center"/>
              <w:rPr>
                <w:rFonts w:ascii="仿宋" w:eastAsia="仿宋" w:hAnsi="仿宋" w:cs="仿宋"/>
                <w:color w:val="000000"/>
              </w:rPr>
            </w:pPr>
            <w:r>
              <w:rPr>
                <w:rFonts w:ascii="仿宋" w:eastAsia="仿宋" w:hAnsi="仿宋" w:cs="仿宋" w:hint="eastAsia"/>
                <w:color w:val="000000"/>
                <w:lang w:eastAsia="ar-SA"/>
              </w:rPr>
              <w:t>收入</w:t>
            </w:r>
          </w:p>
        </w:tc>
        <w:tc>
          <w:tcPr>
            <w:tcW w:w="5202"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jc w:val="center"/>
              <w:rPr>
                <w:rFonts w:ascii="仿宋" w:eastAsia="仿宋" w:hAnsi="仿宋" w:cs="仿宋"/>
                <w:color w:val="000000"/>
              </w:rPr>
            </w:pPr>
            <w:r>
              <w:rPr>
                <w:rFonts w:ascii="仿宋" w:eastAsia="仿宋" w:hAnsi="仿宋" w:cs="仿宋" w:hint="eastAsia"/>
                <w:color w:val="000000"/>
                <w:lang w:eastAsia="ar-SA"/>
              </w:rPr>
              <w:t>支出</w:t>
            </w:r>
          </w:p>
        </w:tc>
      </w:tr>
      <w:tr w:rsidR="00D33C55">
        <w:trPr>
          <w:trHeight w:val="39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center"/>
              <w:rPr>
                <w:rFonts w:ascii="仿宋" w:eastAsia="仿宋" w:hAnsi="仿宋" w:cs="仿宋"/>
                <w:color w:val="000000"/>
              </w:rPr>
            </w:pPr>
            <w:r>
              <w:rPr>
                <w:rFonts w:ascii="仿宋" w:eastAsia="仿宋" w:hAnsi="仿宋" w:cs="仿宋"/>
                <w:color w:val="000000"/>
              </w:rPr>
              <w:t>项目</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center"/>
              <w:rPr>
                <w:rFonts w:ascii="仿宋" w:eastAsia="仿宋" w:hAnsi="仿宋" w:cs="仿宋"/>
                <w:color w:val="000000"/>
              </w:rPr>
            </w:pPr>
            <w:r>
              <w:rPr>
                <w:rFonts w:ascii="仿宋" w:eastAsia="仿宋" w:hAnsi="仿宋" w:cs="仿宋" w:hint="eastAsia"/>
                <w:color w:val="000000"/>
                <w:lang w:eastAsia="ar-SA"/>
              </w:rPr>
              <w:t>决算数</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jc w:val="center"/>
              <w:rPr>
                <w:rFonts w:ascii="仿宋" w:eastAsia="仿宋" w:hAnsi="仿宋" w:cs="仿宋"/>
                <w:color w:val="000000"/>
              </w:rPr>
            </w:pPr>
            <w:r>
              <w:rPr>
                <w:rFonts w:ascii="仿宋" w:eastAsia="仿宋" w:hAnsi="仿宋" w:cs="仿宋" w:hint="eastAsia"/>
                <w:color w:val="000000"/>
                <w:lang w:eastAsia="ar-SA"/>
              </w:rPr>
              <w:t>按功能分类</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center"/>
              <w:rPr>
                <w:rFonts w:ascii="仿宋" w:eastAsia="仿宋" w:hAnsi="仿宋" w:cs="仿宋"/>
                <w:color w:val="000000"/>
              </w:rPr>
            </w:pPr>
            <w:r>
              <w:rPr>
                <w:rFonts w:ascii="仿宋" w:eastAsia="仿宋" w:hAnsi="仿宋" w:cs="仿宋" w:hint="eastAsia"/>
                <w:color w:val="000000"/>
                <w:lang w:eastAsia="ar-SA"/>
              </w:rPr>
              <w:t>决算数</w:t>
            </w: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rPr>
                <w:rFonts w:ascii="仿宋" w:eastAsia="仿宋" w:hAnsi="仿宋" w:cs="仿宋"/>
              </w:rPr>
            </w:pPr>
            <w:r>
              <w:rPr>
                <w:rFonts w:ascii="仿宋" w:eastAsia="仿宋" w:hAnsi="仿宋" w:cs="仿宋" w:hint="eastAsia"/>
                <w:sz w:val="20"/>
                <w:lang w:eastAsia="ar-SA"/>
              </w:rPr>
              <w:t>一、一般公共预算财政拨款收入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33,883.64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一、一般公共服务支出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21.24</w:t>
            </w: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rPr>
                <w:rFonts w:ascii="仿宋" w:eastAsia="仿宋" w:hAnsi="仿宋" w:cs="仿宋"/>
              </w:rPr>
            </w:pPr>
            <w:r>
              <w:rPr>
                <w:rFonts w:ascii="仿宋" w:eastAsia="仿宋" w:hAnsi="仿宋" w:cs="仿宋" w:hint="eastAsia"/>
                <w:sz w:val="20"/>
                <w:lang w:eastAsia="ar-SA"/>
              </w:rPr>
              <w:t>二、政府性基金预算财政拨款收入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3,606.75</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二、外交支出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rPr>
                <w:rFonts w:ascii="仿宋" w:eastAsia="仿宋" w:hAnsi="仿宋" w:cs="仿宋"/>
              </w:rPr>
            </w:pPr>
            <w:r>
              <w:rPr>
                <w:rFonts w:ascii="仿宋" w:eastAsia="仿宋" w:hAnsi="仿宋" w:cs="仿宋" w:hint="eastAsia"/>
                <w:sz w:val="20"/>
                <w:lang w:eastAsia="ar-SA"/>
              </w:rPr>
              <w:t>三、国有资本经营预算财政拨款收入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三、国防支出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rPr>
                <w:rFonts w:ascii="仿宋" w:eastAsia="仿宋" w:hAnsi="仿宋" w:cs="仿宋"/>
              </w:rPr>
            </w:pPr>
            <w:r>
              <w:rPr>
                <w:rFonts w:ascii="仿宋" w:eastAsia="仿宋" w:hAnsi="仿宋" w:cs="仿宋" w:hint="eastAsia"/>
                <w:sz w:val="20"/>
                <w:lang w:eastAsia="ar-SA"/>
              </w:rPr>
              <w:t>四、上级补助收入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四、公共安全支出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rPr>
                <w:rFonts w:ascii="仿宋" w:eastAsia="仿宋" w:hAnsi="仿宋" w:cs="仿宋"/>
              </w:rPr>
            </w:pPr>
            <w:r>
              <w:rPr>
                <w:rFonts w:ascii="仿宋" w:eastAsia="仿宋" w:hAnsi="仿宋" w:cs="仿宋" w:hint="eastAsia"/>
                <w:sz w:val="20"/>
                <w:lang w:eastAsia="ar-SA"/>
              </w:rPr>
              <w:t>五、事业收入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五、教育支出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rPr>
                <w:rFonts w:ascii="仿宋" w:eastAsia="仿宋" w:hAnsi="仿宋" w:cs="仿宋"/>
              </w:rPr>
            </w:pPr>
            <w:r>
              <w:rPr>
                <w:rFonts w:ascii="仿宋" w:eastAsia="仿宋" w:hAnsi="仿宋" w:cs="仿宋" w:hint="eastAsia"/>
                <w:sz w:val="20"/>
                <w:lang w:eastAsia="ar-SA"/>
              </w:rPr>
              <w:t>六、经营收入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六、科学技术支出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9.92</w:t>
            </w: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rPr>
                <w:rFonts w:ascii="仿宋" w:eastAsia="仿宋" w:hAnsi="仿宋" w:cs="仿宋"/>
              </w:rPr>
            </w:pPr>
            <w:r>
              <w:rPr>
                <w:rFonts w:ascii="仿宋" w:eastAsia="仿宋" w:hAnsi="仿宋" w:cs="仿宋" w:hint="eastAsia"/>
                <w:sz w:val="20"/>
                <w:lang w:eastAsia="ar-SA"/>
              </w:rPr>
              <w:t>七、附属单位上缴收入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七、文化旅游体育与传媒支出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rPr>
                <w:rFonts w:ascii="仿宋" w:eastAsia="仿宋" w:hAnsi="仿宋" w:cs="仿宋"/>
              </w:rPr>
            </w:pPr>
            <w:r>
              <w:rPr>
                <w:rFonts w:ascii="仿宋" w:eastAsia="仿宋" w:hAnsi="仿宋" w:cs="仿宋" w:hint="eastAsia"/>
                <w:sz w:val="20"/>
                <w:lang w:eastAsia="ar-SA"/>
              </w:rPr>
              <w:t>八、其他收入</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108.25</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八、社会保障和就业支出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5,940.61</w:t>
            </w: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九、卫生健康支出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十、节能环保支出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十一、城乡社区支出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3,606.71</w:t>
            </w: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十二、农林水支出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20,936.07</w:t>
            </w: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十三、交通运输支出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十四、资源勘探工业信息等支出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十五、商业服务业等支出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十六、金融支出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十七、援助其他地区支出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十八、自然资源海洋气象等支出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十九、住房保障支出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jc w:val="right"/>
              <w:rPr>
                <w:rFonts w:ascii="仿宋" w:eastAsia="仿宋" w:hAnsi="仿宋" w:cs="仿宋"/>
                <w:color w:val="000000"/>
                <w:lang w:eastAsia="ar-SA"/>
              </w:rPr>
            </w:pPr>
            <w:r>
              <w:rPr>
                <w:rFonts w:ascii="仿宋" w:eastAsia="仿宋" w:hAnsi="仿宋" w:cs="仿宋" w:hint="eastAsia"/>
                <w:color w:val="000000"/>
                <w:lang w:eastAsia="ar-SA"/>
              </w:rPr>
              <w:t>7,100.72</w:t>
            </w: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二十、粮油物资储备支出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二十一、国有资本经营预算支出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二十二、灾害防治及应急管理支出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二十三、其他支出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二十四、债务还本支出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二十五、债务付息支出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val="345"/>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D33C55">
            <w:pPr>
              <w:rPr>
                <w:rFonts w:ascii="仿宋" w:eastAsia="仿宋" w:hAnsi="仿宋" w:cs="仿宋"/>
              </w:rPr>
            </w:pP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keepNext/>
              <w:keepLines/>
              <w:rPr>
                <w:rFonts w:ascii="仿宋" w:eastAsia="仿宋" w:hAnsi="仿宋" w:cs="仿宋"/>
                <w:color w:val="000000"/>
              </w:rPr>
            </w:pPr>
            <w:r>
              <w:rPr>
                <w:rFonts w:ascii="仿宋" w:eastAsia="仿宋" w:hAnsi="仿宋" w:cs="仿宋" w:hint="eastAsia"/>
                <w:color w:val="000000"/>
                <w:lang w:eastAsia="ar-SA"/>
              </w:rPr>
              <w:t>二十六、抗疫特别国债安排的支出</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keepNext/>
              <w:keepLines/>
              <w:jc w:val="right"/>
              <w:rPr>
                <w:rFonts w:ascii="仿宋" w:eastAsia="仿宋" w:hAnsi="仿宋" w:cs="仿宋"/>
                <w:color w:val="000000"/>
                <w:lang w:eastAsia="ar-SA"/>
              </w:rPr>
            </w:pPr>
          </w:p>
        </w:tc>
      </w:tr>
      <w:tr w:rsidR="00D33C55">
        <w:trPr>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center"/>
              <w:rPr>
                <w:rFonts w:ascii="仿宋" w:eastAsia="仿宋" w:hAnsi="仿宋" w:cs="仿宋"/>
                <w:color w:val="000000"/>
              </w:rPr>
            </w:pPr>
            <w:r>
              <w:rPr>
                <w:rFonts w:ascii="仿宋" w:eastAsia="仿宋" w:hAnsi="仿宋" w:cs="仿宋" w:hint="eastAsia"/>
                <w:b/>
                <w:bCs/>
                <w:color w:val="000000"/>
                <w:lang w:eastAsia="ar-SA"/>
              </w:rPr>
              <w:t>本年收入合计</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color w:val="000000"/>
              </w:rPr>
            </w:pPr>
            <w:r>
              <w:rPr>
                <w:rFonts w:ascii="仿宋" w:eastAsia="仿宋" w:hAnsi="仿宋" w:cs="仿宋" w:hint="eastAsia"/>
                <w:color w:val="000000"/>
                <w:lang w:eastAsia="ar-SA"/>
              </w:rPr>
              <w:t>37,598.64</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jc w:val="center"/>
              <w:rPr>
                <w:rFonts w:ascii="仿宋" w:eastAsia="仿宋" w:hAnsi="仿宋" w:cs="仿宋"/>
                <w:b/>
                <w:bCs/>
                <w:color w:val="000000"/>
              </w:rPr>
            </w:pPr>
            <w:r>
              <w:rPr>
                <w:rFonts w:ascii="仿宋" w:eastAsia="仿宋" w:hAnsi="仿宋" w:cs="仿宋" w:hint="eastAsia"/>
                <w:b/>
                <w:bCs/>
                <w:color w:val="000000"/>
                <w:lang w:eastAsia="ar-SA"/>
              </w:rPr>
              <w:t>本年支出合计</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color w:val="000000"/>
              </w:rPr>
            </w:pPr>
            <w:r>
              <w:rPr>
                <w:rFonts w:ascii="仿宋" w:eastAsia="仿宋" w:hAnsi="仿宋" w:cs="仿宋" w:hint="eastAsia"/>
                <w:color w:val="000000"/>
                <w:lang w:eastAsia="ar-SA"/>
              </w:rPr>
              <w:t>37,615.26</w:t>
            </w:r>
          </w:p>
        </w:tc>
      </w:tr>
      <w:tr w:rsidR="00D33C55">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ind w:firstLineChars="100" w:firstLine="220"/>
              <w:rPr>
                <w:rFonts w:ascii="仿宋" w:eastAsia="仿宋" w:hAnsi="仿宋" w:cs="仿宋"/>
                <w:color w:val="000000"/>
              </w:rPr>
            </w:pPr>
            <w:r>
              <w:rPr>
                <w:rFonts w:ascii="仿宋" w:eastAsia="仿宋" w:hAnsi="仿宋" w:cs="仿宋" w:hint="eastAsia"/>
                <w:color w:val="000000"/>
                <w:lang w:eastAsia="ar-SA"/>
              </w:rPr>
              <w:t>使用非财政拨款结余（含专用结余）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color w:val="000000"/>
                <w:lang w:eastAsia="ar-SA"/>
              </w:rPr>
            </w:pPr>
            <w:r>
              <w:rPr>
                <w:rFonts w:ascii="仿宋" w:eastAsia="仿宋" w:hAnsi="仿宋" w:cs="仿宋" w:hint="eastAsia"/>
                <w:color w:val="000000"/>
                <w:lang w:eastAsia="ar-SA"/>
              </w:rPr>
              <w:t>74.02</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ind w:firstLineChars="100" w:firstLine="220"/>
              <w:rPr>
                <w:rFonts w:ascii="仿宋" w:eastAsia="仿宋" w:hAnsi="仿宋" w:cs="仿宋"/>
                <w:color w:val="000000"/>
              </w:rPr>
            </w:pPr>
            <w:r>
              <w:rPr>
                <w:rFonts w:ascii="仿宋" w:eastAsia="仿宋" w:hAnsi="仿宋" w:cs="仿宋" w:hint="eastAsia"/>
                <w:color w:val="000000"/>
                <w:lang w:eastAsia="ar-SA"/>
              </w:rPr>
              <w:t>结余分配</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color w:val="000000"/>
              </w:rPr>
            </w:pPr>
          </w:p>
        </w:tc>
      </w:tr>
      <w:tr w:rsidR="00D33C55">
        <w:trPr>
          <w:trHeight w:val="413"/>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ind w:firstLineChars="100" w:firstLine="220"/>
              <w:rPr>
                <w:rFonts w:ascii="仿宋" w:eastAsia="仿宋" w:hAnsi="仿宋" w:cs="仿宋"/>
                <w:color w:val="000000"/>
              </w:rPr>
            </w:pPr>
            <w:r>
              <w:rPr>
                <w:rFonts w:ascii="仿宋" w:eastAsia="仿宋" w:hAnsi="仿宋" w:cs="仿宋" w:hint="eastAsia"/>
                <w:color w:val="000000"/>
                <w:lang w:eastAsia="ar-SA"/>
              </w:rPr>
              <w:t>年初结转和结余</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color w:val="000000"/>
                <w:lang w:eastAsia="ar-SA"/>
              </w:rPr>
            </w:pPr>
            <w:r>
              <w:rPr>
                <w:rFonts w:ascii="仿宋" w:eastAsia="仿宋" w:hAnsi="仿宋" w:cs="仿宋" w:hint="eastAsia"/>
                <w:color w:val="000000"/>
                <w:lang w:eastAsia="ar-SA"/>
              </w:rPr>
              <w:t>1,178.91</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ind w:firstLineChars="100" w:firstLine="220"/>
              <w:rPr>
                <w:rFonts w:ascii="仿宋" w:eastAsia="仿宋" w:hAnsi="仿宋" w:cs="仿宋"/>
                <w:color w:val="000000"/>
              </w:rPr>
            </w:pPr>
            <w:r>
              <w:rPr>
                <w:rFonts w:ascii="仿宋" w:eastAsia="仿宋" w:hAnsi="仿宋" w:cs="仿宋" w:hint="eastAsia"/>
                <w:color w:val="000000"/>
                <w:lang w:eastAsia="ar-SA"/>
              </w:rPr>
              <w:t>年末结转和结余</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color w:val="000000"/>
              </w:rPr>
            </w:pPr>
            <w:r>
              <w:rPr>
                <w:rFonts w:ascii="仿宋" w:eastAsia="仿宋" w:hAnsi="仿宋" w:cs="仿宋" w:hint="eastAsia"/>
                <w:color w:val="000000"/>
                <w:lang w:eastAsia="ar-SA"/>
              </w:rPr>
              <w:t>1,236.31</w:t>
            </w:r>
          </w:p>
        </w:tc>
      </w:tr>
      <w:tr w:rsidR="00D33C55">
        <w:trPr>
          <w:trHeight w:val="383"/>
          <w:jc w:val="center"/>
        </w:trPr>
        <w:tc>
          <w:tcPr>
            <w:tcW w:w="3468" w:type="dxa"/>
            <w:tcBorders>
              <w:top w:val="single" w:sz="4" w:space="0" w:color="000000"/>
              <w:left w:val="single" w:sz="4" w:space="0" w:color="000000"/>
              <w:bottom w:val="single" w:sz="4" w:space="0" w:color="000000"/>
              <w:right w:val="single" w:sz="4" w:space="0" w:color="000000"/>
            </w:tcBorders>
          </w:tcPr>
          <w:p w:rsidR="00D33C55" w:rsidRDefault="00D33C55">
            <w:pPr>
              <w:rPr>
                <w:rFonts w:ascii="仿宋" w:eastAsia="仿宋" w:hAnsi="仿宋" w:cs="仿宋"/>
                <w:color w:val="000000"/>
              </w:rPr>
            </w:pPr>
          </w:p>
        </w:tc>
        <w:tc>
          <w:tcPr>
            <w:tcW w:w="1777" w:type="dxa"/>
            <w:tcBorders>
              <w:top w:val="single" w:sz="4" w:space="0" w:color="000000"/>
              <w:left w:val="single" w:sz="4" w:space="0" w:color="000000"/>
              <w:bottom w:val="single" w:sz="4" w:space="0" w:color="000000"/>
              <w:right w:val="single" w:sz="4" w:space="0" w:color="000000"/>
            </w:tcBorders>
          </w:tcPr>
          <w:p w:rsidR="00D33C55" w:rsidRDefault="00D33C55">
            <w:pPr>
              <w:rPr>
                <w:rFonts w:ascii="仿宋" w:eastAsia="仿宋" w:hAnsi="仿宋" w:cs="仿宋"/>
                <w:color w:val="000000"/>
              </w:rPr>
            </w:pPr>
          </w:p>
        </w:tc>
        <w:tc>
          <w:tcPr>
            <w:tcW w:w="3376" w:type="dxa"/>
            <w:gridSpan w:val="2"/>
            <w:tcBorders>
              <w:top w:val="single" w:sz="4" w:space="0" w:color="000000"/>
              <w:left w:val="single" w:sz="4" w:space="0" w:color="000000"/>
              <w:bottom w:val="single" w:sz="4" w:space="0" w:color="000000"/>
              <w:right w:val="single" w:sz="4" w:space="0" w:color="000000"/>
            </w:tcBorders>
          </w:tcPr>
          <w:p w:rsidR="00D33C55" w:rsidRDefault="00D33C55">
            <w:pPr>
              <w:rPr>
                <w:rFonts w:ascii="仿宋" w:eastAsia="仿宋" w:hAnsi="仿宋" w:cs="仿宋"/>
                <w:color w:val="000000"/>
              </w:rPr>
            </w:pPr>
          </w:p>
        </w:tc>
        <w:tc>
          <w:tcPr>
            <w:tcW w:w="1826" w:type="dxa"/>
            <w:tcBorders>
              <w:top w:val="single" w:sz="4" w:space="0" w:color="000000"/>
              <w:left w:val="single" w:sz="4" w:space="0" w:color="000000"/>
              <w:bottom w:val="single" w:sz="4" w:space="0" w:color="000000"/>
              <w:right w:val="single" w:sz="4" w:space="0" w:color="000000"/>
            </w:tcBorders>
          </w:tcPr>
          <w:p w:rsidR="00D33C55" w:rsidRDefault="00D33C55">
            <w:pPr>
              <w:rPr>
                <w:rFonts w:ascii="仿宋" w:eastAsia="仿宋" w:hAnsi="仿宋" w:cs="仿宋"/>
                <w:color w:val="000000"/>
              </w:rPr>
            </w:pPr>
          </w:p>
        </w:tc>
      </w:tr>
      <w:tr w:rsidR="00D33C55">
        <w:trPr>
          <w:cantSplit/>
          <w:trHeight w:hRule="exact" w:val="454"/>
          <w:jc w:val="center"/>
        </w:trPr>
        <w:tc>
          <w:tcPr>
            <w:tcW w:w="3468"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777"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color w:val="000000"/>
              </w:rPr>
            </w:pPr>
            <w:r>
              <w:rPr>
                <w:rFonts w:ascii="仿宋" w:eastAsia="仿宋" w:hAnsi="仿宋" w:cs="仿宋" w:hint="eastAsia"/>
                <w:color w:val="000000"/>
                <w:lang w:eastAsia="ar-SA"/>
              </w:rPr>
              <w:t>38,851.57</w:t>
            </w:r>
          </w:p>
        </w:tc>
        <w:tc>
          <w:tcPr>
            <w:tcW w:w="3376"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jc w:val="center"/>
              <w:rPr>
                <w:rFonts w:ascii="仿宋" w:eastAsia="仿宋" w:hAnsi="仿宋" w:cs="仿宋"/>
                <w:color w:val="000000"/>
              </w:rPr>
            </w:pPr>
            <w:r>
              <w:rPr>
                <w:rFonts w:ascii="仿宋" w:eastAsia="仿宋" w:hAnsi="仿宋" w:cs="仿宋" w:hint="eastAsia"/>
                <w:b/>
                <w:color w:val="000000"/>
                <w:lang w:eastAsia="ar-SA"/>
              </w:rPr>
              <w:t>总计</w:t>
            </w:r>
          </w:p>
        </w:tc>
        <w:tc>
          <w:tcPr>
            <w:tcW w:w="1826"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color w:val="000000"/>
              </w:rPr>
            </w:pPr>
            <w:r>
              <w:rPr>
                <w:rFonts w:ascii="仿宋" w:eastAsia="仿宋" w:hAnsi="仿宋" w:cs="仿宋" w:hint="eastAsia"/>
                <w:color w:val="000000"/>
                <w:lang w:eastAsia="ar-SA"/>
              </w:rPr>
              <w:t>38,851.57</w:t>
            </w:r>
          </w:p>
        </w:tc>
      </w:tr>
    </w:tbl>
    <w:p w:rsidR="00D33C55" w:rsidRDefault="00706D03">
      <w:pPr>
        <w:spacing w:before="66"/>
        <w:jc w:val="both"/>
        <w:rPr>
          <w:rFonts w:ascii="仿宋" w:eastAsia="仿宋" w:hAnsi="仿宋" w:cs="仿宋"/>
          <w:color w:val="000000"/>
          <w:lang w:val="en-US"/>
        </w:rPr>
      </w:pPr>
      <w:r>
        <w:rPr>
          <w:rFonts w:ascii="仿宋" w:eastAsia="仿宋" w:hAnsi="仿宋" w:cs="仿宋" w:hint="eastAsia"/>
          <w:color w:val="000000"/>
          <w:lang w:val="en-US"/>
        </w:rPr>
        <w:t>注：本表反映本年度的总收支和年末结转结余情况。本表金额单位转换时可能存在尾数误差。</w:t>
      </w:r>
    </w:p>
    <w:p w:rsidR="00D33C55" w:rsidRDefault="00D33C55">
      <w:pPr>
        <w:spacing w:before="66"/>
        <w:jc w:val="both"/>
        <w:rPr>
          <w:rFonts w:ascii="仿宋" w:eastAsia="仿宋" w:hAnsi="仿宋" w:cs="仿宋"/>
          <w:color w:val="000000"/>
          <w:lang w:val="en-US"/>
        </w:rPr>
        <w:sectPr w:rsidR="00D33C55">
          <w:footerReference w:type="default" r:id="rId12"/>
          <w:pgSz w:w="11906" w:h="16838"/>
          <w:pgMar w:top="720" w:right="720" w:bottom="720" w:left="720" w:header="170" w:footer="280" w:gutter="0"/>
          <w:pgNumType w:fmt="numberInDash"/>
          <w:cols w:space="720"/>
          <w:formProt w:val="0"/>
          <w:docGrid w:linePitch="100"/>
        </w:sectPr>
      </w:pPr>
    </w:p>
    <w:tbl>
      <w:tblPr>
        <w:tblW w:w="16660" w:type="dxa"/>
        <w:jc w:val="center"/>
        <w:tblLayout w:type="fixed"/>
        <w:tblLook w:val="04A0" w:firstRow="1" w:lastRow="0" w:firstColumn="1" w:lastColumn="0" w:noHBand="0" w:noVBand="1"/>
      </w:tblPr>
      <w:tblGrid>
        <w:gridCol w:w="1201"/>
        <w:gridCol w:w="3156"/>
        <w:gridCol w:w="1716"/>
        <w:gridCol w:w="1728"/>
        <w:gridCol w:w="1686"/>
        <w:gridCol w:w="1503"/>
        <w:gridCol w:w="1704"/>
        <w:gridCol w:w="1263"/>
        <w:gridCol w:w="1375"/>
        <w:gridCol w:w="1328"/>
      </w:tblGrid>
      <w:tr w:rsidR="00D33C55">
        <w:trPr>
          <w:trHeight w:val="403"/>
          <w:jc w:val="center"/>
        </w:trPr>
        <w:tc>
          <w:tcPr>
            <w:tcW w:w="16660" w:type="dxa"/>
            <w:gridSpan w:val="10"/>
            <w:vAlign w:val="center"/>
          </w:tcPr>
          <w:p w:rsidR="00D33C55" w:rsidRDefault="00706D03">
            <w:pPr>
              <w:pStyle w:val="4"/>
              <w:rPr>
                <w:rFonts w:ascii="仿宋" w:eastAsia="仿宋" w:hAnsi="仿宋" w:cs="仿宋"/>
                <w:b/>
                <w:bCs/>
                <w:sz w:val="44"/>
                <w:szCs w:val="44"/>
                <w:lang w:val="en-US"/>
              </w:rPr>
            </w:pPr>
            <w:r>
              <w:rPr>
                <w:rFonts w:ascii="宋体" w:eastAsia="宋体" w:hAnsi="宋体" w:cs="宋体" w:hint="eastAsia"/>
                <w:b/>
                <w:bCs/>
                <w:color w:val="000000"/>
                <w:lang w:eastAsia="ar-SA"/>
              </w:rPr>
              <w:lastRenderedPageBreak/>
              <w:t>收入决算表</w:t>
            </w:r>
          </w:p>
        </w:tc>
      </w:tr>
      <w:tr w:rsidR="00D33C55">
        <w:trPr>
          <w:trHeight w:val="247"/>
          <w:jc w:val="center"/>
        </w:trPr>
        <w:tc>
          <w:tcPr>
            <w:tcW w:w="4357" w:type="dxa"/>
            <w:gridSpan w:val="2"/>
            <w:vAlign w:val="center"/>
          </w:tcPr>
          <w:p w:rsidR="00D33C55" w:rsidRDefault="00D33C55">
            <w:pPr>
              <w:pStyle w:val="TableParagraph"/>
              <w:jc w:val="center"/>
              <w:rPr>
                <w:rFonts w:ascii="仿宋" w:eastAsia="仿宋" w:hAnsi="仿宋" w:cs="仿宋"/>
              </w:rPr>
            </w:pPr>
          </w:p>
        </w:tc>
        <w:tc>
          <w:tcPr>
            <w:tcW w:w="1716" w:type="dxa"/>
            <w:vAlign w:val="center"/>
          </w:tcPr>
          <w:p w:rsidR="00D33C55" w:rsidRDefault="00D33C55">
            <w:pPr>
              <w:pStyle w:val="TableParagraph"/>
              <w:jc w:val="center"/>
              <w:rPr>
                <w:rFonts w:ascii="仿宋" w:eastAsia="仿宋" w:hAnsi="仿宋" w:cs="仿宋"/>
              </w:rPr>
            </w:pPr>
          </w:p>
        </w:tc>
        <w:tc>
          <w:tcPr>
            <w:tcW w:w="1728" w:type="dxa"/>
            <w:vAlign w:val="center"/>
          </w:tcPr>
          <w:p w:rsidR="00D33C55" w:rsidRDefault="00D33C55">
            <w:pPr>
              <w:pStyle w:val="TableParagraph"/>
              <w:jc w:val="center"/>
              <w:rPr>
                <w:rFonts w:ascii="仿宋" w:eastAsia="仿宋" w:hAnsi="仿宋" w:cs="仿宋"/>
              </w:rPr>
            </w:pPr>
          </w:p>
        </w:tc>
        <w:tc>
          <w:tcPr>
            <w:tcW w:w="1686" w:type="dxa"/>
            <w:vAlign w:val="center"/>
          </w:tcPr>
          <w:p w:rsidR="00D33C55" w:rsidRDefault="00D33C55">
            <w:pPr>
              <w:pStyle w:val="TableParagraph"/>
              <w:jc w:val="center"/>
              <w:rPr>
                <w:rFonts w:ascii="仿宋" w:eastAsia="仿宋" w:hAnsi="仿宋" w:cs="仿宋"/>
              </w:rPr>
            </w:pPr>
          </w:p>
        </w:tc>
        <w:tc>
          <w:tcPr>
            <w:tcW w:w="3207" w:type="dxa"/>
            <w:gridSpan w:val="2"/>
            <w:vAlign w:val="center"/>
          </w:tcPr>
          <w:p w:rsidR="00D33C55" w:rsidRDefault="00D33C55">
            <w:pPr>
              <w:pStyle w:val="TableParagraph"/>
              <w:jc w:val="center"/>
              <w:rPr>
                <w:rFonts w:ascii="仿宋" w:eastAsia="仿宋" w:hAnsi="仿宋" w:cs="仿宋"/>
              </w:rPr>
            </w:pPr>
          </w:p>
        </w:tc>
        <w:tc>
          <w:tcPr>
            <w:tcW w:w="1263" w:type="dxa"/>
            <w:vAlign w:val="center"/>
          </w:tcPr>
          <w:p w:rsidR="00D33C55" w:rsidRDefault="00D33C55">
            <w:pPr>
              <w:pStyle w:val="TableParagraph"/>
              <w:jc w:val="center"/>
              <w:rPr>
                <w:rFonts w:ascii="仿宋" w:eastAsia="仿宋" w:hAnsi="仿宋" w:cs="仿宋"/>
              </w:rPr>
            </w:pPr>
          </w:p>
        </w:tc>
        <w:tc>
          <w:tcPr>
            <w:tcW w:w="2703" w:type="dxa"/>
            <w:gridSpan w:val="2"/>
            <w:vAlign w:val="center"/>
          </w:tcPr>
          <w:p w:rsidR="00D33C55" w:rsidRDefault="00706D03">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02</w:t>
            </w:r>
            <w:r>
              <w:rPr>
                <w:rFonts w:ascii="仿宋" w:eastAsia="仿宋" w:hAnsi="仿宋" w:cs="仿宋" w:hint="eastAsia"/>
              </w:rPr>
              <w:t>表</w:t>
            </w:r>
          </w:p>
        </w:tc>
      </w:tr>
      <w:tr w:rsidR="00D33C55">
        <w:trPr>
          <w:trHeight w:val="247"/>
          <w:jc w:val="center"/>
        </w:trPr>
        <w:tc>
          <w:tcPr>
            <w:tcW w:w="13957" w:type="dxa"/>
            <w:gridSpan w:val="8"/>
            <w:vAlign w:val="center"/>
          </w:tcPr>
          <w:p w:rsidR="00D33C55" w:rsidRDefault="00706D03">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南京市农业农村局</w:t>
            </w:r>
          </w:p>
        </w:tc>
        <w:tc>
          <w:tcPr>
            <w:tcW w:w="2703" w:type="dxa"/>
            <w:gridSpan w:val="2"/>
            <w:vAlign w:val="center"/>
          </w:tcPr>
          <w:p w:rsidR="00D33C55" w:rsidRDefault="00706D03">
            <w:pPr>
              <w:pStyle w:val="TableParagraph"/>
              <w:jc w:val="right"/>
              <w:rPr>
                <w:rFonts w:ascii="仿宋" w:eastAsia="仿宋" w:hAnsi="仿宋" w:cs="仿宋"/>
              </w:rPr>
            </w:pPr>
            <w:r>
              <w:rPr>
                <w:rFonts w:ascii="仿宋" w:eastAsia="仿宋" w:hAnsi="仿宋" w:cs="仿宋" w:hint="eastAsia"/>
              </w:rPr>
              <w:t>金额单位：万元</w:t>
            </w:r>
          </w:p>
        </w:tc>
      </w:tr>
      <w:tr w:rsidR="00D33C55">
        <w:trPr>
          <w:cantSplit/>
          <w:trHeight w:val="255"/>
          <w:jc w:val="center"/>
        </w:trPr>
        <w:tc>
          <w:tcPr>
            <w:tcW w:w="4357" w:type="dxa"/>
            <w:gridSpan w:val="2"/>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项目</w:t>
            </w:r>
          </w:p>
        </w:tc>
        <w:tc>
          <w:tcPr>
            <w:tcW w:w="1716" w:type="dxa"/>
            <w:vMerge w:val="restart"/>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本年收入合计</w:t>
            </w:r>
          </w:p>
        </w:tc>
        <w:tc>
          <w:tcPr>
            <w:tcW w:w="1728" w:type="dxa"/>
            <w:vMerge w:val="restart"/>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财政拨款收入</w:t>
            </w:r>
          </w:p>
        </w:tc>
        <w:tc>
          <w:tcPr>
            <w:tcW w:w="1686" w:type="dxa"/>
            <w:vMerge w:val="restart"/>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上级补助收入</w:t>
            </w:r>
          </w:p>
        </w:tc>
        <w:tc>
          <w:tcPr>
            <w:tcW w:w="1503" w:type="dxa"/>
            <w:vMerge w:val="restart"/>
            <w:tcBorders>
              <w:top w:val="single" w:sz="4" w:space="0" w:color="000000"/>
              <w:lef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财政专户管理教育收费</w:t>
            </w:r>
          </w:p>
        </w:tc>
        <w:tc>
          <w:tcPr>
            <w:tcW w:w="1704" w:type="dxa"/>
            <w:vMerge w:val="restart"/>
            <w:tcBorders>
              <w:top w:val="single" w:sz="4" w:space="0" w:color="000000"/>
              <w:lef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事业收入（不含专户管理教育收费）</w:t>
            </w:r>
          </w:p>
        </w:tc>
        <w:tc>
          <w:tcPr>
            <w:tcW w:w="1263" w:type="dxa"/>
            <w:vMerge w:val="restart"/>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经营收入</w:t>
            </w:r>
          </w:p>
        </w:tc>
        <w:tc>
          <w:tcPr>
            <w:tcW w:w="1375" w:type="dxa"/>
            <w:vMerge w:val="restart"/>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附属单位上缴收入</w:t>
            </w:r>
          </w:p>
        </w:tc>
        <w:tc>
          <w:tcPr>
            <w:tcW w:w="1328" w:type="dxa"/>
            <w:vMerge w:val="restart"/>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其他收入</w:t>
            </w:r>
          </w:p>
        </w:tc>
      </w:tr>
      <w:tr w:rsidR="00D33C55">
        <w:trPr>
          <w:cantSplit/>
          <w:trHeight w:val="502"/>
          <w:jc w:val="center"/>
        </w:trPr>
        <w:tc>
          <w:tcPr>
            <w:tcW w:w="1201"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功能分类</w:t>
            </w:r>
          </w:p>
          <w:p w:rsidR="00D33C55" w:rsidRDefault="00706D03">
            <w:pPr>
              <w:pStyle w:val="TableParagraph"/>
              <w:jc w:val="center"/>
              <w:rPr>
                <w:rFonts w:ascii="仿宋" w:eastAsia="仿宋" w:hAnsi="仿宋" w:cs="仿宋"/>
              </w:rPr>
            </w:pPr>
            <w:r>
              <w:rPr>
                <w:rFonts w:ascii="仿宋" w:eastAsia="仿宋" w:hAnsi="仿宋" w:cs="仿宋" w:hint="eastAsia"/>
              </w:rPr>
              <w:t>科目编码</w:t>
            </w:r>
          </w:p>
        </w:tc>
        <w:tc>
          <w:tcPr>
            <w:tcW w:w="3156"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科目名称</w:t>
            </w:r>
          </w:p>
        </w:tc>
        <w:tc>
          <w:tcPr>
            <w:tcW w:w="1716" w:type="dxa"/>
            <w:vMerge/>
            <w:tcBorders>
              <w:left w:val="single" w:sz="4" w:space="0" w:color="000000"/>
              <w:bottom w:val="single" w:sz="4" w:space="0" w:color="000000"/>
            </w:tcBorders>
          </w:tcPr>
          <w:p w:rsidR="00D33C55" w:rsidRDefault="00D33C55">
            <w:pPr>
              <w:rPr>
                <w:rFonts w:ascii="仿宋" w:eastAsia="仿宋" w:hAnsi="仿宋" w:cs="仿宋"/>
              </w:rPr>
            </w:pPr>
          </w:p>
        </w:tc>
        <w:tc>
          <w:tcPr>
            <w:tcW w:w="1728" w:type="dxa"/>
            <w:vMerge/>
            <w:tcBorders>
              <w:left w:val="single" w:sz="4" w:space="0" w:color="000000"/>
              <w:bottom w:val="single" w:sz="4" w:space="0" w:color="000000"/>
            </w:tcBorders>
          </w:tcPr>
          <w:p w:rsidR="00D33C55" w:rsidRDefault="00D33C55">
            <w:pPr>
              <w:rPr>
                <w:rFonts w:ascii="仿宋" w:eastAsia="仿宋" w:hAnsi="仿宋" w:cs="仿宋"/>
              </w:rPr>
            </w:pPr>
          </w:p>
        </w:tc>
        <w:tc>
          <w:tcPr>
            <w:tcW w:w="1686" w:type="dxa"/>
            <w:vMerge/>
            <w:tcBorders>
              <w:left w:val="single" w:sz="4" w:space="0" w:color="000000"/>
              <w:bottom w:val="single" w:sz="4" w:space="0" w:color="000000"/>
            </w:tcBorders>
          </w:tcPr>
          <w:p w:rsidR="00D33C55" w:rsidRDefault="00D33C55">
            <w:pPr>
              <w:rPr>
                <w:rFonts w:ascii="仿宋" w:eastAsia="仿宋" w:hAnsi="仿宋" w:cs="仿宋"/>
              </w:rPr>
            </w:pPr>
          </w:p>
        </w:tc>
        <w:tc>
          <w:tcPr>
            <w:tcW w:w="1503" w:type="dxa"/>
            <w:vMerge/>
            <w:tcBorders>
              <w:left w:val="single" w:sz="4" w:space="0" w:color="000000"/>
              <w:bottom w:val="single" w:sz="4" w:space="0" w:color="000000"/>
            </w:tcBorders>
            <w:vAlign w:val="center"/>
          </w:tcPr>
          <w:p w:rsidR="00D33C55" w:rsidRDefault="00D33C55">
            <w:pPr>
              <w:pStyle w:val="TableParagraph"/>
              <w:jc w:val="center"/>
              <w:rPr>
                <w:rFonts w:ascii="仿宋" w:eastAsia="仿宋" w:hAnsi="仿宋" w:cs="仿宋"/>
              </w:rPr>
            </w:pPr>
          </w:p>
        </w:tc>
        <w:tc>
          <w:tcPr>
            <w:tcW w:w="1704" w:type="dxa"/>
            <w:vMerge/>
            <w:tcBorders>
              <w:left w:val="single" w:sz="4" w:space="0" w:color="000000"/>
              <w:bottom w:val="single" w:sz="4" w:space="0" w:color="000000"/>
            </w:tcBorders>
            <w:vAlign w:val="center"/>
          </w:tcPr>
          <w:p w:rsidR="00D33C55" w:rsidRDefault="00D33C55">
            <w:pPr>
              <w:pStyle w:val="TableParagraph"/>
              <w:jc w:val="center"/>
              <w:rPr>
                <w:rFonts w:ascii="仿宋" w:eastAsia="仿宋" w:hAnsi="仿宋" w:cs="仿宋"/>
              </w:rPr>
            </w:pPr>
          </w:p>
        </w:tc>
        <w:tc>
          <w:tcPr>
            <w:tcW w:w="1263" w:type="dxa"/>
            <w:vMerge/>
            <w:tcBorders>
              <w:left w:val="single" w:sz="4" w:space="0" w:color="000000"/>
              <w:bottom w:val="single" w:sz="4" w:space="0" w:color="000000"/>
            </w:tcBorders>
          </w:tcPr>
          <w:p w:rsidR="00D33C55" w:rsidRDefault="00D33C55">
            <w:pPr>
              <w:rPr>
                <w:rFonts w:ascii="仿宋" w:eastAsia="仿宋" w:hAnsi="仿宋" w:cs="仿宋"/>
              </w:rPr>
            </w:pPr>
          </w:p>
        </w:tc>
        <w:tc>
          <w:tcPr>
            <w:tcW w:w="1375" w:type="dxa"/>
            <w:vMerge/>
            <w:tcBorders>
              <w:left w:val="single" w:sz="4" w:space="0" w:color="000000"/>
              <w:bottom w:val="single" w:sz="4" w:space="0" w:color="000000"/>
            </w:tcBorders>
          </w:tcPr>
          <w:p w:rsidR="00D33C55" w:rsidRDefault="00D33C55">
            <w:pPr>
              <w:rPr>
                <w:rFonts w:ascii="仿宋" w:eastAsia="仿宋" w:hAnsi="仿宋" w:cs="仿宋"/>
              </w:rPr>
            </w:pPr>
          </w:p>
        </w:tc>
        <w:tc>
          <w:tcPr>
            <w:tcW w:w="1328" w:type="dxa"/>
            <w:vMerge/>
            <w:tcBorders>
              <w:left w:val="single" w:sz="4" w:space="0" w:color="000000"/>
              <w:bottom w:val="single" w:sz="4" w:space="0" w:color="000000"/>
              <w:right w:val="single" w:sz="4" w:space="0" w:color="000000"/>
            </w:tcBorders>
          </w:tcPr>
          <w:p w:rsidR="00D33C55" w:rsidRDefault="00D33C55">
            <w:pPr>
              <w:rPr>
                <w:rFonts w:ascii="仿宋" w:eastAsia="仿宋" w:hAnsi="仿宋" w:cs="仿宋"/>
              </w:rPr>
            </w:pPr>
          </w:p>
        </w:tc>
      </w:tr>
      <w:tr w:rsidR="00D33C55">
        <w:trPr>
          <w:cantSplit/>
          <w:trHeight w:hRule="exact" w:val="267"/>
          <w:jc w:val="center"/>
        </w:trPr>
        <w:tc>
          <w:tcPr>
            <w:tcW w:w="4357" w:type="dxa"/>
            <w:gridSpan w:val="2"/>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rPr>
              <w:t>合计</w:t>
            </w:r>
          </w:p>
        </w:tc>
        <w:tc>
          <w:tcPr>
            <w:tcW w:w="1716" w:type="dxa"/>
            <w:tcBorders>
              <w:left w:val="single" w:sz="4" w:space="0" w:color="000000"/>
              <w:bottom w:val="single" w:sz="4" w:space="0" w:color="000000"/>
            </w:tcBorders>
            <w:vAlign w:val="center"/>
          </w:tcPr>
          <w:p w:rsidR="00D33C55" w:rsidRDefault="00706D03">
            <w:pPr>
              <w:jc w:val="right"/>
              <w:rPr>
                <w:rFonts w:ascii="仿宋" w:eastAsia="仿宋" w:hAnsi="仿宋" w:cs="仿宋"/>
                <w:sz w:val="20"/>
                <w:szCs w:val="20"/>
              </w:rPr>
            </w:pPr>
            <w:r>
              <w:rPr>
                <w:rFonts w:ascii="仿宋" w:eastAsia="仿宋" w:hAnsi="仿宋" w:cs="仿宋" w:hint="eastAsia"/>
                <w:sz w:val="20"/>
                <w:szCs w:val="20"/>
              </w:rPr>
              <w:t>37,598.64</w:t>
            </w:r>
          </w:p>
        </w:tc>
        <w:tc>
          <w:tcPr>
            <w:tcW w:w="1728" w:type="dxa"/>
            <w:tcBorders>
              <w:left w:val="single" w:sz="4" w:space="0" w:color="000000"/>
              <w:bottom w:val="single" w:sz="4" w:space="0" w:color="000000"/>
            </w:tcBorders>
            <w:vAlign w:val="center"/>
          </w:tcPr>
          <w:p w:rsidR="00D33C55" w:rsidRDefault="00706D03">
            <w:pPr>
              <w:jc w:val="right"/>
              <w:rPr>
                <w:rFonts w:ascii="仿宋" w:eastAsia="仿宋" w:hAnsi="仿宋" w:cs="仿宋"/>
                <w:sz w:val="20"/>
                <w:szCs w:val="20"/>
              </w:rPr>
            </w:pPr>
            <w:r>
              <w:rPr>
                <w:rFonts w:ascii="仿宋" w:eastAsia="仿宋" w:hAnsi="仿宋" w:cs="仿宋" w:hint="eastAsia"/>
                <w:sz w:val="20"/>
                <w:szCs w:val="20"/>
              </w:rPr>
              <w:t>37,490.39</w:t>
            </w:r>
          </w:p>
        </w:tc>
        <w:tc>
          <w:tcPr>
            <w:tcW w:w="1686" w:type="dxa"/>
            <w:tcBorders>
              <w:left w:val="single" w:sz="4" w:space="0" w:color="000000"/>
              <w:bottom w:val="single" w:sz="4" w:space="0" w:color="000000"/>
            </w:tcBorders>
            <w:vAlign w:val="center"/>
          </w:tcPr>
          <w:p w:rsidR="00D33C55" w:rsidRDefault="00D33C55">
            <w:pPr>
              <w:jc w:val="right"/>
              <w:rPr>
                <w:rFonts w:ascii="仿宋" w:eastAsia="仿宋" w:hAnsi="仿宋" w:cs="仿宋"/>
                <w:sz w:val="20"/>
                <w:szCs w:val="20"/>
              </w:rPr>
            </w:pPr>
          </w:p>
        </w:tc>
        <w:tc>
          <w:tcPr>
            <w:tcW w:w="1503" w:type="dxa"/>
            <w:tcBorders>
              <w:left w:val="single" w:sz="4" w:space="0" w:color="000000"/>
              <w:bottom w:val="single" w:sz="4" w:space="0" w:color="000000"/>
            </w:tcBorders>
            <w:vAlign w:val="center"/>
          </w:tcPr>
          <w:p w:rsidR="00D33C55" w:rsidRDefault="00D33C55">
            <w:pPr>
              <w:jc w:val="right"/>
              <w:rPr>
                <w:rFonts w:ascii="仿宋" w:eastAsia="仿宋" w:hAnsi="仿宋" w:cs="仿宋"/>
                <w:sz w:val="20"/>
                <w:szCs w:val="20"/>
              </w:rPr>
            </w:pPr>
          </w:p>
        </w:tc>
        <w:tc>
          <w:tcPr>
            <w:tcW w:w="1704" w:type="dxa"/>
            <w:tcBorders>
              <w:left w:val="single" w:sz="4" w:space="0" w:color="000000"/>
              <w:bottom w:val="single" w:sz="4" w:space="0" w:color="000000"/>
            </w:tcBorders>
            <w:vAlign w:val="center"/>
          </w:tcPr>
          <w:p w:rsidR="00D33C55" w:rsidRDefault="00D33C55">
            <w:pPr>
              <w:jc w:val="right"/>
              <w:rPr>
                <w:rFonts w:ascii="仿宋" w:eastAsia="仿宋" w:hAnsi="仿宋" w:cs="仿宋"/>
                <w:sz w:val="20"/>
                <w:szCs w:val="20"/>
              </w:rPr>
            </w:pPr>
          </w:p>
        </w:tc>
        <w:tc>
          <w:tcPr>
            <w:tcW w:w="1263" w:type="dxa"/>
            <w:tcBorders>
              <w:left w:val="single" w:sz="4" w:space="0" w:color="000000"/>
              <w:bottom w:val="single" w:sz="4" w:space="0" w:color="000000"/>
            </w:tcBorders>
            <w:vAlign w:val="center"/>
          </w:tcPr>
          <w:p w:rsidR="00D33C55" w:rsidRDefault="00D33C55">
            <w:pPr>
              <w:jc w:val="right"/>
              <w:rPr>
                <w:rFonts w:ascii="仿宋" w:eastAsia="仿宋" w:hAnsi="仿宋" w:cs="仿宋"/>
                <w:sz w:val="20"/>
                <w:szCs w:val="20"/>
              </w:rPr>
            </w:pPr>
          </w:p>
        </w:tc>
        <w:tc>
          <w:tcPr>
            <w:tcW w:w="1375" w:type="dxa"/>
            <w:tcBorders>
              <w:left w:val="single" w:sz="4" w:space="0" w:color="000000"/>
              <w:bottom w:val="single" w:sz="4" w:space="0" w:color="000000"/>
            </w:tcBorders>
            <w:vAlign w:val="center"/>
          </w:tcPr>
          <w:p w:rsidR="00D33C55" w:rsidRDefault="00706D03">
            <w:pPr>
              <w:jc w:val="right"/>
              <w:rPr>
                <w:rFonts w:ascii="仿宋" w:eastAsia="仿宋" w:hAnsi="仿宋" w:cs="仿宋"/>
                <w:sz w:val="20"/>
                <w:szCs w:val="20"/>
              </w:rPr>
            </w:pPr>
            <w:r>
              <w:rPr>
                <w:rFonts w:ascii="仿宋" w:eastAsia="仿宋" w:hAnsi="仿宋" w:cs="仿宋" w:hint="eastAsia"/>
                <w:sz w:val="20"/>
                <w:szCs w:val="20"/>
              </w:rPr>
              <w:tab/>
            </w:r>
          </w:p>
        </w:tc>
        <w:tc>
          <w:tcPr>
            <w:tcW w:w="1328" w:type="dxa"/>
            <w:tcBorders>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sz w:val="20"/>
                <w:szCs w:val="20"/>
              </w:rPr>
            </w:pPr>
            <w:r>
              <w:rPr>
                <w:rFonts w:ascii="仿宋" w:eastAsia="仿宋" w:hAnsi="仿宋" w:cs="仿宋" w:hint="eastAsia"/>
                <w:sz w:val="20"/>
                <w:szCs w:val="20"/>
              </w:rPr>
              <w:t>108.25</w:t>
            </w: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一般公共服务支出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21.24</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21.24</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20113</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商贸事务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17.39</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17.39</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2011308</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招商引资</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17.39</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17.39</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20125</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3.85</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3.85</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2012599</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其他港澳台事务支出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3.85</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3.85</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9.92</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9.92</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20607</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科学技术普及</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4.98</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4.98</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2060702</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科普活动</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4.98</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4.98</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20699</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4.94</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4.94</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4.94</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4.94</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5,939.67</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5,939.67</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3,043.16</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3,043.16</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2080501</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863.96</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863.96</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2080502</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事业单位离退休</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105.18</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105.18</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2080505</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1,378.06</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1,378.06</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2080506</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695.96</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695.96</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20899</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2,896.51</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2,896.51</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2,896.51</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2,896.51</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212</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城乡社区支出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3,606.75</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3,606.75</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21208</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国有土地使用权出让收入安排的支出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3,606.75</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3,606.75</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2120814</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农业生产发展支出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816.03</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816.03</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2120816</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农业农村生态环境支出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2,790.72</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2,790.72</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lastRenderedPageBreak/>
              <w:t>213</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农林水支出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20,921.11</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20,812.86</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108.25</w:t>
            </w: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农业农村</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20,917.61</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20,809.37</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108.25</w:t>
            </w: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2130101</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4,868.55</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4,868.55</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2130102</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885.78</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885.78</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2130104</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事业运行</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9,973.84</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9,956.59</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17.25</w:t>
            </w: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2130106</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科技转化与推广服务</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602.89</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562.65</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40.25</w:t>
            </w: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2130108</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病虫害控制</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40.69</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40.69</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2130109</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农产品质</w:t>
            </w:r>
            <w:proofErr w:type="gramStart"/>
            <w:r>
              <w:rPr>
                <w:rFonts w:ascii="仿宋" w:eastAsia="仿宋" w:hAnsi="仿宋" w:cs="仿宋" w:hint="eastAsia"/>
              </w:rPr>
              <w:t>量安全</w:t>
            </w:r>
            <w:proofErr w:type="gramEnd"/>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46.48</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46.48</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2130110</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执法监管</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166.62</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166.62</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2130112</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行业业务管理</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18.74</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18.74</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2130122</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农业生产发展</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3,764.35</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3,764.35</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2130135</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农业生态资源保护</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187.77</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187.77</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2130199</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其他农业农村支出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361.90</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311.15</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50.75</w:t>
            </w: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21399</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其他农林水支出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3.49</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3.49</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2139999</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其他农林水支出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3.49</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3.49</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221</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住房保障支出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7,099.96</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7,099.96</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22102</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7,099.96</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7,099.96</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2210201</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1,577.60</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1,577.60</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r w:rsidR="00D33C55">
        <w:trPr>
          <w:cantSplit/>
          <w:trHeight w:val="323"/>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2210202</w:t>
            </w:r>
          </w:p>
        </w:tc>
        <w:tc>
          <w:tcPr>
            <w:tcW w:w="315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71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5,522.36</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20"/>
                <w:szCs w:val="20"/>
              </w:rPr>
            </w:pPr>
            <w:r>
              <w:rPr>
                <w:rFonts w:ascii="仿宋" w:eastAsia="仿宋" w:hAnsi="仿宋" w:cs="仿宋" w:hint="eastAsia"/>
                <w:sz w:val="20"/>
                <w:szCs w:val="20"/>
              </w:rPr>
              <w:t>5,522.36</w:t>
            </w:r>
          </w:p>
        </w:tc>
        <w:tc>
          <w:tcPr>
            <w:tcW w:w="168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50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704"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263"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7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c>
          <w:tcPr>
            <w:tcW w:w="13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sz w:val="20"/>
                <w:szCs w:val="20"/>
              </w:rPr>
            </w:pPr>
          </w:p>
        </w:tc>
      </w:tr>
    </w:tbl>
    <w:p w:rsidR="00D33C55" w:rsidRDefault="00706D03">
      <w:pPr>
        <w:spacing w:before="66"/>
        <w:jc w:val="both"/>
        <w:rPr>
          <w:rFonts w:ascii="仿宋" w:eastAsia="仿宋" w:hAnsi="仿宋" w:cs="仿宋"/>
        </w:rPr>
      </w:pPr>
      <w:r>
        <w:rPr>
          <w:rFonts w:ascii="仿宋" w:eastAsia="仿宋" w:hAnsi="仿宋" w:cs="仿宋" w:hint="eastAsia"/>
          <w:color w:val="000000"/>
        </w:rPr>
        <w:t>注：</w:t>
      </w:r>
      <w:r>
        <w:rPr>
          <w:rFonts w:ascii="仿宋" w:eastAsia="仿宋" w:hAnsi="仿宋" w:cs="仿宋" w:hint="eastAsia"/>
        </w:rPr>
        <w:t>本表反映本年度取得的各项收入情况。本表金额单位转换时可能存在尾数误差。</w:t>
      </w:r>
    </w:p>
    <w:p w:rsidR="00D33C55" w:rsidRDefault="00D33C55">
      <w:pPr>
        <w:spacing w:before="66"/>
        <w:ind w:left="57" w:firstLineChars="100" w:firstLine="220"/>
        <w:jc w:val="both"/>
        <w:rPr>
          <w:rFonts w:ascii="仿宋" w:eastAsia="仿宋" w:hAnsi="仿宋" w:cs="仿宋"/>
        </w:rPr>
        <w:sectPr w:rsidR="00D33C55">
          <w:footerReference w:type="default" r:id="rId13"/>
          <w:pgSz w:w="16838" w:h="11906" w:orient="landscape"/>
          <w:pgMar w:top="720" w:right="113" w:bottom="720" w:left="113" w:header="170" w:footer="280" w:gutter="0"/>
          <w:pgNumType w:fmt="numberInDash"/>
          <w:cols w:space="720"/>
          <w:formProt w:val="0"/>
          <w:docGrid w:linePitch="100"/>
        </w:sectPr>
      </w:pPr>
    </w:p>
    <w:tbl>
      <w:tblPr>
        <w:tblW w:w="15689" w:type="dxa"/>
        <w:tblInd w:w="63" w:type="dxa"/>
        <w:tblLayout w:type="fixed"/>
        <w:tblCellMar>
          <w:top w:w="55" w:type="dxa"/>
          <w:left w:w="55" w:type="dxa"/>
          <w:bottom w:w="55" w:type="dxa"/>
          <w:right w:w="55" w:type="dxa"/>
        </w:tblCellMar>
        <w:tblLook w:val="04A0" w:firstRow="1" w:lastRow="0" w:firstColumn="1" w:lastColumn="0" w:noHBand="0" w:noVBand="1"/>
      </w:tblPr>
      <w:tblGrid>
        <w:gridCol w:w="1188"/>
        <w:gridCol w:w="3927"/>
        <w:gridCol w:w="2164"/>
        <w:gridCol w:w="1897"/>
        <w:gridCol w:w="1739"/>
        <w:gridCol w:w="1715"/>
        <w:gridCol w:w="1633"/>
        <w:gridCol w:w="1426"/>
      </w:tblGrid>
      <w:tr w:rsidR="00D33C55">
        <w:trPr>
          <w:trHeight w:val="532"/>
        </w:trPr>
        <w:tc>
          <w:tcPr>
            <w:tcW w:w="15689" w:type="dxa"/>
            <w:gridSpan w:val="8"/>
            <w:vAlign w:val="center"/>
          </w:tcPr>
          <w:p w:rsidR="00D33C55" w:rsidRDefault="00706D03">
            <w:pPr>
              <w:pStyle w:val="4"/>
              <w:rPr>
                <w:rFonts w:ascii="仿宋" w:eastAsia="仿宋" w:hAnsi="仿宋" w:cs="仿宋"/>
                <w:b/>
                <w:bCs/>
                <w:sz w:val="44"/>
                <w:szCs w:val="44"/>
              </w:rPr>
            </w:pPr>
            <w:r>
              <w:rPr>
                <w:rFonts w:ascii="宋体" w:eastAsia="宋体" w:hAnsi="宋体" w:cs="宋体" w:hint="eastAsia"/>
                <w:b/>
                <w:bCs/>
                <w:color w:val="000000"/>
                <w:lang w:eastAsia="ar-SA"/>
              </w:rPr>
              <w:lastRenderedPageBreak/>
              <w:t>支出决算表</w:t>
            </w:r>
          </w:p>
        </w:tc>
      </w:tr>
      <w:tr w:rsidR="00D33C55">
        <w:trPr>
          <w:trHeight w:val="227"/>
        </w:trPr>
        <w:tc>
          <w:tcPr>
            <w:tcW w:w="5115" w:type="dxa"/>
            <w:gridSpan w:val="2"/>
            <w:vAlign w:val="center"/>
          </w:tcPr>
          <w:p w:rsidR="00D33C55" w:rsidRDefault="00D33C55">
            <w:pPr>
              <w:pStyle w:val="TableParagraph"/>
              <w:jc w:val="center"/>
              <w:rPr>
                <w:rFonts w:ascii="仿宋" w:eastAsia="仿宋" w:hAnsi="仿宋" w:cs="仿宋"/>
              </w:rPr>
            </w:pPr>
          </w:p>
        </w:tc>
        <w:tc>
          <w:tcPr>
            <w:tcW w:w="2164" w:type="dxa"/>
            <w:vAlign w:val="center"/>
          </w:tcPr>
          <w:p w:rsidR="00D33C55" w:rsidRDefault="00D33C55">
            <w:pPr>
              <w:pStyle w:val="TableParagraph"/>
              <w:jc w:val="center"/>
              <w:rPr>
                <w:rFonts w:ascii="仿宋" w:eastAsia="仿宋" w:hAnsi="仿宋" w:cs="仿宋"/>
                <w:sz w:val="20"/>
              </w:rPr>
            </w:pPr>
          </w:p>
        </w:tc>
        <w:tc>
          <w:tcPr>
            <w:tcW w:w="1897" w:type="dxa"/>
            <w:vAlign w:val="center"/>
          </w:tcPr>
          <w:p w:rsidR="00D33C55" w:rsidRDefault="00D33C55">
            <w:pPr>
              <w:pStyle w:val="TableParagraph"/>
              <w:jc w:val="center"/>
              <w:rPr>
                <w:rFonts w:ascii="仿宋" w:eastAsia="仿宋" w:hAnsi="仿宋" w:cs="仿宋"/>
                <w:sz w:val="20"/>
              </w:rPr>
            </w:pPr>
          </w:p>
        </w:tc>
        <w:tc>
          <w:tcPr>
            <w:tcW w:w="1739" w:type="dxa"/>
            <w:vAlign w:val="center"/>
          </w:tcPr>
          <w:p w:rsidR="00D33C55" w:rsidRDefault="00D33C55">
            <w:pPr>
              <w:pStyle w:val="TableParagraph"/>
              <w:jc w:val="center"/>
              <w:rPr>
                <w:rFonts w:ascii="仿宋" w:eastAsia="仿宋" w:hAnsi="仿宋" w:cs="仿宋"/>
                <w:sz w:val="20"/>
              </w:rPr>
            </w:pPr>
          </w:p>
        </w:tc>
        <w:tc>
          <w:tcPr>
            <w:tcW w:w="1715" w:type="dxa"/>
            <w:vAlign w:val="center"/>
          </w:tcPr>
          <w:p w:rsidR="00D33C55" w:rsidRDefault="00D33C55">
            <w:pPr>
              <w:pStyle w:val="TableParagraph"/>
              <w:jc w:val="center"/>
              <w:rPr>
                <w:rFonts w:ascii="仿宋" w:eastAsia="仿宋" w:hAnsi="仿宋" w:cs="仿宋"/>
                <w:sz w:val="20"/>
              </w:rPr>
            </w:pPr>
          </w:p>
        </w:tc>
        <w:tc>
          <w:tcPr>
            <w:tcW w:w="3059" w:type="dxa"/>
            <w:gridSpan w:val="2"/>
            <w:vAlign w:val="center"/>
          </w:tcPr>
          <w:p w:rsidR="00D33C55" w:rsidRDefault="00706D03">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03</w:t>
            </w:r>
            <w:r>
              <w:rPr>
                <w:rFonts w:ascii="仿宋" w:eastAsia="仿宋" w:hAnsi="仿宋" w:cs="仿宋" w:hint="eastAsia"/>
              </w:rPr>
              <w:t>表</w:t>
            </w:r>
          </w:p>
        </w:tc>
      </w:tr>
      <w:tr w:rsidR="00D33C55">
        <w:trPr>
          <w:trHeight w:val="90"/>
        </w:trPr>
        <w:tc>
          <w:tcPr>
            <w:tcW w:w="12630" w:type="dxa"/>
            <w:gridSpan w:val="6"/>
            <w:vAlign w:val="center"/>
          </w:tcPr>
          <w:p w:rsidR="00D33C55" w:rsidRDefault="00706D03">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南京市农业农村局</w:t>
            </w:r>
          </w:p>
        </w:tc>
        <w:tc>
          <w:tcPr>
            <w:tcW w:w="3059" w:type="dxa"/>
            <w:gridSpan w:val="2"/>
            <w:vAlign w:val="center"/>
          </w:tcPr>
          <w:p w:rsidR="00D33C55" w:rsidRDefault="00706D03">
            <w:pPr>
              <w:pStyle w:val="TableParagraph"/>
              <w:jc w:val="right"/>
              <w:rPr>
                <w:rFonts w:ascii="仿宋" w:eastAsia="仿宋" w:hAnsi="仿宋" w:cs="仿宋"/>
              </w:rPr>
            </w:pPr>
            <w:r>
              <w:rPr>
                <w:rFonts w:ascii="仿宋" w:eastAsia="仿宋" w:hAnsi="仿宋" w:cs="仿宋" w:hint="eastAsia"/>
              </w:rPr>
              <w:t>金额单位：万元</w:t>
            </w:r>
          </w:p>
        </w:tc>
      </w:tr>
      <w:tr w:rsidR="00D33C55">
        <w:trPr>
          <w:trHeight w:val="90"/>
        </w:trPr>
        <w:tc>
          <w:tcPr>
            <w:tcW w:w="5115" w:type="dxa"/>
            <w:gridSpan w:val="2"/>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项目</w:t>
            </w:r>
          </w:p>
        </w:tc>
        <w:tc>
          <w:tcPr>
            <w:tcW w:w="2164" w:type="dxa"/>
            <w:vMerge w:val="restart"/>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本年支出合计</w:t>
            </w:r>
          </w:p>
        </w:tc>
        <w:tc>
          <w:tcPr>
            <w:tcW w:w="1897" w:type="dxa"/>
            <w:vMerge w:val="restart"/>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基本支出</w:t>
            </w:r>
          </w:p>
        </w:tc>
        <w:tc>
          <w:tcPr>
            <w:tcW w:w="1739" w:type="dxa"/>
            <w:vMerge w:val="restart"/>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项目支出</w:t>
            </w:r>
          </w:p>
        </w:tc>
        <w:tc>
          <w:tcPr>
            <w:tcW w:w="1715" w:type="dxa"/>
            <w:vMerge w:val="restart"/>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上缴上级支出</w:t>
            </w:r>
          </w:p>
        </w:tc>
        <w:tc>
          <w:tcPr>
            <w:tcW w:w="1633" w:type="dxa"/>
            <w:vMerge w:val="restart"/>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经营支出</w:t>
            </w:r>
          </w:p>
        </w:tc>
        <w:tc>
          <w:tcPr>
            <w:tcW w:w="1426" w:type="dxa"/>
            <w:vMerge w:val="restart"/>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对附属单位补助支出</w:t>
            </w:r>
          </w:p>
        </w:tc>
      </w:tr>
      <w:tr w:rsidR="00D33C55">
        <w:trPr>
          <w:trHeight w:val="176"/>
        </w:trPr>
        <w:tc>
          <w:tcPr>
            <w:tcW w:w="1188"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功能分类</w:t>
            </w:r>
          </w:p>
          <w:p w:rsidR="00D33C55" w:rsidRDefault="00706D03">
            <w:pPr>
              <w:pStyle w:val="TableParagraph"/>
              <w:jc w:val="center"/>
              <w:rPr>
                <w:rFonts w:ascii="仿宋" w:eastAsia="仿宋" w:hAnsi="仿宋" w:cs="仿宋"/>
              </w:rPr>
            </w:pPr>
            <w:r>
              <w:rPr>
                <w:rFonts w:ascii="仿宋" w:eastAsia="仿宋" w:hAnsi="仿宋" w:cs="仿宋" w:hint="eastAsia"/>
              </w:rPr>
              <w:t>科目编码</w:t>
            </w:r>
          </w:p>
        </w:tc>
        <w:tc>
          <w:tcPr>
            <w:tcW w:w="3927"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科目名称</w:t>
            </w:r>
          </w:p>
        </w:tc>
        <w:tc>
          <w:tcPr>
            <w:tcW w:w="2164" w:type="dxa"/>
            <w:vMerge/>
            <w:tcBorders>
              <w:left w:val="single" w:sz="4" w:space="0" w:color="000000"/>
              <w:bottom w:val="single" w:sz="4" w:space="0" w:color="000000"/>
            </w:tcBorders>
          </w:tcPr>
          <w:p w:rsidR="00D33C55" w:rsidRDefault="00D33C55">
            <w:pPr>
              <w:rPr>
                <w:rFonts w:ascii="仿宋" w:eastAsia="仿宋" w:hAnsi="仿宋" w:cs="仿宋"/>
              </w:rPr>
            </w:pPr>
          </w:p>
        </w:tc>
        <w:tc>
          <w:tcPr>
            <w:tcW w:w="1897" w:type="dxa"/>
            <w:vMerge/>
            <w:tcBorders>
              <w:left w:val="single" w:sz="4" w:space="0" w:color="000000"/>
              <w:bottom w:val="single" w:sz="4" w:space="0" w:color="000000"/>
            </w:tcBorders>
          </w:tcPr>
          <w:p w:rsidR="00D33C55" w:rsidRDefault="00D33C55">
            <w:pPr>
              <w:rPr>
                <w:rFonts w:ascii="仿宋" w:eastAsia="仿宋" w:hAnsi="仿宋" w:cs="仿宋"/>
              </w:rPr>
            </w:pPr>
          </w:p>
        </w:tc>
        <w:tc>
          <w:tcPr>
            <w:tcW w:w="1739" w:type="dxa"/>
            <w:vMerge/>
            <w:tcBorders>
              <w:left w:val="single" w:sz="4" w:space="0" w:color="000000"/>
              <w:bottom w:val="single" w:sz="4" w:space="0" w:color="000000"/>
            </w:tcBorders>
          </w:tcPr>
          <w:p w:rsidR="00D33C55" w:rsidRDefault="00D33C55">
            <w:pPr>
              <w:rPr>
                <w:rFonts w:ascii="仿宋" w:eastAsia="仿宋" w:hAnsi="仿宋" w:cs="仿宋"/>
              </w:rPr>
            </w:pPr>
          </w:p>
        </w:tc>
        <w:tc>
          <w:tcPr>
            <w:tcW w:w="1715" w:type="dxa"/>
            <w:vMerge/>
            <w:tcBorders>
              <w:left w:val="single" w:sz="4" w:space="0" w:color="000000"/>
              <w:bottom w:val="single" w:sz="4" w:space="0" w:color="000000"/>
            </w:tcBorders>
          </w:tcPr>
          <w:p w:rsidR="00D33C55" w:rsidRDefault="00D33C55">
            <w:pPr>
              <w:rPr>
                <w:rFonts w:ascii="仿宋" w:eastAsia="仿宋" w:hAnsi="仿宋" w:cs="仿宋"/>
              </w:rPr>
            </w:pPr>
          </w:p>
        </w:tc>
        <w:tc>
          <w:tcPr>
            <w:tcW w:w="1633" w:type="dxa"/>
            <w:vMerge/>
            <w:tcBorders>
              <w:left w:val="single" w:sz="4" w:space="0" w:color="000000"/>
              <w:bottom w:val="single" w:sz="4" w:space="0" w:color="000000"/>
            </w:tcBorders>
          </w:tcPr>
          <w:p w:rsidR="00D33C55" w:rsidRDefault="00D33C55">
            <w:pPr>
              <w:rPr>
                <w:rFonts w:ascii="仿宋" w:eastAsia="仿宋" w:hAnsi="仿宋" w:cs="仿宋"/>
              </w:rPr>
            </w:pPr>
          </w:p>
        </w:tc>
        <w:tc>
          <w:tcPr>
            <w:tcW w:w="1426" w:type="dxa"/>
            <w:vMerge/>
            <w:tcBorders>
              <w:left w:val="single" w:sz="4" w:space="0" w:color="000000"/>
              <w:bottom w:val="single" w:sz="4" w:space="0" w:color="000000"/>
              <w:right w:val="single" w:sz="4" w:space="0" w:color="000000"/>
            </w:tcBorders>
          </w:tcPr>
          <w:p w:rsidR="00D33C55" w:rsidRDefault="00D33C55">
            <w:pPr>
              <w:rPr>
                <w:rFonts w:ascii="仿宋" w:eastAsia="仿宋" w:hAnsi="仿宋" w:cs="仿宋"/>
              </w:rPr>
            </w:pPr>
          </w:p>
        </w:tc>
      </w:tr>
      <w:tr w:rsidR="00D33C55">
        <w:trPr>
          <w:trHeight w:hRule="exact" w:val="382"/>
        </w:trPr>
        <w:tc>
          <w:tcPr>
            <w:tcW w:w="5115" w:type="dxa"/>
            <w:gridSpan w:val="2"/>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rPr>
              <w:t>合计</w:t>
            </w:r>
          </w:p>
        </w:tc>
        <w:tc>
          <w:tcPr>
            <w:tcW w:w="2164" w:type="dxa"/>
            <w:tcBorders>
              <w:left w:val="single" w:sz="4" w:space="0" w:color="000000"/>
              <w:bottom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37,615.26</w:t>
            </w:r>
          </w:p>
        </w:tc>
        <w:tc>
          <w:tcPr>
            <w:tcW w:w="1897" w:type="dxa"/>
            <w:tcBorders>
              <w:left w:val="single" w:sz="4" w:space="0" w:color="000000"/>
              <w:bottom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24,702.47</w:t>
            </w:r>
          </w:p>
        </w:tc>
        <w:tc>
          <w:tcPr>
            <w:tcW w:w="1739" w:type="dxa"/>
            <w:tcBorders>
              <w:left w:val="single" w:sz="4" w:space="0" w:color="000000"/>
              <w:bottom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12,912.80</w:t>
            </w:r>
          </w:p>
        </w:tc>
        <w:tc>
          <w:tcPr>
            <w:tcW w:w="1715" w:type="dxa"/>
            <w:tcBorders>
              <w:left w:val="single" w:sz="4" w:space="0" w:color="000000"/>
              <w:bottom w:val="single" w:sz="4" w:space="0" w:color="000000"/>
            </w:tcBorders>
            <w:vAlign w:val="center"/>
          </w:tcPr>
          <w:p w:rsidR="00D33C55" w:rsidRDefault="00D33C55">
            <w:pPr>
              <w:jc w:val="right"/>
              <w:rPr>
                <w:rFonts w:ascii="仿宋" w:eastAsia="仿宋" w:hAnsi="仿宋" w:cs="仿宋"/>
              </w:rPr>
            </w:pPr>
          </w:p>
        </w:tc>
        <w:tc>
          <w:tcPr>
            <w:tcW w:w="1633" w:type="dxa"/>
            <w:tcBorders>
              <w:left w:val="single" w:sz="4" w:space="0" w:color="000000"/>
              <w:bottom w:val="single" w:sz="4" w:space="0" w:color="000000"/>
            </w:tcBorders>
            <w:vAlign w:val="center"/>
          </w:tcPr>
          <w:p w:rsidR="00D33C55" w:rsidRDefault="00D33C55">
            <w:pPr>
              <w:jc w:val="right"/>
              <w:rPr>
                <w:rFonts w:ascii="仿宋" w:eastAsia="仿宋" w:hAnsi="仿宋" w:cs="仿宋"/>
              </w:rPr>
            </w:pPr>
          </w:p>
        </w:tc>
        <w:tc>
          <w:tcPr>
            <w:tcW w:w="1426" w:type="dxa"/>
            <w:tcBorders>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201</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一般公共服务支出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21.24</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21.24</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20113</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商贸事务</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17.39</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17.39</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2011308</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招商引资</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17.39</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17.39</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20125</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3.85</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3.85</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2012599</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其他港澳台事务支出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3.85</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3.85</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206</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科学技术支出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9.92</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9.92</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20607</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科学技术普及</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4.98</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4.98</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2060702</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科普活动</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4.98</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4.98</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20699</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4.94</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4.94</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2069999</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4.94</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4.94</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208</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5,940.61</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3,146.79</w:t>
            </w: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2,793.81</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20805</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3,044.10</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3,044.10</w:t>
            </w:r>
          </w:p>
        </w:tc>
        <w:tc>
          <w:tcPr>
            <w:tcW w:w="1739"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2080501</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863.96</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863.96</w:t>
            </w:r>
          </w:p>
        </w:tc>
        <w:tc>
          <w:tcPr>
            <w:tcW w:w="1739"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2080502</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事业单位离退休</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105.18</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105.18</w:t>
            </w:r>
          </w:p>
        </w:tc>
        <w:tc>
          <w:tcPr>
            <w:tcW w:w="1739"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2080505</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1,378.68</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1,378.68</w:t>
            </w:r>
          </w:p>
        </w:tc>
        <w:tc>
          <w:tcPr>
            <w:tcW w:w="1739"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lastRenderedPageBreak/>
              <w:t>2080506</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696.27</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696.27</w:t>
            </w:r>
          </w:p>
        </w:tc>
        <w:tc>
          <w:tcPr>
            <w:tcW w:w="1739"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20899</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2,896.51</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102.70</w:t>
            </w: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2,793.81</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2089999</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2,896.51</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102.70</w:t>
            </w: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2,793.81</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212</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城乡社区支出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3,606.71</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3,606.71</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21208</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国有土地使用权出让收入安排的支出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3,606.71</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3,606.71</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2120814</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农业生产发展支出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816.03</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816.03</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2120816</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农业农村生态环境支出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2,790.68</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2,790.68</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农林水支出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20,936.07</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14,469.76</w:t>
            </w: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6,466.30</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21301</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农业农村</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20,932.57</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14,469.76</w:t>
            </w: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6,462.81</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2130101</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4,859.96</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4,859.96</w:t>
            </w:r>
          </w:p>
        </w:tc>
        <w:tc>
          <w:tcPr>
            <w:tcW w:w="1739"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2130102</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885.78</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885.78</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2130104</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事业运行</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10,034.23</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9,609.81</w:t>
            </w: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424.42</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2130106</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科技转化与推广服务</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601.31</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601.31</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2130108</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病虫害控制</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40.69</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40.69</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2130109</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农产品质</w:t>
            </w:r>
            <w:proofErr w:type="gramStart"/>
            <w:r>
              <w:rPr>
                <w:rFonts w:ascii="仿宋" w:eastAsia="仿宋" w:hAnsi="仿宋" w:cs="仿宋" w:hint="eastAsia"/>
              </w:rPr>
              <w:t>量安全</w:t>
            </w:r>
            <w:proofErr w:type="gramEnd"/>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46.48</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46.48</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2130110</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执法监管</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166.62</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166.62</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2130112</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行业业务管理</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18.74</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18.74</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2130122</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农业生产发展</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3,764.30</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3,764.30</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2130135</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农业生态资源保护</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187.77</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187.77</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2130199</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其他农业农村支出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326.70</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326.70</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21399</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其他农林水支出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3.49</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3.49</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lastRenderedPageBreak/>
              <w:t>2139999</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其他农林水支出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3.49</w:t>
            </w:r>
          </w:p>
        </w:tc>
        <w:tc>
          <w:tcPr>
            <w:tcW w:w="1897"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3.49</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221</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住房保障支出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7,100.72</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7,085.91</w:t>
            </w: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14.81</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22102</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7,100.72</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7,085.91</w:t>
            </w: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14.81</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2210201</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1,577.76</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1,565.81</w:t>
            </w: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11.95</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r w:rsidR="00D33C55">
        <w:trPr>
          <w:cantSplit/>
          <w:trHeight w:val="348"/>
        </w:trPr>
        <w:tc>
          <w:tcPr>
            <w:tcW w:w="1188"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2210202</w:t>
            </w:r>
          </w:p>
        </w:tc>
        <w:tc>
          <w:tcPr>
            <w:tcW w:w="392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2164"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5,522.97</w:t>
            </w:r>
          </w:p>
        </w:tc>
        <w:tc>
          <w:tcPr>
            <w:tcW w:w="1897"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5,520.11</w:t>
            </w:r>
          </w:p>
        </w:tc>
        <w:tc>
          <w:tcPr>
            <w:tcW w:w="1739" w:type="dxa"/>
            <w:tcBorders>
              <w:top w:val="single" w:sz="4" w:space="0" w:color="000000"/>
              <w:left w:val="single" w:sz="4" w:space="0" w:color="000000"/>
              <w:bottom w:val="single" w:sz="4" w:space="0" w:color="000000"/>
              <w:right w:val="single" w:sz="4" w:space="0" w:color="000000"/>
            </w:tcBorders>
          </w:tcPr>
          <w:p w:rsidR="00D33C55" w:rsidRDefault="00706D03">
            <w:pPr>
              <w:pStyle w:val="TableParagraph"/>
              <w:spacing w:before="30"/>
              <w:ind w:left="107"/>
              <w:jc w:val="right"/>
              <w:rPr>
                <w:rFonts w:ascii="仿宋" w:eastAsia="仿宋" w:hAnsi="仿宋" w:cs="仿宋"/>
              </w:rPr>
            </w:pPr>
            <w:r>
              <w:rPr>
                <w:rFonts w:ascii="仿宋" w:eastAsia="仿宋" w:hAnsi="仿宋" w:cs="仿宋" w:hint="eastAsia"/>
              </w:rPr>
              <w:t>2.86</w:t>
            </w:r>
          </w:p>
        </w:tc>
        <w:tc>
          <w:tcPr>
            <w:tcW w:w="1715"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633"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c>
          <w:tcPr>
            <w:tcW w:w="1426" w:type="dxa"/>
            <w:tcBorders>
              <w:top w:val="single" w:sz="4" w:space="0" w:color="000000"/>
              <w:left w:val="single" w:sz="4" w:space="0" w:color="000000"/>
              <w:bottom w:val="single" w:sz="4" w:space="0" w:color="000000"/>
              <w:right w:val="single" w:sz="4" w:space="0" w:color="000000"/>
            </w:tcBorders>
          </w:tcPr>
          <w:p w:rsidR="00D33C55" w:rsidRDefault="00D33C55">
            <w:pPr>
              <w:pStyle w:val="TableParagraph"/>
              <w:spacing w:before="30"/>
              <w:ind w:left="107"/>
              <w:jc w:val="right"/>
              <w:rPr>
                <w:rFonts w:ascii="仿宋" w:eastAsia="仿宋" w:hAnsi="仿宋" w:cs="仿宋"/>
              </w:rPr>
            </w:pPr>
          </w:p>
        </w:tc>
      </w:tr>
    </w:tbl>
    <w:p w:rsidR="00D33C55" w:rsidRDefault="00706D03">
      <w:pPr>
        <w:spacing w:before="59"/>
        <w:rPr>
          <w:rFonts w:ascii="仿宋" w:eastAsia="仿宋" w:hAnsi="仿宋" w:cs="仿宋"/>
        </w:rPr>
      </w:pPr>
      <w:r>
        <w:rPr>
          <w:rFonts w:ascii="仿宋" w:eastAsia="仿宋" w:hAnsi="仿宋" w:cs="仿宋" w:hint="eastAsia"/>
        </w:rPr>
        <w:t>注：本表反映本年度各项支出情况。本表金额单位转换时可能存在尾数误差。</w:t>
      </w:r>
    </w:p>
    <w:p w:rsidR="00D33C55" w:rsidRDefault="00D33C55">
      <w:pPr>
        <w:spacing w:before="59"/>
        <w:ind w:left="57"/>
        <w:rPr>
          <w:rFonts w:ascii="仿宋" w:eastAsia="仿宋" w:hAnsi="仿宋" w:cs="仿宋"/>
        </w:rPr>
        <w:sectPr w:rsidR="00D33C55">
          <w:footerReference w:type="default" r:id="rId14"/>
          <w:pgSz w:w="16838" w:h="11906" w:orient="landscape"/>
          <w:pgMar w:top="720" w:right="567" w:bottom="720" w:left="567" w:header="170" w:footer="280" w:gutter="0"/>
          <w:pgNumType w:fmt="numberInDash"/>
          <w:cols w:space="720"/>
          <w:formProt w:val="0"/>
          <w:docGrid w:linePitch="100"/>
        </w:sectPr>
      </w:pPr>
    </w:p>
    <w:tbl>
      <w:tblPr>
        <w:tblW w:w="15372" w:type="dxa"/>
        <w:tblInd w:w="75" w:type="dxa"/>
        <w:tblLayout w:type="fixed"/>
        <w:tblCellMar>
          <w:top w:w="55" w:type="dxa"/>
          <w:left w:w="55" w:type="dxa"/>
          <w:bottom w:w="55" w:type="dxa"/>
          <w:right w:w="55" w:type="dxa"/>
        </w:tblCellMar>
        <w:tblLook w:val="04A0" w:firstRow="1" w:lastRow="0" w:firstColumn="1" w:lastColumn="0" w:noHBand="0" w:noVBand="1"/>
      </w:tblPr>
      <w:tblGrid>
        <w:gridCol w:w="3725"/>
        <w:gridCol w:w="1837"/>
        <w:gridCol w:w="847"/>
        <w:gridCol w:w="1913"/>
        <w:gridCol w:w="907"/>
        <w:gridCol w:w="1728"/>
        <w:gridCol w:w="1194"/>
        <w:gridCol w:w="221"/>
        <w:gridCol w:w="1500"/>
        <w:gridCol w:w="1500"/>
      </w:tblGrid>
      <w:tr w:rsidR="00D33C55">
        <w:trPr>
          <w:trHeight w:val="319"/>
        </w:trPr>
        <w:tc>
          <w:tcPr>
            <w:tcW w:w="15372" w:type="dxa"/>
            <w:gridSpan w:val="10"/>
          </w:tcPr>
          <w:p w:rsidR="00D33C55" w:rsidRDefault="00706D0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财政拨款收入支出决算总表</w:t>
            </w:r>
          </w:p>
        </w:tc>
      </w:tr>
      <w:tr w:rsidR="00D33C55">
        <w:trPr>
          <w:trHeight w:val="319"/>
        </w:trPr>
        <w:tc>
          <w:tcPr>
            <w:tcW w:w="5562" w:type="dxa"/>
            <w:gridSpan w:val="2"/>
          </w:tcPr>
          <w:p w:rsidR="00D33C55" w:rsidRDefault="00D33C55">
            <w:pPr>
              <w:pStyle w:val="TableParagraph"/>
              <w:rPr>
                <w:rFonts w:ascii="仿宋" w:eastAsia="仿宋" w:hAnsi="仿宋" w:cs="仿宋"/>
                <w:sz w:val="20"/>
              </w:rPr>
            </w:pPr>
          </w:p>
        </w:tc>
        <w:tc>
          <w:tcPr>
            <w:tcW w:w="847" w:type="dxa"/>
          </w:tcPr>
          <w:p w:rsidR="00D33C55" w:rsidRDefault="00D33C55">
            <w:pPr>
              <w:pStyle w:val="TableParagraph"/>
              <w:rPr>
                <w:rFonts w:ascii="仿宋" w:eastAsia="仿宋" w:hAnsi="仿宋" w:cs="仿宋"/>
                <w:sz w:val="20"/>
              </w:rPr>
            </w:pPr>
          </w:p>
        </w:tc>
        <w:tc>
          <w:tcPr>
            <w:tcW w:w="1913" w:type="dxa"/>
          </w:tcPr>
          <w:p w:rsidR="00D33C55" w:rsidRDefault="00D33C55">
            <w:pPr>
              <w:pStyle w:val="TableParagraph"/>
              <w:rPr>
                <w:rFonts w:ascii="仿宋" w:eastAsia="仿宋" w:hAnsi="仿宋" w:cs="仿宋"/>
                <w:sz w:val="20"/>
              </w:rPr>
            </w:pPr>
          </w:p>
        </w:tc>
        <w:tc>
          <w:tcPr>
            <w:tcW w:w="2635" w:type="dxa"/>
            <w:gridSpan w:val="2"/>
          </w:tcPr>
          <w:p w:rsidR="00D33C55" w:rsidRDefault="00D33C55">
            <w:pPr>
              <w:pStyle w:val="TableParagraph"/>
              <w:rPr>
                <w:rFonts w:ascii="仿宋" w:eastAsia="仿宋" w:hAnsi="仿宋" w:cs="仿宋"/>
                <w:sz w:val="20"/>
              </w:rPr>
            </w:pPr>
          </w:p>
        </w:tc>
        <w:tc>
          <w:tcPr>
            <w:tcW w:w="1194" w:type="dxa"/>
          </w:tcPr>
          <w:p w:rsidR="00D33C55" w:rsidRDefault="00D33C55">
            <w:pPr>
              <w:pStyle w:val="TableParagraph"/>
              <w:rPr>
                <w:rFonts w:ascii="仿宋" w:eastAsia="仿宋" w:hAnsi="仿宋" w:cs="仿宋"/>
                <w:sz w:val="20"/>
              </w:rPr>
            </w:pPr>
          </w:p>
        </w:tc>
        <w:tc>
          <w:tcPr>
            <w:tcW w:w="3221" w:type="dxa"/>
            <w:gridSpan w:val="3"/>
            <w:vAlign w:val="center"/>
          </w:tcPr>
          <w:p w:rsidR="00D33C55" w:rsidRDefault="00706D03">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04</w:t>
            </w:r>
            <w:r>
              <w:rPr>
                <w:rFonts w:ascii="仿宋" w:eastAsia="仿宋" w:hAnsi="仿宋" w:cs="仿宋" w:hint="eastAsia"/>
              </w:rPr>
              <w:t>表</w:t>
            </w:r>
          </w:p>
        </w:tc>
      </w:tr>
      <w:tr w:rsidR="00D33C55">
        <w:trPr>
          <w:trHeight w:val="319"/>
        </w:trPr>
        <w:tc>
          <w:tcPr>
            <w:tcW w:w="12151" w:type="dxa"/>
            <w:gridSpan w:val="7"/>
          </w:tcPr>
          <w:p w:rsidR="00D33C55" w:rsidRDefault="00706D03">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南京市农业农村局</w:t>
            </w:r>
          </w:p>
        </w:tc>
        <w:tc>
          <w:tcPr>
            <w:tcW w:w="3221" w:type="dxa"/>
            <w:gridSpan w:val="3"/>
            <w:vAlign w:val="center"/>
          </w:tcPr>
          <w:p w:rsidR="00D33C55" w:rsidRDefault="00706D03">
            <w:pPr>
              <w:pStyle w:val="TableParagraph"/>
              <w:jc w:val="right"/>
              <w:rPr>
                <w:rFonts w:ascii="仿宋" w:eastAsia="仿宋" w:hAnsi="仿宋" w:cs="仿宋"/>
              </w:rPr>
            </w:pPr>
            <w:r>
              <w:rPr>
                <w:rFonts w:ascii="仿宋" w:eastAsia="仿宋" w:hAnsi="仿宋" w:cs="仿宋" w:hint="eastAsia"/>
              </w:rPr>
              <w:t>金额单位：万元</w:t>
            </w:r>
          </w:p>
        </w:tc>
      </w:tr>
      <w:tr w:rsidR="00D33C55">
        <w:trPr>
          <w:trHeight w:val="162"/>
        </w:trPr>
        <w:tc>
          <w:tcPr>
            <w:tcW w:w="5562" w:type="dxa"/>
            <w:gridSpan w:val="2"/>
            <w:tcBorders>
              <w:top w:val="single" w:sz="4" w:space="0" w:color="000000"/>
              <w:left w:val="single" w:sz="4" w:space="0" w:color="000000"/>
              <w:bottom w:val="single" w:sz="4" w:space="0" w:color="000000"/>
            </w:tcBorders>
          </w:tcPr>
          <w:p w:rsidR="00D33C55" w:rsidRDefault="00706D03">
            <w:pPr>
              <w:pStyle w:val="TableParagraph"/>
              <w:jc w:val="center"/>
              <w:rPr>
                <w:rFonts w:ascii="仿宋" w:eastAsia="仿宋" w:hAnsi="仿宋" w:cs="仿宋"/>
              </w:rPr>
            </w:pPr>
            <w:r>
              <w:rPr>
                <w:rFonts w:ascii="仿宋" w:eastAsia="仿宋" w:hAnsi="仿宋" w:cs="仿宋" w:hint="eastAsia"/>
              </w:rPr>
              <w:t>收</w:t>
            </w:r>
            <w:r>
              <w:rPr>
                <w:rFonts w:ascii="仿宋" w:eastAsia="仿宋" w:hAnsi="仿宋" w:cs="仿宋" w:hint="eastAsia"/>
              </w:rPr>
              <w:tab/>
            </w:r>
            <w:r>
              <w:rPr>
                <w:rFonts w:ascii="仿宋" w:eastAsia="仿宋" w:hAnsi="仿宋" w:cs="仿宋" w:hint="eastAsia"/>
              </w:rPr>
              <w:t>入</w:t>
            </w:r>
          </w:p>
        </w:tc>
        <w:tc>
          <w:tcPr>
            <w:tcW w:w="9810" w:type="dxa"/>
            <w:gridSpan w:val="8"/>
            <w:tcBorders>
              <w:top w:val="single" w:sz="4" w:space="0" w:color="000000"/>
              <w:left w:val="single" w:sz="4" w:space="0" w:color="000000"/>
              <w:bottom w:val="single" w:sz="4" w:space="0" w:color="000000"/>
              <w:right w:val="single" w:sz="4" w:space="0" w:color="000000"/>
            </w:tcBorders>
          </w:tcPr>
          <w:p w:rsidR="00D33C55" w:rsidRDefault="00706D03">
            <w:pPr>
              <w:pStyle w:val="TableParagraph"/>
              <w:jc w:val="center"/>
              <w:rPr>
                <w:rFonts w:ascii="仿宋" w:eastAsia="仿宋" w:hAnsi="仿宋" w:cs="仿宋"/>
              </w:rPr>
            </w:pPr>
            <w:r>
              <w:rPr>
                <w:rFonts w:ascii="仿宋" w:eastAsia="仿宋" w:hAnsi="仿宋" w:cs="仿宋" w:hint="eastAsia"/>
              </w:rPr>
              <w:t>支</w:t>
            </w:r>
            <w:r>
              <w:rPr>
                <w:rFonts w:ascii="仿宋" w:eastAsia="仿宋" w:hAnsi="仿宋" w:cs="仿宋" w:hint="eastAsia"/>
              </w:rPr>
              <w:tab/>
            </w:r>
            <w:r>
              <w:rPr>
                <w:rFonts w:ascii="仿宋" w:eastAsia="仿宋" w:hAnsi="仿宋" w:cs="仿宋" w:hint="eastAsia"/>
              </w:rPr>
              <w:t>出</w:t>
            </w:r>
          </w:p>
        </w:tc>
      </w:tr>
      <w:tr w:rsidR="00D33C55">
        <w:trPr>
          <w:trHeight w:val="199"/>
        </w:trPr>
        <w:tc>
          <w:tcPr>
            <w:tcW w:w="3725" w:type="dxa"/>
            <w:vMerge w:val="restart"/>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837" w:type="dxa"/>
            <w:vMerge w:val="restart"/>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决算数</w:t>
            </w:r>
          </w:p>
        </w:tc>
        <w:tc>
          <w:tcPr>
            <w:tcW w:w="3667" w:type="dxa"/>
            <w:gridSpan w:val="3"/>
            <w:vMerge w:val="restart"/>
            <w:tcBorders>
              <w:left w:val="single" w:sz="4" w:space="0" w:color="000000"/>
              <w:bottom w:val="single" w:sz="4" w:space="0" w:color="000000"/>
            </w:tcBorders>
            <w:vAlign w:val="center"/>
          </w:tcPr>
          <w:p w:rsidR="00D33C55" w:rsidRDefault="00706D03">
            <w:pPr>
              <w:jc w:val="center"/>
              <w:rPr>
                <w:rFonts w:ascii="仿宋" w:eastAsia="仿宋" w:hAnsi="仿宋" w:cs="仿宋"/>
              </w:rPr>
            </w:pPr>
            <w:r>
              <w:rPr>
                <w:rFonts w:ascii="仿宋" w:eastAsia="仿宋" w:hAnsi="仿宋" w:cs="仿宋" w:hint="eastAsia"/>
              </w:rPr>
              <w:t>按功能分类</w:t>
            </w:r>
          </w:p>
        </w:tc>
        <w:tc>
          <w:tcPr>
            <w:tcW w:w="6143" w:type="dxa"/>
            <w:gridSpan w:val="5"/>
            <w:tcBorders>
              <w:left w:val="single" w:sz="4" w:space="0" w:color="000000"/>
              <w:bottom w:val="single" w:sz="4" w:space="0" w:color="000000"/>
              <w:right w:val="single" w:sz="4" w:space="0" w:color="000000"/>
            </w:tcBorders>
            <w:vAlign w:val="center"/>
          </w:tcPr>
          <w:p w:rsidR="00D33C55" w:rsidRDefault="00706D03">
            <w:pPr>
              <w:jc w:val="center"/>
              <w:rPr>
                <w:rFonts w:ascii="仿宋" w:eastAsia="仿宋" w:hAnsi="仿宋" w:cs="仿宋"/>
              </w:rPr>
            </w:pPr>
            <w:r>
              <w:rPr>
                <w:rFonts w:ascii="仿宋" w:eastAsia="仿宋" w:hAnsi="仿宋" w:cs="仿宋" w:hint="eastAsia"/>
              </w:rPr>
              <w:t>决算数</w:t>
            </w:r>
          </w:p>
        </w:tc>
      </w:tr>
      <w:tr w:rsidR="00D33C55">
        <w:trPr>
          <w:trHeight w:val="578"/>
        </w:trPr>
        <w:tc>
          <w:tcPr>
            <w:tcW w:w="3725" w:type="dxa"/>
            <w:vMerge/>
            <w:tcBorders>
              <w:left w:val="single" w:sz="4" w:space="0" w:color="000000"/>
              <w:bottom w:val="single" w:sz="4" w:space="0" w:color="000000"/>
            </w:tcBorders>
          </w:tcPr>
          <w:p w:rsidR="00D33C55" w:rsidRDefault="00D33C55">
            <w:pPr>
              <w:pStyle w:val="TableParagraph"/>
              <w:rPr>
                <w:rFonts w:ascii="仿宋" w:eastAsia="仿宋" w:hAnsi="仿宋" w:cs="仿宋"/>
              </w:rPr>
            </w:pPr>
          </w:p>
        </w:tc>
        <w:tc>
          <w:tcPr>
            <w:tcW w:w="1837" w:type="dxa"/>
            <w:vMerge/>
            <w:tcBorders>
              <w:left w:val="single" w:sz="4" w:space="0" w:color="000000"/>
              <w:bottom w:val="single" w:sz="4" w:space="0" w:color="000000"/>
            </w:tcBorders>
          </w:tcPr>
          <w:p w:rsidR="00D33C55" w:rsidRDefault="00D33C55">
            <w:pPr>
              <w:pStyle w:val="TableParagraph"/>
              <w:rPr>
                <w:rFonts w:ascii="仿宋" w:eastAsia="仿宋" w:hAnsi="仿宋" w:cs="仿宋"/>
              </w:rPr>
            </w:pPr>
          </w:p>
        </w:tc>
        <w:tc>
          <w:tcPr>
            <w:tcW w:w="3667" w:type="dxa"/>
            <w:gridSpan w:val="3"/>
            <w:vMerge/>
            <w:tcBorders>
              <w:left w:val="single" w:sz="4" w:space="0" w:color="000000"/>
              <w:bottom w:val="single" w:sz="4" w:space="0" w:color="000000"/>
            </w:tcBorders>
          </w:tcPr>
          <w:p w:rsidR="00D33C55" w:rsidRDefault="00D33C55">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rPr>
              <w:t>小计</w:t>
            </w:r>
          </w:p>
        </w:tc>
        <w:tc>
          <w:tcPr>
            <w:tcW w:w="1415" w:type="dxa"/>
            <w:gridSpan w:val="2"/>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一般公共预算财政拨款</w:t>
            </w:r>
          </w:p>
        </w:tc>
        <w:tc>
          <w:tcPr>
            <w:tcW w:w="1500"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政府性基金预算财政拨款</w:t>
            </w:r>
          </w:p>
        </w:tc>
        <w:tc>
          <w:tcPr>
            <w:tcW w:w="1500" w:type="dxa"/>
            <w:tcBorders>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国有资本经营预算财政拨款</w:t>
            </w: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一、一般公共预算财政拨款收入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33,883.64</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一、一般公共服务支出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21.24</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21.24</w:t>
            </w: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二、政府性基金预算财政拨款收入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3,606.75</w:t>
            </w: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二、外交支出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三、国有资本经营预算财政拨款收入</w:t>
            </w: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三、国防支出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四、公共安全支出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五、教育支出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六、科学技术支出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9.92</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9.92</w:t>
            </w: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七、文化旅游体育与传媒支出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八、社会保障和就业支出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5,940.61</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5,940.61</w:t>
            </w: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九、卫生健康支出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十、节能环保支出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十一、城乡社区支出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3,606.71</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3,606.71</w:t>
            </w: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十二、农林水支出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20,790.12</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20,790.12</w:t>
            </w: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十三、交通运输支出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十四、资源勘探工业信息等支出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十五、商业服务业等支出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十六、金融支出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十七、援助其他地区支出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十八、自然资源海洋气象等支出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十九、住房保障支出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7,100.72</w:t>
            </w: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7,100.72</w:t>
            </w: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二十、粮油物资储备支出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二十一、国有资本经营预算支出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二十二、灾害防治及应急管理支出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二十三、其他支出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二十四、债务还本支出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二十五、债务付息支出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50"/>
        </w:trPr>
        <w:tc>
          <w:tcPr>
            <w:tcW w:w="3725"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183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二十六、抗</w:t>
            </w:r>
            <w:proofErr w:type="gramStart"/>
            <w:r>
              <w:rPr>
                <w:rFonts w:ascii="仿宋" w:eastAsia="仿宋" w:hAnsi="仿宋" w:cs="仿宋" w:hint="eastAsia"/>
              </w:rPr>
              <w:t>疫</w:t>
            </w:r>
            <w:proofErr w:type="gramEnd"/>
            <w:r>
              <w:rPr>
                <w:rFonts w:ascii="仿宋" w:eastAsia="仿宋" w:hAnsi="仿宋" w:cs="仿宋" w:hint="eastAsia"/>
              </w:rPr>
              <w:t>特别国债安排的支出</w:t>
            </w:r>
          </w:p>
        </w:tc>
        <w:tc>
          <w:tcPr>
            <w:tcW w:w="172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hRule="exact" w:val="359"/>
        </w:trPr>
        <w:tc>
          <w:tcPr>
            <w:tcW w:w="3725" w:type="dxa"/>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b/>
                <w:bCs/>
              </w:rPr>
              <w:t>本年收入合计</w:t>
            </w:r>
          </w:p>
        </w:tc>
        <w:tc>
          <w:tcPr>
            <w:tcW w:w="1837" w:type="dxa"/>
            <w:tcBorders>
              <w:top w:val="single" w:sz="4" w:space="0" w:color="000000"/>
              <w:left w:val="single" w:sz="4" w:space="0" w:color="000000"/>
              <w:bottom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37,490.39</w:t>
            </w:r>
          </w:p>
        </w:tc>
        <w:tc>
          <w:tcPr>
            <w:tcW w:w="3667" w:type="dxa"/>
            <w:gridSpan w:val="3"/>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b/>
                <w:bCs/>
              </w:rPr>
              <w:t>本年支出合计</w:t>
            </w:r>
          </w:p>
        </w:tc>
        <w:tc>
          <w:tcPr>
            <w:tcW w:w="1728" w:type="dxa"/>
            <w:tcBorders>
              <w:top w:val="single" w:sz="4" w:space="0" w:color="000000"/>
              <w:left w:val="single" w:sz="4" w:space="0" w:color="000000"/>
              <w:bottom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37,469.31</w:t>
            </w:r>
          </w:p>
        </w:tc>
        <w:tc>
          <w:tcPr>
            <w:tcW w:w="1415" w:type="dxa"/>
            <w:gridSpan w:val="2"/>
            <w:tcBorders>
              <w:top w:val="single" w:sz="4" w:space="0" w:color="000000"/>
              <w:left w:val="single" w:sz="4" w:space="0" w:color="000000"/>
              <w:bottom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33,862.60</w:t>
            </w:r>
          </w:p>
        </w:tc>
        <w:tc>
          <w:tcPr>
            <w:tcW w:w="1500" w:type="dxa"/>
            <w:tcBorders>
              <w:top w:val="single" w:sz="4" w:space="0" w:color="000000"/>
              <w:left w:val="single" w:sz="4" w:space="0" w:color="000000"/>
              <w:bottom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3,606.71</w:t>
            </w:r>
          </w:p>
        </w:tc>
        <w:tc>
          <w:tcPr>
            <w:tcW w:w="1500"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trHeight w:val="242"/>
        </w:trPr>
        <w:tc>
          <w:tcPr>
            <w:tcW w:w="3725" w:type="dxa"/>
            <w:tcBorders>
              <w:left w:val="single" w:sz="4" w:space="0" w:color="000000"/>
              <w:bottom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年初财政拨款结转和结余</w:t>
            </w:r>
          </w:p>
        </w:tc>
        <w:tc>
          <w:tcPr>
            <w:tcW w:w="1837"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840.11</w:t>
            </w:r>
          </w:p>
        </w:tc>
        <w:tc>
          <w:tcPr>
            <w:tcW w:w="3667" w:type="dxa"/>
            <w:gridSpan w:val="3"/>
            <w:tcBorders>
              <w:left w:val="single" w:sz="4" w:space="0" w:color="000000"/>
              <w:bottom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年末财政拨款结转和结余</w:t>
            </w:r>
          </w:p>
        </w:tc>
        <w:tc>
          <w:tcPr>
            <w:tcW w:w="1728"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861.19</w:t>
            </w:r>
          </w:p>
        </w:tc>
        <w:tc>
          <w:tcPr>
            <w:tcW w:w="1415" w:type="dxa"/>
            <w:gridSpan w:val="2"/>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861.15</w:t>
            </w:r>
          </w:p>
        </w:tc>
        <w:tc>
          <w:tcPr>
            <w:tcW w:w="1500"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0.04</w:t>
            </w:r>
          </w:p>
        </w:tc>
        <w:tc>
          <w:tcPr>
            <w:tcW w:w="1500" w:type="dxa"/>
            <w:tcBorders>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42"/>
        </w:trPr>
        <w:tc>
          <w:tcPr>
            <w:tcW w:w="3725" w:type="dxa"/>
            <w:tcBorders>
              <w:left w:val="single" w:sz="4" w:space="0" w:color="000000"/>
              <w:bottom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一、一般公共预算财政拨款</w:t>
            </w:r>
          </w:p>
        </w:tc>
        <w:tc>
          <w:tcPr>
            <w:tcW w:w="1837"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840.11</w:t>
            </w:r>
          </w:p>
        </w:tc>
        <w:tc>
          <w:tcPr>
            <w:tcW w:w="3667" w:type="dxa"/>
            <w:gridSpan w:val="3"/>
            <w:tcBorders>
              <w:left w:val="single" w:sz="4" w:space="0" w:color="000000"/>
              <w:bottom w:val="single" w:sz="4" w:space="0" w:color="000000"/>
            </w:tcBorders>
            <w:vAlign w:val="center"/>
          </w:tcPr>
          <w:p w:rsidR="00D33C55" w:rsidRDefault="00D33C55">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42"/>
        </w:trPr>
        <w:tc>
          <w:tcPr>
            <w:tcW w:w="3725" w:type="dxa"/>
            <w:tcBorders>
              <w:left w:val="single" w:sz="4" w:space="0" w:color="000000"/>
              <w:bottom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二、政府性基金预算财政拨款</w:t>
            </w:r>
          </w:p>
        </w:tc>
        <w:tc>
          <w:tcPr>
            <w:tcW w:w="1837" w:type="dxa"/>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D33C55" w:rsidRDefault="00D33C55">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trHeight w:val="242"/>
        </w:trPr>
        <w:tc>
          <w:tcPr>
            <w:tcW w:w="3725" w:type="dxa"/>
            <w:tcBorders>
              <w:left w:val="single" w:sz="4" w:space="0" w:color="000000"/>
              <w:bottom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三、国有资本经营预算财政拨款</w:t>
            </w:r>
          </w:p>
        </w:tc>
        <w:tc>
          <w:tcPr>
            <w:tcW w:w="1837" w:type="dxa"/>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3667" w:type="dxa"/>
            <w:gridSpan w:val="3"/>
            <w:tcBorders>
              <w:left w:val="single" w:sz="4" w:space="0" w:color="000000"/>
              <w:bottom w:val="single" w:sz="4" w:space="0" w:color="000000"/>
            </w:tcBorders>
            <w:vAlign w:val="center"/>
          </w:tcPr>
          <w:p w:rsidR="00D33C55" w:rsidRDefault="00D33C55">
            <w:pPr>
              <w:pStyle w:val="TableParagraph"/>
              <w:rPr>
                <w:rFonts w:ascii="仿宋" w:eastAsia="仿宋" w:hAnsi="仿宋" w:cs="仿宋"/>
              </w:rPr>
            </w:pPr>
          </w:p>
        </w:tc>
        <w:tc>
          <w:tcPr>
            <w:tcW w:w="1728" w:type="dxa"/>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1415" w:type="dxa"/>
            <w:gridSpan w:val="2"/>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1500" w:type="dxa"/>
            <w:tcBorders>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hRule="exact" w:val="322"/>
        </w:trPr>
        <w:tc>
          <w:tcPr>
            <w:tcW w:w="3725"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b/>
                <w:bCs/>
              </w:rPr>
              <w:t>总计</w:t>
            </w:r>
          </w:p>
        </w:tc>
        <w:tc>
          <w:tcPr>
            <w:tcW w:w="1837" w:type="dxa"/>
            <w:tcBorders>
              <w:left w:val="single" w:sz="4" w:space="0" w:color="000000"/>
              <w:bottom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38,330.51</w:t>
            </w:r>
          </w:p>
        </w:tc>
        <w:tc>
          <w:tcPr>
            <w:tcW w:w="3667" w:type="dxa"/>
            <w:gridSpan w:val="3"/>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b/>
                <w:bCs/>
              </w:rPr>
              <w:t>总计</w:t>
            </w:r>
          </w:p>
        </w:tc>
        <w:tc>
          <w:tcPr>
            <w:tcW w:w="1728" w:type="dxa"/>
            <w:tcBorders>
              <w:left w:val="single" w:sz="4" w:space="0" w:color="000000"/>
              <w:bottom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38,330.51</w:t>
            </w:r>
          </w:p>
        </w:tc>
        <w:tc>
          <w:tcPr>
            <w:tcW w:w="1415" w:type="dxa"/>
            <w:gridSpan w:val="2"/>
            <w:tcBorders>
              <w:left w:val="single" w:sz="4" w:space="0" w:color="000000"/>
              <w:bottom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34,723.76</w:t>
            </w:r>
          </w:p>
        </w:tc>
        <w:tc>
          <w:tcPr>
            <w:tcW w:w="1500" w:type="dxa"/>
            <w:tcBorders>
              <w:left w:val="single" w:sz="4" w:space="0" w:color="000000"/>
              <w:bottom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3,606.75</w:t>
            </w:r>
          </w:p>
        </w:tc>
        <w:tc>
          <w:tcPr>
            <w:tcW w:w="1500" w:type="dxa"/>
            <w:tcBorders>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bl>
    <w:p w:rsidR="00D33C55" w:rsidRDefault="00706D03">
      <w:pPr>
        <w:jc w:val="both"/>
        <w:rPr>
          <w:rFonts w:ascii="仿宋" w:eastAsia="仿宋" w:hAnsi="仿宋" w:cs="仿宋"/>
        </w:rPr>
      </w:pPr>
      <w:r>
        <w:rPr>
          <w:rFonts w:ascii="仿宋" w:eastAsia="仿宋" w:hAnsi="仿宋" w:cs="仿宋" w:hint="eastAsia"/>
          <w:lang w:val="en-US"/>
        </w:rPr>
        <w:t>注：</w:t>
      </w:r>
      <w:r>
        <w:rPr>
          <w:rFonts w:ascii="仿宋" w:eastAsia="仿宋" w:hAnsi="仿宋" w:cs="仿宋" w:hint="eastAsia"/>
        </w:rPr>
        <w:t>本表反映本年度一般公共预算财政拨款、政府性基金预算财政拨款和国有资本经营预算财政拨款的总收支和年末结转结余情况。本表金额单位转换时可能存在尾数误差。</w:t>
      </w:r>
    </w:p>
    <w:p w:rsidR="00D33C55" w:rsidRDefault="00D33C55">
      <w:pPr>
        <w:jc w:val="both"/>
        <w:rPr>
          <w:rFonts w:ascii="仿宋" w:eastAsia="仿宋" w:hAnsi="仿宋" w:cs="仿宋"/>
        </w:rPr>
        <w:sectPr w:rsidR="00D33C55">
          <w:footerReference w:type="default" r:id="rId15"/>
          <w:pgSz w:w="16838" w:h="11906" w:orient="landscape"/>
          <w:pgMar w:top="720" w:right="720" w:bottom="720" w:left="720" w:header="170" w:footer="280" w:gutter="0"/>
          <w:pgNumType w:fmt="numberInDash"/>
          <w:cols w:space="720"/>
          <w:formProt w:val="0"/>
          <w:docGrid w:linePitch="100"/>
        </w:sectPr>
      </w:pPr>
    </w:p>
    <w:tbl>
      <w:tblPr>
        <w:tblW w:w="15417" w:type="dxa"/>
        <w:tblInd w:w="44" w:type="dxa"/>
        <w:tblLayout w:type="fixed"/>
        <w:tblCellMar>
          <w:top w:w="55" w:type="dxa"/>
          <w:left w:w="55" w:type="dxa"/>
          <w:bottom w:w="55" w:type="dxa"/>
          <w:right w:w="55" w:type="dxa"/>
        </w:tblCellMar>
        <w:tblLook w:val="04A0" w:firstRow="1" w:lastRow="0" w:firstColumn="1" w:lastColumn="0" w:noHBand="0" w:noVBand="1"/>
      </w:tblPr>
      <w:tblGrid>
        <w:gridCol w:w="1278"/>
        <w:gridCol w:w="5022"/>
        <w:gridCol w:w="3184"/>
        <w:gridCol w:w="2778"/>
        <w:gridCol w:w="3155"/>
      </w:tblGrid>
      <w:tr w:rsidR="00D33C55">
        <w:trPr>
          <w:trHeight w:val="321"/>
        </w:trPr>
        <w:tc>
          <w:tcPr>
            <w:tcW w:w="15417" w:type="dxa"/>
            <w:gridSpan w:val="5"/>
            <w:vAlign w:val="center"/>
          </w:tcPr>
          <w:p w:rsidR="00D33C55" w:rsidRDefault="00706D0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财政拨款支出决算表（功能科目）</w:t>
            </w:r>
          </w:p>
        </w:tc>
      </w:tr>
      <w:tr w:rsidR="00D33C55">
        <w:trPr>
          <w:trHeight w:val="321"/>
        </w:trPr>
        <w:tc>
          <w:tcPr>
            <w:tcW w:w="6300" w:type="dxa"/>
            <w:gridSpan w:val="2"/>
          </w:tcPr>
          <w:p w:rsidR="00D33C55" w:rsidRDefault="00D33C55">
            <w:pPr>
              <w:pStyle w:val="TableParagraph"/>
              <w:rPr>
                <w:rFonts w:ascii="仿宋" w:eastAsia="仿宋" w:hAnsi="仿宋" w:cs="仿宋"/>
                <w:sz w:val="20"/>
              </w:rPr>
            </w:pPr>
          </w:p>
        </w:tc>
        <w:tc>
          <w:tcPr>
            <w:tcW w:w="3184" w:type="dxa"/>
          </w:tcPr>
          <w:p w:rsidR="00D33C55" w:rsidRDefault="00D33C55">
            <w:pPr>
              <w:pStyle w:val="TableParagraph"/>
              <w:rPr>
                <w:rFonts w:ascii="仿宋" w:eastAsia="仿宋" w:hAnsi="仿宋" w:cs="仿宋"/>
                <w:sz w:val="27"/>
              </w:rPr>
            </w:pPr>
          </w:p>
        </w:tc>
        <w:tc>
          <w:tcPr>
            <w:tcW w:w="5933" w:type="dxa"/>
            <w:gridSpan w:val="2"/>
            <w:vAlign w:val="center"/>
          </w:tcPr>
          <w:p w:rsidR="00D33C55" w:rsidRDefault="00706D03">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05</w:t>
            </w:r>
            <w:r>
              <w:rPr>
                <w:rFonts w:ascii="仿宋" w:eastAsia="仿宋" w:hAnsi="仿宋" w:cs="仿宋" w:hint="eastAsia"/>
              </w:rPr>
              <w:t>表</w:t>
            </w:r>
          </w:p>
        </w:tc>
      </w:tr>
      <w:tr w:rsidR="00D33C55">
        <w:trPr>
          <w:trHeight w:val="288"/>
        </w:trPr>
        <w:tc>
          <w:tcPr>
            <w:tcW w:w="6300" w:type="dxa"/>
            <w:gridSpan w:val="2"/>
          </w:tcPr>
          <w:p w:rsidR="00D33C55" w:rsidRDefault="00706D03">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南京市农业农村局</w:t>
            </w:r>
          </w:p>
        </w:tc>
        <w:tc>
          <w:tcPr>
            <w:tcW w:w="3184" w:type="dxa"/>
          </w:tcPr>
          <w:p w:rsidR="00D33C55" w:rsidRDefault="00D33C55">
            <w:pPr>
              <w:pStyle w:val="TableParagraph"/>
              <w:rPr>
                <w:rFonts w:ascii="仿宋" w:eastAsia="仿宋" w:hAnsi="仿宋" w:cs="仿宋"/>
                <w:sz w:val="27"/>
              </w:rPr>
            </w:pPr>
          </w:p>
        </w:tc>
        <w:tc>
          <w:tcPr>
            <w:tcW w:w="2778" w:type="dxa"/>
            <w:vAlign w:val="center"/>
          </w:tcPr>
          <w:p w:rsidR="00D33C55" w:rsidRDefault="00D33C55">
            <w:pPr>
              <w:pStyle w:val="TableParagraph"/>
              <w:jc w:val="right"/>
              <w:rPr>
                <w:rFonts w:ascii="仿宋" w:eastAsia="仿宋" w:hAnsi="仿宋" w:cs="仿宋"/>
                <w:sz w:val="27"/>
              </w:rPr>
            </w:pPr>
          </w:p>
        </w:tc>
        <w:tc>
          <w:tcPr>
            <w:tcW w:w="3155" w:type="dxa"/>
            <w:vAlign w:val="center"/>
          </w:tcPr>
          <w:p w:rsidR="00D33C55" w:rsidRDefault="00706D03">
            <w:pPr>
              <w:pStyle w:val="TableParagraph"/>
              <w:jc w:val="right"/>
              <w:rPr>
                <w:rFonts w:ascii="仿宋" w:eastAsia="仿宋" w:hAnsi="仿宋" w:cs="仿宋"/>
                <w:sz w:val="27"/>
              </w:rPr>
            </w:pPr>
            <w:r>
              <w:rPr>
                <w:rFonts w:ascii="仿宋" w:eastAsia="仿宋" w:hAnsi="仿宋" w:cs="仿宋" w:hint="eastAsia"/>
              </w:rPr>
              <w:t>金额单位：万元</w:t>
            </w:r>
          </w:p>
        </w:tc>
      </w:tr>
      <w:tr w:rsidR="00D33C55">
        <w:trPr>
          <w:trHeight w:val="319"/>
        </w:trPr>
        <w:tc>
          <w:tcPr>
            <w:tcW w:w="6300" w:type="dxa"/>
            <w:gridSpan w:val="2"/>
            <w:tcBorders>
              <w:top w:val="single" w:sz="6" w:space="0" w:color="000000"/>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184" w:type="dxa"/>
            <w:vMerge w:val="restart"/>
            <w:tcBorders>
              <w:top w:val="single" w:sz="6" w:space="0" w:color="000000"/>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本年支出合计</w:t>
            </w:r>
          </w:p>
        </w:tc>
        <w:tc>
          <w:tcPr>
            <w:tcW w:w="2778" w:type="dxa"/>
            <w:vMerge w:val="restart"/>
            <w:tcBorders>
              <w:top w:val="single" w:sz="6" w:space="0" w:color="000000"/>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基本支出</w:t>
            </w:r>
          </w:p>
        </w:tc>
        <w:tc>
          <w:tcPr>
            <w:tcW w:w="3155" w:type="dxa"/>
            <w:vMerge w:val="restart"/>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项目支出</w:t>
            </w:r>
          </w:p>
        </w:tc>
      </w:tr>
      <w:tr w:rsidR="00D33C55">
        <w:trPr>
          <w:trHeight w:val="341"/>
        </w:trPr>
        <w:tc>
          <w:tcPr>
            <w:tcW w:w="1278" w:type="dxa"/>
            <w:tcBorders>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功能分类</w:t>
            </w:r>
          </w:p>
          <w:p w:rsidR="00D33C55" w:rsidRDefault="00706D03">
            <w:pPr>
              <w:pStyle w:val="TableParagraph"/>
              <w:jc w:val="center"/>
              <w:rPr>
                <w:rFonts w:ascii="仿宋" w:eastAsia="仿宋" w:hAnsi="仿宋" w:cs="仿宋"/>
              </w:rPr>
            </w:pPr>
            <w:r>
              <w:rPr>
                <w:rFonts w:ascii="仿宋" w:eastAsia="仿宋" w:hAnsi="仿宋" w:cs="仿宋" w:hint="eastAsia"/>
              </w:rPr>
              <w:t>科目编码</w:t>
            </w:r>
          </w:p>
        </w:tc>
        <w:tc>
          <w:tcPr>
            <w:tcW w:w="5022" w:type="dxa"/>
            <w:tcBorders>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科目名称</w:t>
            </w:r>
          </w:p>
        </w:tc>
        <w:tc>
          <w:tcPr>
            <w:tcW w:w="3184" w:type="dxa"/>
            <w:vMerge/>
            <w:tcBorders>
              <w:left w:val="single" w:sz="6" w:space="0" w:color="000000"/>
              <w:bottom w:val="single" w:sz="6" w:space="0" w:color="000000"/>
            </w:tcBorders>
          </w:tcPr>
          <w:p w:rsidR="00D33C55" w:rsidRDefault="00D33C55">
            <w:pPr>
              <w:rPr>
                <w:rFonts w:ascii="仿宋" w:eastAsia="仿宋" w:hAnsi="仿宋" w:cs="仿宋"/>
              </w:rPr>
            </w:pPr>
          </w:p>
        </w:tc>
        <w:tc>
          <w:tcPr>
            <w:tcW w:w="2778" w:type="dxa"/>
            <w:vMerge/>
            <w:tcBorders>
              <w:left w:val="single" w:sz="6" w:space="0" w:color="000000"/>
              <w:bottom w:val="single" w:sz="6" w:space="0" w:color="000000"/>
            </w:tcBorders>
          </w:tcPr>
          <w:p w:rsidR="00D33C55" w:rsidRDefault="00D33C55">
            <w:pPr>
              <w:rPr>
                <w:rFonts w:ascii="仿宋" w:eastAsia="仿宋" w:hAnsi="仿宋" w:cs="仿宋"/>
              </w:rPr>
            </w:pPr>
          </w:p>
        </w:tc>
        <w:tc>
          <w:tcPr>
            <w:tcW w:w="3155" w:type="dxa"/>
            <w:vMerge/>
            <w:tcBorders>
              <w:left w:val="single" w:sz="6" w:space="0" w:color="000000"/>
              <w:bottom w:val="single" w:sz="6" w:space="0" w:color="000000"/>
              <w:right w:val="single" w:sz="6" w:space="0" w:color="000000"/>
            </w:tcBorders>
          </w:tcPr>
          <w:p w:rsidR="00D33C55" w:rsidRDefault="00D33C55">
            <w:pPr>
              <w:rPr>
                <w:rFonts w:ascii="仿宋" w:eastAsia="仿宋" w:hAnsi="仿宋" w:cs="仿宋"/>
              </w:rPr>
            </w:pPr>
          </w:p>
        </w:tc>
      </w:tr>
      <w:tr w:rsidR="00D33C55">
        <w:trPr>
          <w:trHeight w:val="275"/>
        </w:trPr>
        <w:tc>
          <w:tcPr>
            <w:tcW w:w="6300" w:type="dxa"/>
            <w:gridSpan w:val="2"/>
            <w:tcBorders>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栏次</w:t>
            </w:r>
          </w:p>
        </w:tc>
        <w:tc>
          <w:tcPr>
            <w:tcW w:w="3184" w:type="dxa"/>
            <w:tcBorders>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1</w:t>
            </w:r>
          </w:p>
        </w:tc>
        <w:tc>
          <w:tcPr>
            <w:tcW w:w="2778" w:type="dxa"/>
            <w:tcBorders>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2</w:t>
            </w:r>
          </w:p>
        </w:tc>
        <w:tc>
          <w:tcPr>
            <w:tcW w:w="3155" w:type="dxa"/>
            <w:tcBorders>
              <w:left w:val="single" w:sz="6" w:space="0" w:color="000000"/>
              <w:bottom w:val="single" w:sz="6" w:space="0" w:color="000000"/>
              <w:right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3</w:t>
            </w:r>
          </w:p>
        </w:tc>
      </w:tr>
      <w:tr w:rsidR="00D33C55">
        <w:trPr>
          <w:trHeight w:hRule="exact" w:val="374"/>
        </w:trPr>
        <w:tc>
          <w:tcPr>
            <w:tcW w:w="6300" w:type="dxa"/>
            <w:gridSpan w:val="2"/>
            <w:tcBorders>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合计</w:t>
            </w:r>
          </w:p>
        </w:tc>
        <w:tc>
          <w:tcPr>
            <w:tcW w:w="3184" w:type="dxa"/>
            <w:tcBorders>
              <w:left w:val="single" w:sz="6" w:space="0" w:color="000000"/>
              <w:bottom w:val="single" w:sz="6" w:space="0" w:color="000000"/>
            </w:tcBorders>
          </w:tcPr>
          <w:p w:rsidR="00D33C55" w:rsidRDefault="00706D03">
            <w:pPr>
              <w:pStyle w:val="TableParagraph"/>
              <w:jc w:val="right"/>
              <w:rPr>
                <w:rFonts w:ascii="仿宋" w:eastAsia="仿宋" w:hAnsi="仿宋" w:cs="仿宋"/>
              </w:rPr>
            </w:pPr>
            <w:r>
              <w:rPr>
                <w:rFonts w:ascii="仿宋" w:eastAsia="仿宋" w:hAnsi="仿宋" w:cs="仿宋" w:hint="eastAsia"/>
              </w:rPr>
              <w:t>37,469.31</w:t>
            </w:r>
          </w:p>
        </w:tc>
        <w:tc>
          <w:tcPr>
            <w:tcW w:w="2778" w:type="dxa"/>
            <w:tcBorders>
              <w:left w:val="single" w:sz="6" w:space="0" w:color="000000"/>
              <w:bottom w:val="single" w:sz="6" w:space="0" w:color="000000"/>
            </w:tcBorders>
          </w:tcPr>
          <w:p w:rsidR="00D33C55" w:rsidRDefault="00706D03">
            <w:pPr>
              <w:pStyle w:val="TableParagraph"/>
              <w:jc w:val="right"/>
              <w:rPr>
                <w:rFonts w:ascii="仿宋" w:eastAsia="仿宋" w:hAnsi="仿宋" w:cs="仿宋"/>
              </w:rPr>
            </w:pPr>
            <w:r>
              <w:rPr>
                <w:rFonts w:ascii="仿宋" w:eastAsia="仿宋" w:hAnsi="仿宋" w:cs="仿宋" w:hint="eastAsia"/>
              </w:rPr>
              <w:t>24,622.38</w:t>
            </w:r>
          </w:p>
        </w:tc>
        <w:tc>
          <w:tcPr>
            <w:tcW w:w="3155" w:type="dxa"/>
            <w:tcBorders>
              <w:left w:val="single" w:sz="6" w:space="0" w:color="000000"/>
              <w:bottom w:val="single" w:sz="6" w:space="0" w:color="000000"/>
              <w:right w:val="single" w:sz="6" w:space="0" w:color="000000"/>
            </w:tcBorders>
          </w:tcPr>
          <w:p w:rsidR="00D33C55" w:rsidRDefault="00706D03">
            <w:pPr>
              <w:pStyle w:val="TableParagraph"/>
              <w:jc w:val="right"/>
              <w:rPr>
                <w:rFonts w:ascii="仿宋" w:eastAsia="仿宋" w:hAnsi="仿宋" w:cs="仿宋"/>
              </w:rPr>
            </w:pPr>
            <w:r>
              <w:rPr>
                <w:rFonts w:ascii="仿宋" w:eastAsia="仿宋" w:hAnsi="仿宋" w:cs="仿宋" w:hint="eastAsia"/>
              </w:rPr>
              <w:t>12,846.93</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一般公共服务支出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21.24</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21.24</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20113</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商贸事务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17.39</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17.39</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2011308</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招商引资</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17.39</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17.39</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20125</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3.85</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3.85</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2012599</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其他港澳台事务支出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3.85</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3.85</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9.92</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9.92</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20607</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科学技术普及</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4.98</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4.98</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2060702</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科普活动</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4.98</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4.98</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20699</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4.94</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4.94</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4.94</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4.94</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5,940.61</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3,146.79</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2,793.81</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3,044.10</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3,044.10</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2080501</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863.96</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863.96</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2080502</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事业单位离退休</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105.18</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105.18</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2080505</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1,378.68</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1,378.68</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2080506</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696.27</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696.27</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20899</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2,896.51</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102.70</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2,793.81</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lastRenderedPageBreak/>
              <w:t>2089999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2,896.51</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102.70</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2,793.81</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212</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城乡社区支出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3,606.71</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3,606.71</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21208</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国有土地使用权出让收入安排的支出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3,606.71</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3,606.71</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2120814</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农业生产发展支出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816.03</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816.03</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2120816</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农业农村生态环境支出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2,790.68</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2,790.68</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农林水支出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20,790.12</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14,389.68</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6,400.44</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农业农村</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20,786.62</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14,389.68</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6,396.94</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2130101</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4,859.96</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4,859.96</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2130102</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885.78</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885.78</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2130104</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事业运行</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9,944.08</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9,529.72</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414.35</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2130106</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科技转化与推广服务</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561.06</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561.06</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2130108</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病虫害控制</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40.69</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40.69</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2130109</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农产品质</w:t>
            </w:r>
            <w:proofErr w:type="gramStart"/>
            <w:r>
              <w:rPr>
                <w:rFonts w:ascii="仿宋" w:eastAsia="仿宋" w:hAnsi="仿宋" w:cs="仿宋" w:hint="eastAsia"/>
              </w:rPr>
              <w:t>量安全</w:t>
            </w:r>
            <w:proofErr w:type="gramEnd"/>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46.48</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46.48</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2130110</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执法监管</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166.62</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166.62</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2130112</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行业业务管理</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18.74</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18.74</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2130122</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农业生产发展</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3,764.30</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3,764.30</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2130135</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农业生态资源保护</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187.77</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187.77</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2130199</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其他农业农村支出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311.15</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311.15</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21399</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其他农林水支出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3.49</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3.49</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2139999</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其他农林水支出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3.49</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3.49</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221</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住房保障支出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7,100.72</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7,085.91</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14.81</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22102</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7,100.72</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7,085.91</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14.81</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2210201</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1,577.76</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1,565.81</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11.95</w:t>
            </w:r>
          </w:p>
        </w:tc>
      </w:tr>
      <w:tr w:rsidR="00D33C55">
        <w:trPr>
          <w:cantSplit/>
          <w:trHeight w:val="224"/>
        </w:trPr>
        <w:tc>
          <w:tcPr>
            <w:tcW w:w="1278" w:type="dxa"/>
            <w:tcBorders>
              <w:top w:val="single" w:sz="6" w:space="0" w:color="000000"/>
              <w:left w:val="single" w:sz="6"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2210202</w:t>
            </w:r>
          </w:p>
        </w:tc>
        <w:tc>
          <w:tcPr>
            <w:tcW w:w="5022"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3184"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5,522.97</w:t>
            </w:r>
          </w:p>
        </w:tc>
        <w:tc>
          <w:tcPr>
            <w:tcW w:w="2778" w:type="dxa"/>
            <w:tcBorders>
              <w:top w:val="single" w:sz="6" w:space="0" w:color="000000"/>
              <w:left w:val="single" w:sz="4" w:space="0" w:color="000000"/>
              <w:bottom w:val="single" w:sz="6"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5,520.11</w:t>
            </w:r>
          </w:p>
        </w:tc>
        <w:tc>
          <w:tcPr>
            <w:tcW w:w="3155" w:type="dxa"/>
            <w:tcBorders>
              <w:top w:val="single" w:sz="6" w:space="0" w:color="000000"/>
              <w:left w:val="single" w:sz="4"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2.86</w:t>
            </w:r>
          </w:p>
        </w:tc>
      </w:tr>
    </w:tbl>
    <w:p w:rsidR="00D33C55" w:rsidRDefault="00706D03">
      <w:pPr>
        <w:tabs>
          <w:tab w:val="left" w:pos="0"/>
        </w:tabs>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注：本表反映本年度一般公共预算财政拨款、政府性基金预算财政拨款和国有资本经营预算财政拨款支出情况。本表金额单位转换时可能存在尾数误差。</w:t>
      </w:r>
    </w:p>
    <w:p w:rsidR="00D33C55" w:rsidRDefault="00D33C55">
      <w:pPr>
        <w:tabs>
          <w:tab w:val="left" w:pos="55"/>
        </w:tabs>
        <w:jc w:val="both"/>
        <w:rPr>
          <w:rFonts w:ascii="仿宋" w:eastAsia="仿宋" w:hAnsi="仿宋" w:cs="仿宋"/>
        </w:rPr>
        <w:sectPr w:rsidR="00D33C55">
          <w:footerReference w:type="default" r:id="rId16"/>
          <w:pgSz w:w="16838" w:h="11906" w:orient="landscape"/>
          <w:pgMar w:top="720" w:right="720" w:bottom="720" w:left="720" w:header="170" w:footer="280" w:gutter="0"/>
          <w:pgNumType w:fmt="numberInDash"/>
          <w:cols w:space="720"/>
          <w:formProt w:val="0"/>
          <w:docGrid w:linePitch="100"/>
        </w:sectPr>
      </w:pPr>
    </w:p>
    <w:tbl>
      <w:tblPr>
        <w:tblW w:w="10515" w:type="dxa"/>
        <w:tblInd w:w="38" w:type="dxa"/>
        <w:tblLayout w:type="fixed"/>
        <w:tblCellMar>
          <w:top w:w="55" w:type="dxa"/>
          <w:left w:w="55" w:type="dxa"/>
          <w:bottom w:w="55" w:type="dxa"/>
          <w:right w:w="55" w:type="dxa"/>
        </w:tblCellMar>
        <w:tblLook w:val="04A0" w:firstRow="1" w:lastRow="0" w:firstColumn="1" w:lastColumn="0" w:noHBand="0" w:noVBand="1"/>
      </w:tblPr>
      <w:tblGrid>
        <w:gridCol w:w="990"/>
        <w:gridCol w:w="3542"/>
        <w:gridCol w:w="2047"/>
        <w:gridCol w:w="2040"/>
        <w:gridCol w:w="1896"/>
      </w:tblGrid>
      <w:tr w:rsidR="00D33C55">
        <w:trPr>
          <w:trHeight w:val="319"/>
        </w:trPr>
        <w:tc>
          <w:tcPr>
            <w:tcW w:w="10515" w:type="dxa"/>
            <w:gridSpan w:val="5"/>
            <w:vAlign w:val="center"/>
          </w:tcPr>
          <w:p w:rsidR="00D33C55" w:rsidRDefault="00706D0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财政拨款基本支出决算表（经济科目）</w:t>
            </w:r>
          </w:p>
        </w:tc>
      </w:tr>
      <w:tr w:rsidR="00D33C55">
        <w:trPr>
          <w:trHeight w:val="319"/>
        </w:trPr>
        <w:tc>
          <w:tcPr>
            <w:tcW w:w="4532" w:type="dxa"/>
            <w:gridSpan w:val="2"/>
          </w:tcPr>
          <w:p w:rsidR="00D33C55" w:rsidRDefault="00D33C55">
            <w:pPr>
              <w:pStyle w:val="TableParagraph"/>
              <w:rPr>
                <w:rFonts w:ascii="仿宋" w:eastAsia="仿宋" w:hAnsi="仿宋" w:cs="仿宋"/>
                <w:sz w:val="20"/>
              </w:rPr>
            </w:pPr>
          </w:p>
        </w:tc>
        <w:tc>
          <w:tcPr>
            <w:tcW w:w="2047" w:type="dxa"/>
          </w:tcPr>
          <w:p w:rsidR="00D33C55" w:rsidRDefault="00D33C55">
            <w:pPr>
              <w:pStyle w:val="TableParagraph"/>
              <w:rPr>
                <w:rFonts w:ascii="仿宋" w:eastAsia="仿宋" w:hAnsi="仿宋" w:cs="仿宋"/>
                <w:sz w:val="20"/>
              </w:rPr>
            </w:pPr>
          </w:p>
        </w:tc>
        <w:tc>
          <w:tcPr>
            <w:tcW w:w="2040" w:type="dxa"/>
          </w:tcPr>
          <w:p w:rsidR="00D33C55" w:rsidRDefault="00D33C55">
            <w:pPr>
              <w:pStyle w:val="TableParagraph"/>
              <w:rPr>
                <w:rFonts w:ascii="仿宋" w:eastAsia="仿宋" w:hAnsi="仿宋" w:cs="仿宋"/>
                <w:sz w:val="20"/>
              </w:rPr>
            </w:pPr>
          </w:p>
        </w:tc>
        <w:tc>
          <w:tcPr>
            <w:tcW w:w="1896" w:type="dxa"/>
            <w:vAlign w:val="center"/>
          </w:tcPr>
          <w:p w:rsidR="00D33C55" w:rsidRDefault="00706D03">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06</w:t>
            </w:r>
            <w:r>
              <w:rPr>
                <w:rFonts w:ascii="仿宋" w:eastAsia="仿宋" w:hAnsi="仿宋" w:cs="仿宋" w:hint="eastAsia"/>
              </w:rPr>
              <w:t>表</w:t>
            </w:r>
          </w:p>
        </w:tc>
      </w:tr>
      <w:tr w:rsidR="00D33C55">
        <w:trPr>
          <w:trHeight w:val="319"/>
        </w:trPr>
        <w:tc>
          <w:tcPr>
            <w:tcW w:w="8619" w:type="dxa"/>
            <w:gridSpan w:val="4"/>
          </w:tcPr>
          <w:p w:rsidR="00D33C55" w:rsidRDefault="00706D03">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南京市农业农村局</w:t>
            </w:r>
          </w:p>
        </w:tc>
        <w:tc>
          <w:tcPr>
            <w:tcW w:w="1896" w:type="dxa"/>
            <w:vAlign w:val="center"/>
          </w:tcPr>
          <w:p w:rsidR="00D33C55" w:rsidRDefault="00706D03">
            <w:pPr>
              <w:pStyle w:val="TableParagraph"/>
              <w:jc w:val="right"/>
              <w:rPr>
                <w:rFonts w:ascii="仿宋" w:eastAsia="仿宋" w:hAnsi="仿宋" w:cs="仿宋"/>
                <w:sz w:val="20"/>
              </w:rPr>
            </w:pPr>
            <w:r>
              <w:rPr>
                <w:rFonts w:ascii="仿宋" w:eastAsia="仿宋" w:hAnsi="仿宋" w:cs="仿宋" w:hint="eastAsia"/>
              </w:rPr>
              <w:t>金额单位：万元</w:t>
            </w:r>
          </w:p>
        </w:tc>
      </w:tr>
      <w:tr w:rsidR="00D33C55">
        <w:trPr>
          <w:trHeight w:val="243"/>
        </w:trPr>
        <w:tc>
          <w:tcPr>
            <w:tcW w:w="4532" w:type="dxa"/>
            <w:gridSpan w:val="2"/>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983"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sz w:val="20"/>
              </w:rPr>
            </w:pPr>
            <w:r>
              <w:rPr>
                <w:rFonts w:ascii="仿宋" w:eastAsia="仿宋" w:hAnsi="仿宋" w:cs="仿宋" w:hint="eastAsia"/>
              </w:rPr>
              <w:t>财政拨款基本支出</w:t>
            </w:r>
          </w:p>
        </w:tc>
      </w:tr>
      <w:tr w:rsidR="00D33C55">
        <w:trPr>
          <w:trHeight w:val="483"/>
        </w:trPr>
        <w:tc>
          <w:tcPr>
            <w:tcW w:w="990"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经济分类科目编码</w:t>
            </w:r>
          </w:p>
        </w:tc>
        <w:tc>
          <w:tcPr>
            <w:tcW w:w="3542"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科目名称</w:t>
            </w:r>
          </w:p>
        </w:tc>
        <w:tc>
          <w:tcPr>
            <w:tcW w:w="2047"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合计</w:t>
            </w:r>
          </w:p>
        </w:tc>
        <w:tc>
          <w:tcPr>
            <w:tcW w:w="2040"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人员经费</w:t>
            </w:r>
          </w:p>
        </w:tc>
        <w:tc>
          <w:tcPr>
            <w:tcW w:w="1896" w:type="dxa"/>
            <w:tcBorders>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公用经费</w:t>
            </w:r>
          </w:p>
        </w:tc>
      </w:tr>
      <w:tr w:rsidR="00D33C55">
        <w:trPr>
          <w:trHeight w:hRule="exact" w:val="409"/>
        </w:trPr>
        <w:tc>
          <w:tcPr>
            <w:tcW w:w="4532" w:type="dxa"/>
            <w:gridSpan w:val="2"/>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rPr>
              <w:t>合计</w:t>
            </w:r>
          </w:p>
        </w:tc>
        <w:tc>
          <w:tcPr>
            <w:tcW w:w="2047"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24,622.38</w:t>
            </w:r>
          </w:p>
        </w:tc>
        <w:tc>
          <w:tcPr>
            <w:tcW w:w="2040"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22,674.39</w:t>
            </w:r>
          </w:p>
        </w:tc>
        <w:tc>
          <w:tcPr>
            <w:tcW w:w="1896"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1,947.99</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301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19,326.43</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19,326.43</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3,060.20</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3,060.20</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30102</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6,842.82</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6,842.82</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30103</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1,450.65</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1,450.65</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30106</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30107</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2,314.02</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2,314.02</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30108</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1,495.77</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1,495.77</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768.53</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768.53</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30110</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582.80</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582.80</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30111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30112</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106.95</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106.95</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30113</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1,807.30</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1,807.30</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30114</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243.08</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243.08</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30199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654.31</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654.31</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302</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1,947.99</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1,947.99</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172.08</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172.08</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30202</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6.18</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6.18</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30204</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0.25</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0.25</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30205</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7.96</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7.96</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30206</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61.40</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61.40</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30207</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55.79</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55.79</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30208</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471.81</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471.81</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134.83</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134.83</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30212</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30213</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9.31</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9.31</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30214</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212.69</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212.69</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30215</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8.34</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8.34</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lastRenderedPageBreak/>
              <w:t>30216</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8.14</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8.14</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30217</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8.01</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8.01</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30218</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0.67</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0.67</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30224</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30225</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30226</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9.06</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9.06</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30227</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12.95</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12.95</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30228</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187.04</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187.04</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89.53</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89.53</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30231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48.92</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48.92</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30239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251.17</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251.17</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30240</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3.98</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3.98</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30299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187.88</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187.88</w:t>
            </w: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303</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3,347.97</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3,347.97</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116.81</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116.81</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30302</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3,053.67</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3,053.67</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30303</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30304</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109.80</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109.80</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30305</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10.40</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10.40</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30306</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30307</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22.43</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22.43</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30308</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0.01</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0.01</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30310</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30311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30399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34.85</w:t>
            </w: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34.85</w:t>
            </w: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307</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债务利息及费用支出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30701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30702</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30703</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30704</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310</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31002</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31003</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lastRenderedPageBreak/>
              <w:t>31005</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31006</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31007</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31008</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31010</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31012</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31013</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31021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31022</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31099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312</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31201</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31203</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31204</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31205</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31206</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31299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399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39907</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39908</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39909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39910</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318"/>
        </w:trPr>
        <w:tc>
          <w:tcPr>
            <w:tcW w:w="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39999</w:t>
            </w:r>
          </w:p>
        </w:tc>
        <w:tc>
          <w:tcPr>
            <w:tcW w:w="35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047"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204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96"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bl>
    <w:p w:rsidR="00D33C55" w:rsidRDefault="00706D03">
      <w:pPr>
        <w:tabs>
          <w:tab w:val="left" w:pos="660"/>
          <w:tab w:val="left" w:pos="10780"/>
        </w:tabs>
        <w:spacing w:before="25" w:line="290" w:lineRule="auto"/>
        <w:jc w:val="both"/>
        <w:rPr>
          <w:rFonts w:ascii="仿宋" w:eastAsia="仿宋" w:hAnsi="仿宋" w:cs="仿宋"/>
        </w:rPr>
      </w:pPr>
      <w:r>
        <w:rPr>
          <w:rFonts w:ascii="仿宋" w:eastAsia="仿宋" w:hAnsi="仿宋" w:cs="仿宋" w:hint="eastAsia"/>
        </w:rPr>
        <w:t>注：本表反映本年度一般公共预算财政拨款、政府性基金预算财政拨款和国有资本经营预算财政拨款基本支出情况。本表金额单位转换时可能存在尾数误差。</w:t>
      </w:r>
    </w:p>
    <w:p w:rsidR="00D33C55" w:rsidRDefault="00D33C55">
      <w:pPr>
        <w:spacing w:line="255" w:lineRule="exact"/>
        <w:jc w:val="both"/>
        <w:rPr>
          <w:rFonts w:ascii="仿宋" w:eastAsia="仿宋" w:hAnsi="仿宋" w:cs="仿宋"/>
        </w:rPr>
        <w:sectPr w:rsidR="00D33C55">
          <w:footerReference w:type="default" r:id="rId17"/>
          <w:pgSz w:w="11906" w:h="16838"/>
          <w:pgMar w:top="720" w:right="720" w:bottom="720" w:left="720" w:header="170" w:footer="280" w:gutter="0"/>
          <w:pgNumType w:fmt="numberInDash"/>
          <w:cols w:space="720"/>
          <w:formProt w:val="0"/>
          <w:docGrid w:linePitch="100"/>
        </w:sectPr>
      </w:pPr>
    </w:p>
    <w:tbl>
      <w:tblPr>
        <w:tblW w:w="10446" w:type="dxa"/>
        <w:tblInd w:w="78" w:type="dxa"/>
        <w:tblLayout w:type="fixed"/>
        <w:tblCellMar>
          <w:top w:w="55" w:type="dxa"/>
          <w:left w:w="55" w:type="dxa"/>
          <w:bottom w:w="55" w:type="dxa"/>
          <w:right w:w="55" w:type="dxa"/>
        </w:tblCellMar>
        <w:tblLook w:val="04A0" w:firstRow="1" w:lastRow="0" w:firstColumn="1" w:lastColumn="0" w:noHBand="0" w:noVBand="1"/>
      </w:tblPr>
      <w:tblGrid>
        <w:gridCol w:w="1134"/>
        <w:gridCol w:w="4332"/>
        <w:gridCol w:w="1969"/>
        <w:gridCol w:w="1499"/>
        <w:gridCol w:w="1512"/>
      </w:tblGrid>
      <w:tr w:rsidR="00D33C55">
        <w:trPr>
          <w:trHeight w:val="560"/>
        </w:trPr>
        <w:tc>
          <w:tcPr>
            <w:tcW w:w="10446" w:type="dxa"/>
            <w:gridSpan w:val="5"/>
            <w:vAlign w:val="center"/>
          </w:tcPr>
          <w:p w:rsidR="00D33C55" w:rsidRDefault="00706D0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一般公共预算支出决算表（功能科目）</w:t>
            </w:r>
          </w:p>
        </w:tc>
      </w:tr>
      <w:tr w:rsidR="00D33C55">
        <w:trPr>
          <w:trHeight w:val="147"/>
        </w:trPr>
        <w:tc>
          <w:tcPr>
            <w:tcW w:w="5466" w:type="dxa"/>
            <w:gridSpan w:val="2"/>
          </w:tcPr>
          <w:p w:rsidR="00D33C55" w:rsidRDefault="00D33C55">
            <w:pPr>
              <w:pStyle w:val="TableParagraph"/>
              <w:rPr>
                <w:rFonts w:ascii="仿宋" w:eastAsia="仿宋" w:hAnsi="仿宋" w:cs="仿宋"/>
                <w:sz w:val="20"/>
              </w:rPr>
            </w:pPr>
          </w:p>
        </w:tc>
        <w:tc>
          <w:tcPr>
            <w:tcW w:w="1969" w:type="dxa"/>
          </w:tcPr>
          <w:p w:rsidR="00D33C55" w:rsidRDefault="00D33C55">
            <w:pPr>
              <w:pStyle w:val="TableParagraph"/>
              <w:rPr>
                <w:rFonts w:ascii="仿宋" w:eastAsia="仿宋" w:hAnsi="仿宋" w:cs="仿宋"/>
                <w:sz w:val="20"/>
              </w:rPr>
            </w:pPr>
          </w:p>
        </w:tc>
        <w:tc>
          <w:tcPr>
            <w:tcW w:w="1499" w:type="dxa"/>
          </w:tcPr>
          <w:p w:rsidR="00D33C55" w:rsidRDefault="00D33C55">
            <w:pPr>
              <w:pStyle w:val="TableParagraph"/>
              <w:rPr>
                <w:rFonts w:ascii="仿宋" w:eastAsia="仿宋" w:hAnsi="仿宋" w:cs="仿宋"/>
                <w:sz w:val="20"/>
              </w:rPr>
            </w:pPr>
          </w:p>
        </w:tc>
        <w:tc>
          <w:tcPr>
            <w:tcW w:w="1512" w:type="dxa"/>
            <w:vAlign w:val="center"/>
          </w:tcPr>
          <w:p w:rsidR="00D33C55" w:rsidRDefault="00706D03">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07</w:t>
            </w:r>
            <w:r>
              <w:rPr>
                <w:rFonts w:ascii="仿宋" w:eastAsia="仿宋" w:hAnsi="仿宋" w:cs="仿宋" w:hint="eastAsia"/>
              </w:rPr>
              <w:t>表</w:t>
            </w:r>
          </w:p>
        </w:tc>
      </w:tr>
      <w:tr w:rsidR="00D33C55">
        <w:trPr>
          <w:trHeight w:val="303"/>
        </w:trPr>
        <w:tc>
          <w:tcPr>
            <w:tcW w:w="7435" w:type="dxa"/>
            <w:gridSpan w:val="3"/>
          </w:tcPr>
          <w:p w:rsidR="00D33C55" w:rsidRDefault="00706D03">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南京市农业农村局</w:t>
            </w:r>
          </w:p>
        </w:tc>
        <w:tc>
          <w:tcPr>
            <w:tcW w:w="3011" w:type="dxa"/>
            <w:gridSpan w:val="2"/>
          </w:tcPr>
          <w:p w:rsidR="00D33C55" w:rsidRDefault="00706D03">
            <w:pPr>
              <w:pStyle w:val="TableParagraph"/>
              <w:jc w:val="right"/>
              <w:rPr>
                <w:rFonts w:ascii="仿宋" w:eastAsia="仿宋" w:hAnsi="仿宋" w:cs="仿宋"/>
              </w:rPr>
            </w:pPr>
            <w:r>
              <w:rPr>
                <w:rFonts w:ascii="仿宋" w:eastAsia="仿宋" w:hAnsi="仿宋" w:cs="仿宋" w:hint="eastAsia"/>
              </w:rPr>
              <w:t>金额单位：万元</w:t>
            </w:r>
          </w:p>
        </w:tc>
      </w:tr>
      <w:tr w:rsidR="00D33C55">
        <w:trPr>
          <w:trHeight w:val="158"/>
        </w:trPr>
        <w:tc>
          <w:tcPr>
            <w:tcW w:w="5466" w:type="dxa"/>
            <w:gridSpan w:val="2"/>
            <w:tcBorders>
              <w:top w:val="single" w:sz="6" w:space="0" w:color="000000"/>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1969" w:type="dxa"/>
            <w:vMerge w:val="restart"/>
            <w:tcBorders>
              <w:top w:val="single" w:sz="6" w:space="0" w:color="000000"/>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本年支出合计</w:t>
            </w:r>
          </w:p>
        </w:tc>
        <w:tc>
          <w:tcPr>
            <w:tcW w:w="1499" w:type="dxa"/>
            <w:vMerge w:val="restart"/>
            <w:tcBorders>
              <w:top w:val="single" w:sz="6" w:space="0" w:color="000000"/>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基本支出</w:t>
            </w:r>
          </w:p>
        </w:tc>
        <w:tc>
          <w:tcPr>
            <w:tcW w:w="1512" w:type="dxa"/>
            <w:vMerge w:val="restart"/>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项目支出</w:t>
            </w:r>
          </w:p>
        </w:tc>
      </w:tr>
      <w:tr w:rsidR="00D33C55">
        <w:trPr>
          <w:trHeight w:val="561"/>
        </w:trPr>
        <w:tc>
          <w:tcPr>
            <w:tcW w:w="1134" w:type="dxa"/>
            <w:tcBorders>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功能分类科目编码</w:t>
            </w:r>
          </w:p>
        </w:tc>
        <w:tc>
          <w:tcPr>
            <w:tcW w:w="4332" w:type="dxa"/>
            <w:tcBorders>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科目名称</w:t>
            </w:r>
          </w:p>
        </w:tc>
        <w:tc>
          <w:tcPr>
            <w:tcW w:w="1969" w:type="dxa"/>
            <w:vMerge/>
            <w:tcBorders>
              <w:left w:val="single" w:sz="6" w:space="0" w:color="000000"/>
              <w:bottom w:val="single" w:sz="6" w:space="0" w:color="000000"/>
            </w:tcBorders>
          </w:tcPr>
          <w:p w:rsidR="00D33C55" w:rsidRDefault="00D33C55">
            <w:pPr>
              <w:rPr>
                <w:rFonts w:ascii="仿宋" w:eastAsia="仿宋" w:hAnsi="仿宋" w:cs="仿宋"/>
                <w:sz w:val="2"/>
                <w:szCs w:val="2"/>
              </w:rPr>
            </w:pPr>
          </w:p>
        </w:tc>
        <w:tc>
          <w:tcPr>
            <w:tcW w:w="1499" w:type="dxa"/>
            <w:vMerge/>
            <w:tcBorders>
              <w:left w:val="single" w:sz="6" w:space="0" w:color="000000"/>
              <w:bottom w:val="single" w:sz="6" w:space="0" w:color="000000"/>
            </w:tcBorders>
          </w:tcPr>
          <w:p w:rsidR="00D33C55" w:rsidRDefault="00D33C55">
            <w:pPr>
              <w:rPr>
                <w:rFonts w:ascii="仿宋" w:eastAsia="仿宋" w:hAnsi="仿宋" w:cs="仿宋"/>
                <w:sz w:val="2"/>
                <w:szCs w:val="2"/>
              </w:rPr>
            </w:pPr>
          </w:p>
        </w:tc>
        <w:tc>
          <w:tcPr>
            <w:tcW w:w="1512" w:type="dxa"/>
            <w:vMerge/>
            <w:tcBorders>
              <w:left w:val="single" w:sz="6" w:space="0" w:color="000000"/>
              <w:bottom w:val="single" w:sz="6" w:space="0" w:color="000000"/>
              <w:right w:val="single" w:sz="6" w:space="0" w:color="000000"/>
            </w:tcBorders>
          </w:tcPr>
          <w:p w:rsidR="00D33C55" w:rsidRDefault="00D33C55">
            <w:pPr>
              <w:rPr>
                <w:rFonts w:ascii="仿宋" w:eastAsia="仿宋" w:hAnsi="仿宋" w:cs="仿宋"/>
                <w:sz w:val="2"/>
                <w:szCs w:val="2"/>
              </w:rPr>
            </w:pPr>
          </w:p>
        </w:tc>
      </w:tr>
      <w:tr w:rsidR="00D33C55">
        <w:trPr>
          <w:trHeight w:val="152"/>
        </w:trPr>
        <w:tc>
          <w:tcPr>
            <w:tcW w:w="5466" w:type="dxa"/>
            <w:gridSpan w:val="2"/>
            <w:tcBorders>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栏次</w:t>
            </w:r>
          </w:p>
        </w:tc>
        <w:tc>
          <w:tcPr>
            <w:tcW w:w="1969" w:type="dxa"/>
            <w:tcBorders>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1</w:t>
            </w:r>
          </w:p>
        </w:tc>
        <w:tc>
          <w:tcPr>
            <w:tcW w:w="1499" w:type="dxa"/>
            <w:tcBorders>
              <w:left w:val="single" w:sz="6" w:space="0" w:color="000000"/>
              <w:bottom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2</w:t>
            </w:r>
          </w:p>
        </w:tc>
        <w:tc>
          <w:tcPr>
            <w:tcW w:w="1512" w:type="dxa"/>
            <w:tcBorders>
              <w:left w:val="single" w:sz="6" w:space="0" w:color="000000"/>
              <w:bottom w:val="single" w:sz="6" w:space="0" w:color="000000"/>
              <w:right w:val="single" w:sz="6"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3</w:t>
            </w:r>
          </w:p>
        </w:tc>
      </w:tr>
      <w:tr w:rsidR="00D33C55">
        <w:trPr>
          <w:trHeight w:hRule="exact" w:val="298"/>
        </w:trPr>
        <w:tc>
          <w:tcPr>
            <w:tcW w:w="5466" w:type="dxa"/>
            <w:gridSpan w:val="2"/>
            <w:tcBorders>
              <w:left w:val="single" w:sz="6" w:space="0" w:color="000000"/>
              <w:bottom w:val="single" w:sz="6" w:space="0" w:color="000000"/>
            </w:tcBorders>
            <w:vAlign w:val="center"/>
          </w:tcPr>
          <w:p w:rsidR="00D33C55" w:rsidRDefault="00706D03">
            <w:pPr>
              <w:pStyle w:val="TableParagraph"/>
              <w:jc w:val="center"/>
              <w:rPr>
                <w:rFonts w:ascii="仿宋" w:eastAsia="仿宋" w:hAnsi="仿宋" w:cs="仿宋"/>
                <w:sz w:val="20"/>
              </w:rPr>
            </w:pPr>
            <w:r>
              <w:rPr>
                <w:rFonts w:ascii="仿宋" w:eastAsia="仿宋" w:hAnsi="仿宋" w:cs="仿宋" w:hint="eastAsia"/>
              </w:rPr>
              <w:t>合计</w:t>
            </w:r>
          </w:p>
        </w:tc>
        <w:tc>
          <w:tcPr>
            <w:tcW w:w="1969" w:type="dxa"/>
            <w:tcBorders>
              <w:left w:val="single" w:sz="6" w:space="0" w:color="000000"/>
              <w:bottom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33,862.60</w:t>
            </w:r>
          </w:p>
        </w:tc>
        <w:tc>
          <w:tcPr>
            <w:tcW w:w="1499" w:type="dxa"/>
            <w:tcBorders>
              <w:left w:val="single" w:sz="6" w:space="0" w:color="000000"/>
              <w:bottom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24,622.38</w:t>
            </w:r>
          </w:p>
        </w:tc>
        <w:tc>
          <w:tcPr>
            <w:tcW w:w="1512" w:type="dxa"/>
            <w:tcBorders>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9,240.22</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一般公共服务支出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21.24</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21.24</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20113</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商贸事务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17.39</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17.39</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2011308</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招商引资</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17.39</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17.39</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20125</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港澳台事务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3.85</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3.85</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2012599</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其他港澳台事务支出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3.85</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3.85</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9.92</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9.92</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20607</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科学技术普及</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4.98</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4.98</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2060702</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科普活动</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4.98</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4.98</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20699</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4.94</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4.94</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2069999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其他科学技术支出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4.94</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4.94</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5,940.61</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3,146.79</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2,793.81</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行政事业单位养老支出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3,044.10</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3,044.10</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2080501</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863.96</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863.96</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2080502</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事业单位离退休</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105.18</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105.18</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2080505</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1,378.68</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1,378.68</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2080506</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机关事业单位职业年金缴费支出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696.27</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696.27</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20899</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2,896.51</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102.70</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2,793.81</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2089999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其他社会保障和就业支出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2,896.51</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102.70</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2,793.81</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农林水支出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20,790.12</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14,389.68</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6,400.44</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农业农村</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20,786.62</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14,389.68</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6,396.94</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2130101</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行政运行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4,859.96</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4,859.96</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2130102</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一般行政管理事务</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885.78</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885.78</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2130104</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事业运行</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9,944.08</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9,529.72</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414.35</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2130106</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科技转化与推广服务</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561.06</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561.06</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2130108</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病虫害控制</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40.69</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40.69</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2130109</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农产品质</w:t>
            </w:r>
            <w:proofErr w:type="gramStart"/>
            <w:r>
              <w:rPr>
                <w:rFonts w:ascii="仿宋" w:eastAsia="仿宋" w:hAnsi="仿宋" w:cs="仿宋" w:hint="eastAsia"/>
              </w:rPr>
              <w:t>量安全</w:t>
            </w:r>
            <w:proofErr w:type="gramEnd"/>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46.48</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46.48</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2130110</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执法监管</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166.62</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166.62</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2130112</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行业业务管理</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18.74</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18.74</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2130122</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农业生产发展</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3,764.30</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3,764.30</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lastRenderedPageBreak/>
              <w:t>2130135</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农业生态资源保护</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187.77</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187.77</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2130199</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其他农业农村支出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311.15</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311.15</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21399</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其他农林水支出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3.49</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3.49</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2139999</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其他农林水支出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3.49</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D33C55">
            <w:pPr>
              <w:pStyle w:val="TableParagraph"/>
              <w:jc w:val="right"/>
              <w:rPr>
                <w:rFonts w:ascii="仿宋" w:eastAsia="仿宋" w:hAnsi="仿宋" w:cs="仿宋"/>
              </w:rPr>
            </w:pP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3.49</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221</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住房保障支出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7,100.72</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7,085.91</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14.81</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22102</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住房改革支出</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7,100.72</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7,085.91</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14.81</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2210201</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1,577.76</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1,565.81</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11.95</w:t>
            </w:r>
          </w:p>
        </w:tc>
      </w:tr>
      <w:tr w:rsidR="00D33C55">
        <w:trPr>
          <w:cantSplit/>
          <w:trHeight w:val="276"/>
        </w:trPr>
        <w:tc>
          <w:tcPr>
            <w:tcW w:w="1134"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2210202</w:t>
            </w:r>
          </w:p>
        </w:tc>
        <w:tc>
          <w:tcPr>
            <w:tcW w:w="433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提租补贴</w:t>
            </w:r>
          </w:p>
        </w:tc>
        <w:tc>
          <w:tcPr>
            <w:tcW w:w="196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5,522.97</w:t>
            </w:r>
          </w:p>
        </w:tc>
        <w:tc>
          <w:tcPr>
            <w:tcW w:w="1499"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5,520.11</w:t>
            </w:r>
          </w:p>
        </w:tc>
        <w:tc>
          <w:tcPr>
            <w:tcW w:w="1512" w:type="dxa"/>
            <w:tcBorders>
              <w:top w:val="single" w:sz="6" w:space="0" w:color="000000"/>
              <w:left w:val="single" w:sz="6" w:space="0" w:color="000000"/>
              <w:bottom w:val="single" w:sz="6" w:space="0" w:color="000000"/>
              <w:right w:val="single" w:sz="6"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2.86</w:t>
            </w:r>
          </w:p>
        </w:tc>
      </w:tr>
    </w:tbl>
    <w:p w:rsidR="00D33C55" w:rsidRDefault="00706D03">
      <w:pPr>
        <w:tabs>
          <w:tab w:val="left" w:pos="0"/>
        </w:tabs>
        <w:spacing w:before="25"/>
        <w:jc w:val="both"/>
        <w:rPr>
          <w:rFonts w:ascii="仿宋" w:eastAsia="仿宋" w:hAnsi="仿宋" w:cs="仿宋"/>
        </w:rPr>
      </w:pPr>
      <w:r>
        <w:rPr>
          <w:rFonts w:ascii="仿宋" w:eastAsia="仿宋" w:hAnsi="仿宋" w:cs="仿宋" w:hint="eastAsia"/>
        </w:rPr>
        <w:t>注：本表反映本年度一般公共预算财政拨款支出情况。本表金额单位转换时可能存在尾数误差。</w:t>
      </w:r>
    </w:p>
    <w:p w:rsidR="00D33C55" w:rsidRDefault="00D33C55">
      <w:pPr>
        <w:spacing w:before="25"/>
        <w:jc w:val="both"/>
        <w:rPr>
          <w:rFonts w:ascii="仿宋" w:eastAsia="仿宋" w:hAnsi="仿宋" w:cs="仿宋"/>
        </w:rPr>
        <w:sectPr w:rsidR="00D33C55">
          <w:footerReference w:type="default" r:id="rId18"/>
          <w:pgSz w:w="11906" w:h="16838"/>
          <w:pgMar w:top="720" w:right="720" w:bottom="720" w:left="720" w:header="170" w:footer="280" w:gutter="0"/>
          <w:pgNumType w:fmt="numberInDash"/>
          <w:cols w:space="720"/>
          <w:formProt w:val="0"/>
          <w:docGrid w:linePitch="100"/>
        </w:sectPr>
      </w:pPr>
    </w:p>
    <w:tbl>
      <w:tblPr>
        <w:tblW w:w="10473" w:type="dxa"/>
        <w:tblInd w:w="65" w:type="dxa"/>
        <w:tblLayout w:type="fixed"/>
        <w:tblCellMar>
          <w:top w:w="55" w:type="dxa"/>
          <w:left w:w="55" w:type="dxa"/>
          <w:bottom w:w="55" w:type="dxa"/>
          <w:right w:w="55" w:type="dxa"/>
        </w:tblCellMar>
        <w:tblLook w:val="04A0" w:firstRow="1" w:lastRow="0" w:firstColumn="1" w:lastColumn="0" w:noHBand="0" w:noVBand="1"/>
      </w:tblPr>
      <w:tblGrid>
        <w:gridCol w:w="1121"/>
        <w:gridCol w:w="3566"/>
        <w:gridCol w:w="2200"/>
        <w:gridCol w:w="1708"/>
        <w:gridCol w:w="1878"/>
      </w:tblGrid>
      <w:tr w:rsidR="00D33C55">
        <w:trPr>
          <w:trHeight w:val="319"/>
        </w:trPr>
        <w:tc>
          <w:tcPr>
            <w:tcW w:w="10473" w:type="dxa"/>
            <w:gridSpan w:val="5"/>
          </w:tcPr>
          <w:p w:rsidR="00D33C55" w:rsidRDefault="00706D0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一般公共预算基本支出决算表（经济科目）</w:t>
            </w:r>
          </w:p>
        </w:tc>
      </w:tr>
      <w:tr w:rsidR="00D33C55">
        <w:trPr>
          <w:trHeight w:val="199"/>
        </w:trPr>
        <w:tc>
          <w:tcPr>
            <w:tcW w:w="8595" w:type="dxa"/>
            <w:gridSpan w:val="4"/>
            <w:vAlign w:val="center"/>
          </w:tcPr>
          <w:p w:rsidR="00D33C55" w:rsidRDefault="00D33C55">
            <w:pPr>
              <w:pStyle w:val="TableParagraph"/>
              <w:jc w:val="right"/>
              <w:rPr>
                <w:rFonts w:ascii="仿宋" w:eastAsia="仿宋" w:hAnsi="仿宋" w:cs="仿宋"/>
                <w:color w:val="000000"/>
              </w:rPr>
            </w:pPr>
          </w:p>
        </w:tc>
        <w:tc>
          <w:tcPr>
            <w:tcW w:w="1878" w:type="dxa"/>
            <w:vAlign w:val="center"/>
          </w:tcPr>
          <w:p w:rsidR="00D33C55" w:rsidRDefault="00706D03">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08</w:t>
            </w:r>
            <w:r>
              <w:rPr>
                <w:rFonts w:ascii="仿宋" w:eastAsia="仿宋" w:hAnsi="仿宋" w:cs="仿宋" w:hint="eastAsia"/>
              </w:rPr>
              <w:t>表</w:t>
            </w:r>
          </w:p>
        </w:tc>
      </w:tr>
      <w:tr w:rsidR="00D33C55">
        <w:trPr>
          <w:trHeight w:val="320"/>
        </w:trPr>
        <w:tc>
          <w:tcPr>
            <w:tcW w:w="8595" w:type="dxa"/>
            <w:gridSpan w:val="4"/>
            <w:vAlign w:val="center"/>
          </w:tcPr>
          <w:p w:rsidR="00D33C55" w:rsidRDefault="00706D03">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南京市农业农村局</w:t>
            </w:r>
          </w:p>
        </w:tc>
        <w:tc>
          <w:tcPr>
            <w:tcW w:w="1878" w:type="dxa"/>
            <w:vAlign w:val="center"/>
          </w:tcPr>
          <w:p w:rsidR="00D33C55" w:rsidRDefault="00706D03">
            <w:pPr>
              <w:pStyle w:val="TableParagraph"/>
              <w:jc w:val="right"/>
              <w:rPr>
                <w:rFonts w:ascii="仿宋" w:eastAsia="仿宋" w:hAnsi="仿宋" w:cs="仿宋"/>
                <w:sz w:val="20"/>
              </w:rPr>
            </w:pPr>
            <w:r>
              <w:rPr>
                <w:rFonts w:ascii="仿宋" w:eastAsia="仿宋" w:hAnsi="仿宋" w:cs="仿宋" w:hint="eastAsia"/>
              </w:rPr>
              <w:t>金额单位：万元</w:t>
            </w:r>
          </w:p>
        </w:tc>
      </w:tr>
      <w:tr w:rsidR="00D33C55">
        <w:trPr>
          <w:trHeight w:val="180"/>
        </w:trPr>
        <w:tc>
          <w:tcPr>
            <w:tcW w:w="4687" w:type="dxa"/>
            <w:gridSpan w:val="2"/>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5786"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sz w:val="20"/>
              </w:rPr>
            </w:pPr>
            <w:r>
              <w:rPr>
                <w:rFonts w:ascii="仿宋" w:eastAsia="仿宋" w:hAnsi="仿宋" w:cs="仿宋" w:hint="eastAsia"/>
              </w:rPr>
              <w:t>一般公共预算财政拨款基本支出</w:t>
            </w:r>
          </w:p>
        </w:tc>
      </w:tr>
      <w:tr w:rsidR="00D33C55">
        <w:trPr>
          <w:trHeight w:val="474"/>
        </w:trPr>
        <w:tc>
          <w:tcPr>
            <w:tcW w:w="1121"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经济分类科目编码</w:t>
            </w:r>
          </w:p>
        </w:tc>
        <w:tc>
          <w:tcPr>
            <w:tcW w:w="3566"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科目名称</w:t>
            </w:r>
          </w:p>
        </w:tc>
        <w:tc>
          <w:tcPr>
            <w:tcW w:w="2200"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合计</w:t>
            </w:r>
          </w:p>
        </w:tc>
        <w:tc>
          <w:tcPr>
            <w:tcW w:w="1708"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人员经费</w:t>
            </w:r>
          </w:p>
        </w:tc>
        <w:tc>
          <w:tcPr>
            <w:tcW w:w="1878" w:type="dxa"/>
            <w:tcBorders>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公用经费</w:t>
            </w:r>
          </w:p>
        </w:tc>
      </w:tr>
      <w:tr w:rsidR="00D33C55">
        <w:trPr>
          <w:trHeight w:hRule="exact" w:val="394"/>
        </w:trPr>
        <w:tc>
          <w:tcPr>
            <w:tcW w:w="4687" w:type="dxa"/>
            <w:gridSpan w:val="2"/>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合计</w:t>
            </w:r>
          </w:p>
        </w:tc>
        <w:tc>
          <w:tcPr>
            <w:tcW w:w="2200"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24,622.38</w:t>
            </w:r>
          </w:p>
        </w:tc>
        <w:tc>
          <w:tcPr>
            <w:tcW w:w="1708"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22,674.39</w:t>
            </w:r>
          </w:p>
        </w:tc>
        <w:tc>
          <w:tcPr>
            <w:tcW w:w="1878"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1,947.99</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301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19,326.43</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19,326.43</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基本工资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3,060.20</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3,060.20</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30102</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津贴补贴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6,842.82</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6,842.82</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30103</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奖金</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1,450.65</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1,450.65</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30106</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伙食补助费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30107</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绩效工资</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2,314.02</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2,314.02</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30108</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机关事业单位基本养老保险缴费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1,495.77</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1,495.77</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30109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职业年金缴费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768.53</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768.53</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30110</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职工基本医疗保险缴费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582.80</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582.80</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30111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公务员医疗补助缴费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30112</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其他社会保障缴费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106.95</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106.95</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30113</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住房公积金</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1,807.30</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1,807.30</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30114</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243.08</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243.08</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30199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其他工资福利支出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654.31</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654.31</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302</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1,947.99</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1,947.99</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172.08</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172.08</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30202</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6.18</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6.18</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30204</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0.25</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0.25</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30205</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7.96</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7.96</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30206</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61.40</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61.40</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30207</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55.79</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55.79</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30208</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471.81</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471.81</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134.83</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134.83</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30212</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30213</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9.31</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9.31</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30214</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212.69</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212.69</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30215</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8.34</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8.34</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30216</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8.14</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8.14</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30217</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8.01</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8.01</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lastRenderedPageBreak/>
              <w:t>30218</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0.67</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0.67</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30224</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30225</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30226</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9.06</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9.06</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30227</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12.95</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12.95</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30228</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187.04</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187.04</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89.53</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89.53</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30231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48.92</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48.92</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30239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251.17</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251.17</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30240</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3.98</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3.98</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30299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187.88</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187.88</w:t>
            </w: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303</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3,347.97</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3,347.97</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离休费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116.81</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116.81</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30302</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退休费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3,053.67</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3,053.67</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30303</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退职（役）费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30304</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抚恤金</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109.80</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109.80</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30305</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生活补助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10.40</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10.40</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30306</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救济费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30307</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医疗费补助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22.43</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22.43</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30308</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助学金</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30309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奖励金</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0.01</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0.01</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30310</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个人农业生产补贴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30311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代缴社会保险费</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30399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其他对个人和家庭的补助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34.85</w:t>
            </w: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34.85</w:t>
            </w: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307</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债务利息及费用支出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30701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30702</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国外债务付息</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30703</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国内债务发行费用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30704</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国外债务发行费用</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310</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31002</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31003</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31005</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31006</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31007</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31008</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lastRenderedPageBreak/>
              <w:t>31009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31010</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31012</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31013</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31021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31022</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31099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312</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31201</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资本金注入</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31203</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政府投资基金股权投资</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31204</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费用补贴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31205</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利息补贴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31206</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31299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其他对企业补助</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399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39907</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国家赔偿费用支出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39908</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对民间非营利组织和群众性自治组织补贴</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39909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经常性赠与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39910</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资本性赠与</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190"/>
        </w:trPr>
        <w:tc>
          <w:tcPr>
            <w:tcW w:w="112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39999</w:t>
            </w:r>
          </w:p>
        </w:tc>
        <w:tc>
          <w:tcPr>
            <w:tcW w:w="3566"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其他支出</w:t>
            </w:r>
          </w:p>
        </w:tc>
        <w:tc>
          <w:tcPr>
            <w:tcW w:w="2200"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c>
          <w:tcPr>
            <w:tcW w:w="187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bl>
    <w:p w:rsidR="00D33C55" w:rsidRDefault="00706D03">
      <w:pPr>
        <w:spacing w:before="25"/>
        <w:ind w:rightChars="-42" w:right="-92"/>
        <w:jc w:val="both"/>
        <w:rPr>
          <w:rFonts w:ascii="仿宋" w:eastAsia="仿宋" w:hAnsi="仿宋" w:cs="仿宋"/>
        </w:rPr>
      </w:pPr>
      <w:r>
        <w:rPr>
          <w:rFonts w:ascii="仿宋" w:eastAsia="仿宋" w:hAnsi="仿宋" w:cs="仿宋" w:hint="eastAsia"/>
        </w:rPr>
        <w:t>注：本表反映本年度一般公共预算财政拨款基本支出情况。本表金额单位转换时可能存在尾数误差。</w:t>
      </w:r>
    </w:p>
    <w:p w:rsidR="00D33C55" w:rsidRDefault="00D33C55">
      <w:pPr>
        <w:spacing w:before="25"/>
        <w:jc w:val="both"/>
        <w:rPr>
          <w:rFonts w:ascii="仿宋" w:eastAsia="仿宋" w:hAnsi="仿宋" w:cs="仿宋"/>
        </w:rPr>
        <w:sectPr w:rsidR="00D33C55">
          <w:footerReference w:type="default" r:id="rId19"/>
          <w:pgSz w:w="11906" w:h="16838"/>
          <w:pgMar w:top="720" w:right="720" w:bottom="720" w:left="720" w:header="170" w:footer="280" w:gutter="0"/>
          <w:pgNumType w:fmt="numberInDash"/>
          <w:cols w:space="720"/>
          <w:formProt w:val="0"/>
          <w:docGrid w:linePitch="100"/>
        </w:sectPr>
      </w:pPr>
    </w:p>
    <w:tbl>
      <w:tblPr>
        <w:tblW w:w="16486" w:type="dxa"/>
        <w:tblInd w:w="62" w:type="dxa"/>
        <w:tblLayout w:type="fixed"/>
        <w:tblCellMar>
          <w:top w:w="55" w:type="dxa"/>
          <w:left w:w="55" w:type="dxa"/>
          <w:bottom w:w="55" w:type="dxa"/>
          <w:right w:w="55" w:type="dxa"/>
        </w:tblCellMar>
        <w:tblLook w:val="04A0" w:firstRow="1" w:lastRow="0" w:firstColumn="1" w:lastColumn="0" w:noHBand="0" w:noVBand="1"/>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rsidR="00D33C55">
        <w:trPr>
          <w:trHeight w:val="321"/>
        </w:trPr>
        <w:tc>
          <w:tcPr>
            <w:tcW w:w="16486" w:type="dxa"/>
            <w:gridSpan w:val="16"/>
          </w:tcPr>
          <w:p w:rsidR="00D33C55" w:rsidRDefault="00706D03">
            <w:pPr>
              <w:pStyle w:val="TableParagraph"/>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“三公”经费、会议费</w:t>
            </w:r>
            <w:r>
              <w:rPr>
                <w:rFonts w:hint="eastAsia"/>
                <w:b/>
                <w:bCs/>
                <w:color w:val="000000"/>
                <w:sz w:val="36"/>
                <w:szCs w:val="36"/>
                <w:lang w:val="en-US"/>
              </w:rPr>
              <w:t>和</w:t>
            </w:r>
            <w:r>
              <w:rPr>
                <w:rFonts w:hint="eastAsia"/>
                <w:b/>
                <w:bCs/>
                <w:color w:val="000000"/>
                <w:sz w:val="36"/>
                <w:szCs w:val="36"/>
                <w:lang w:eastAsia="ar-SA"/>
              </w:rPr>
              <w:t>培训费支出决算表</w:t>
            </w:r>
          </w:p>
        </w:tc>
      </w:tr>
      <w:tr w:rsidR="00D33C55">
        <w:trPr>
          <w:trHeight w:val="207"/>
        </w:trPr>
        <w:tc>
          <w:tcPr>
            <w:tcW w:w="16486" w:type="dxa"/>
            <w:gridSpan w:val="16"/>
          </w:tcPr>
          <w:p w:rsidR="00D33C55" w:rsidRDefault="00706D03">
            <w:pPr>
              <w:pStyle w:val="TableParagraph"/>
              <w:jc w:val="right"/>
              <w:rPr>
                <w:rFonts w:ascii="仿宋" w:eastAsia="仿宋" w:hAnsi="仿宋" w:cs="仿宋"/>
                <w:sz w:val="20"/>
              </w:rPr>
            </w:pPr>
            <w:r>
              <w:rPr>
                <w:rFonts w:ascii="仿宋" w:eastAsia="仿宋" w:hAnsi="仿宋" w:cs="仿宋" w:hint="eastAsia"/>
              </w:rPr>
              <w:t>公开</w:t>
            </w:r>
            <w:r>
              <w:rPr>
                <w:rFonts w:ascii="仿宋" w:eastAsia="仿宋" w:hAnsi="仿宋" w:cs="仿宋" w:hint="eastAsia"/>
              </w:rPr>
              <w:t>09</w:t>
            </w:r>
            <w:r>
              <w:rPr>
                <w:rFonts w:ascii="仿宋" w:eastAsia="仿宋" w:hAnsi="仿宋" w:cs="仿宋" w:hint="eastAsia"/>
              </w:rPr>
              <w:t>表</w:t>
            </w:r>
          </w:p>
        </w:tc>
      </w:tr>
      <w:tr w:rsidR="00D33C55">
        <w:trPr>
          <w:trHeight w:val="103"/>
        </w:trPr>
        <w:tc>
          <w:tcPr>
            <w:tcW w:w="8212" w:type="dxa"/>
            <w:gridSpan w:val="8"/>
            <w:tcBorders>
              <w:bottom w:val="single" w:sz="4" w:space="0" w:color="auto"/>
            </w:tcBorders>
          </w:tcPr>
          <w:p w:rsidR="00D33C55" w:rsidRDefault="00706D03">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南京市农业农村局</w:t>
            </w:r>
          </w:p>
        </w:tc>
        <w:tc>
          <w:tcPr>
            <w:tcW w:w="8274" w:type="dxa"/>
            <w:gridSpan w:val="8"/>
            <w:tcBorders>
              <w:bottom w:val="single" w:sz="4" w:space="0" w:color="auto"/>
            </w:tcBorders>
          </w:tcPr>
          <w:p w:rsidR="00D33C55" w:rsidRDefault="00706D03">
            <w:pPr>
              <w:pStyle w:val="TableParagraph"/>
              <w:jc w:val="right"/>
              <w:rPr>
                <w:rFonts w:ascii="仿宋" w:eastAsia="仿宋" w:hAnsi="仿宋" w:cs="仿宋"/>
              </w:rPr>
            </w:pPr>
            <w:r>
              <w:rPr>
                <w:rFonts w:ascii="仿宋" w:eastAsia="仿宋" w:hAnsi="仿宋" w:cs="仿宋" w:hint="eastAsia"/>
              </w:rPr>
              <w:t>金额单位：万元</w:t>
            </w:r>
          </w:p>
        </w:tc>
      </w:tr>
      <w:tr w:rsidR="00D33C55">
        <w:trPr>
          <w:trHeight w:val="171"/>
        </w:trPr>
        <w:tc>
          <w:tcPr>
            <w:tcW w:w="8212" w:type="dxa"/>
            <w:gridSpan w:val="8"/>
            <w:tcBorders>
              <w:top w:val="single" w:sz="4" w:space="0" w:color="auto"/>
              <w:left w:val="single" w:sz="4" w:space="0" w:color="auto"/>
              <w:bottom w:val="single" w:sz="4" w:space="0" w:color="auto"/>
              <w:right w:val="single" w:sz="4" w:space="0" w:color="auto"/>
            </w:tcBorders>
          </w:tcPr>
          <w:p w:rsidR="00D33C55" w:rsidRDefault="00706D03">
            <w:pPr>
              <w:pStyle w:val="TableParagraph"/>
              <w:jc w:val="center"/>
              <w:rPr>
                <w:rFonts w:ascii="仿宋" w:eastAsia="仿宋" w:hAnsi="仿宋" w:cs="仿宋"/>
              </w:rPr>
            </w:pPr>
            <w:r>
              <w:rPr>
                <w:rFonts w:ascii="仿宋" w:eastAsia="仿宋" w:hAnsi="仿宋" w:cs="仿宋" w:hint="eastAsia"/>
                <w:lang w:val="en-US"/>
              </w:rPr>
              <w:t>预算数</w:t>
            </w:r>
          </w:p>
        </w:tc>
        <w:tc>
          <w:tcPr>
            <w:tcW w:w="8274" w:type="dxa"/>
            <w:gridSpan w:val="8"/>
            <w:tcBorders>
              <w:top w:val="single" w:sz="4" w:space="0" w:color="auto"/>
              <w:left w:val="single" w:sz="4" w:space="0" w:color="auto"/>
              <w:bottom w:val="single" w:sz="4" w:space="0" w:color="auto"/>
              <w:right w:val="single" w:sz="4" w:space="0" w:color="auto"/>
            </w:tcBorders>
          </w:tcPr>
          <w:p w:rsidR="00D33C55" w:rsidRDefault="00706D03">
            <w:pPr>
              <w:pStyle w:val="TableParagraph"/>
              <w:jc w:val="center"/>
              <w:rPr>
                <w:rFonts w:ascii="仿宋" w:eastAsia="仿宋" w:hAnsi="仿宋" w:cs="仿宋"/>
                <w:lang w:val="en-US"/>
              </w:rPr>
            </w:pPr>
            <w:r>
              <w:rPr>
                <w:rFonts w:ascii="仿宋" w:eastAsia="仿宋" w:hAnsi="仿宋" w:cs="仿宋" w:hint="eastAsia"/>
                <w:lang w:val="en-US"/>
              </w:rPr>
              <w:t>决算数</w:t>
            </w:r>
          </w:p>
        </w:tc>
      </w:tr>
      <w:tr w:rsidR="00D33C55">
        <w:trPr>
          <w:trHeight w:val="179"/>
        </w:trPr>
        <w:tc>
          <w:tcPr>
            <w:tcW w:w="6159" w:type="dxa"/>
            <w:gridSpan w:val="6"/>
            <w:tcBorders>
              <w:top w:val="single" w:sz="4" w:space="0" w:color="auto"/>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“三公”经费</w:t>
            </w:r>
          </w:p>
        </w:tc>
        <w:tc>
          <w:tcPr>
            <w:tcW w:w="1043" w:type="dxa"/>
            <w:vMerge w:val="restart"/>
            <w:tcBorders>
              <w:top w:val="single" w:sz="4" w:space="0" w:color="auto"/>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会议费</w:t>
            </w:r>
          </w:p>
        </w:tc>
        <w:tc>
          <w:tcPr>
            <w:tcW w:w="1010" w:type="dxa"/>
            <w:vMerge w:val="restart"/>
            <w:tcBorders>
              <w:top w:val="single" w:sz="4" w:space="0" w:color="auto"/>
              <w:left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培训费</w:t>
            </w:r>
          </w:p>
        </w:tc>
        <w:tc>
          <w:tcPr>
            <w:tcW w:w="6190" w:type="dxa"/>
            <w:gridSpan w:val="6"/>
            <w:tcBorders>
              <w:top w:val="single" w:sz="4" w:space="0" w:color="auto"/>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“三公”经费</w:t>
            </w:r>
          </w:p>
        </w:tc>
        <w:tc>
          <w:tcPr>
            <w:tcW w:w="1057" w:type="dxa"/>
            <w:vMerge w:val="restart"/>
            <w:tcBorders>
              <w:top w:val="single" w:sz="4" w:space="0" w:color="auto"/>
              <w:left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会议费</w:t>
            </w:r>
          </w:p>
        </w:tc>
        <w:tc>
          <w:tcPr>
            <w:tcW w:w="1027" w:type="dxa"/>
            <w:vMerge w:val="restart"/>
            <w:tcBorders>
              <w:top w:val="single" w:sz="4" w:space="0" w:color="auto"/>
              <w:left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培训费</w:t>
            </w:r>
          </w:p>
        </w:tc>
      </w:tr>
      <w:tr w:rsidR="00D33C55">
        <w:trPr>
          <w:trHeight w:val="297"/>
        </w:trPr>
        <w:tc>
          <w:tcPr>
            <w:tcW w:w="1044" w:type="dxa"/>
            <w:vMerge w:val="restart"/>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“三公”经费合计</w:t>
            </w:r>
          </w:p>
        </w:tc>
        <w:tc>
          <w:tcPr>
            <w:tcW w:w="1042" w:type="dxa"/>
            <w:vMerge w:val="restart"/>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因公出国（境）费</w:t>
            </w:r>
          </w:p>
        </w:tc>
        <w:tc>
          <w:tcPr>
            <w:tcW w:w="3047" w:type="dxa"/>
            <w:gridSpan w:val="3"/>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公务用车购置及运行费</w:t>
            </w:r>
          </w:p>
        </w:tc>
        <w:tc>
          <w:tcPr>
            <w:tcW w:w="1026" w:type="dxa"/>
            <w:vMerge w:val="restart"/>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公务</w:t>
            </w:r>
          </w:p>
          <w:p w:rsidR="00D33C55" w:rsidRDefault="00706D03">
            <w:pPr>
              <w:pStyle w:val="TableParagraph"/>
              <w:jc w:val="center"/>
              <w:rPr>
                <w:rFonts w:ascii="仿宋" w:eastAsia="仿宋" w:hAnsi="仿宋" w:cs="仿宋"/>
              </w:rPr>
            </w:pPr>
            <w:r>
              <w:rPr>
                <w:rFonts w:ascii="仿宋" w:eastAsia="仿宋" w:hAnsi="仿宋" w:cs="仿宋" w:hint="eastAsia"/>
              </w:rPr>
              <w:t>接待费</w:t>
            </w:r>
          </w:p>
        </w:tc>
        <w:tc>
          <w:tcPr>
            <w:tcW w:w="1043" w:type="dxa"/>
            <w:vMerge/>
            <w:tcBorders>
              <w:left w:val="single" w:sz="4" w:space="0" w:color="000000"/>
              <w:bottom w:val="single" w:sz="4" w:space="0" w:color="000000"/>
            </w:tcBorders>
            <w:vAlign w:val="center"/>
          </w:tcPr>
          <w:p w:rsidR="00D33C55" w:rsidRDefault="00D33C55">
            <w:pPr>
              <w:jc w:val="center"/>
              <w:rPr>
                <w:rFonts w:ascii="仿宋" w:eastAsia="仿宋" w:hAnsi="仿宋" w:cs="仿宋"/>
                <w:sz w:val="20"/>
              </w:rPr>
            </w:pPr>
          </w:p>
        </w:tc>
        <w:tc>
          <w:tcPr>
            <w:tcW w:w="1010" w:type="dxa"/>
            <w:vMerge/>
            <w:tcBorders>
              <w:left w:val="single" w:sz="4" w:space="0" w:color="000000"/>
              <w:right w:val="single" w:sz="4" w:space="0" w:color="000000"/>
            </w:tcBorders>
            <w:vAlign w:val="center"/>
          </w:tcPr>
          <w:p w:rsidR="00D33C55" w:rsidRDefault="00D33C55">
            <w:pPr>
              <w:jc w:val="center"/>
              <w:rPr>
                <w:rFonts w:ascii="仿宋" w:eastAsia="仿宋" w:hAnsi="仿宋" w:cs="仿宋"/>
                <w:sz w:val="20"/>
              </w:rPr>
            </w:pPr>
          </w:p>
        </w:tc>
        <w:tc>
          <w:tcPr>
            <w:tcW w:w="1058" w:type="dxa"/>
            <w:vMerge w:val="restart"/>
            <w:tcBorders>
              <w:left w:val="single" w:sz="4" w:space="0" w:color="000000"/>
              <w:right w:val="single" w:sz="4" w:space="0" w:color="000000"/>
            </w:tcBorders>
            <w:vAlign w:val="center"/>
          </w:tcPr>
          <w:p w:rsidR="00D33C55" w:rsidRDefault="00706D03">
            <w:pPr>
              <w:pStyle w:val="TableParagraph"/>
              <w:jc w:val="center"/>
              <w:rPr>
                <w:rFonts w:ascii="仿宋" w:eastAsia="仿宋" w:hAnsi="仿宋" w:cs="仿宋"/>
                <w:sz w:val="20"/>
              </w:rPr>
            </w:pPr>
            <w:r>
              <w:rPr>
                <w:rFonts w:ascii="仿宋" w:eastAsia="仿宋" w:hAnsi="仿宋" w:cs="仿宋" w:hint="eastAsia"/>
              </w:rPr>
              <w:t>“三公”经费合计</w:t>
            </w:r>
          </w:p>
        </w:tc>
        <w:tc>
          <w:tcPr>
            <w:tcW w:w="1010" w:type="dxa"/>
            <w:vMerge w:val="restart"/>
            <w:tcBorders>
              <w:left w:val="single" w:sz="4" w:space="0" w:color="000000"/>
              <w:right w:val="single" w:sz="4" w:space="0" w:color="000000"/>
            </w:tcBorders>
            <w:vAlign w:val="center"/>
          </w:tcPr>
          <w:p w:rsidR="00D33C55" w:rsidRDefault="00706D03">
            <w:pPr>
              <w:pStyle w:val="TableParagraph"/>
              <w:jc w:val="center"/>
              <w:rPr>
                <w:rFonts w:ascii="仿宋" w:eastAsia="仿宋" w:hAnsi="仿宋" w:cs="仿宋"/>
                <w:sz w:val="20"/>
              </w:rPr>
            </w:pPr>
            <w:r>
              <w:rPr>
                <w:rFonts w:ascii="仿宋" w:eastAsia="仿宋" w:hAnsi="仿宋" w:cs="仿宋" w:hint="eastAsia"/>
              </w:rPr>
              <w:t>因公出国（境）费</w:t>
            </w:r>
          </w:p>
        </w:tc>
        <w:tc>
          <w:tcPr>
            <w:tcW w:w="3079" w:type="dxa"/>
            <w:gridSpan w:val="3"/>
            <w:tcBorders>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sz w:val="20"/>
              </w:rPr>
            </w:pPr>
            <w:r>
              <w:rPr>
                <w:rFonts w:ascii="仿宋" w:eastAsia="仿宋" w:hAnsi="仿宋" w:cs="仿宋" w:hint="eastAsia"/>
              </w:rPr>
              <w:t>公务用车购置及运行费</w:t>
            </w:r>
          </w:p>
        </w:tc>
        <w:tc>
          <w:tcPr>
            <w:tcW w:w="1043" w:type="dxa"/>
            <w:vMerge w:val="restart"/>
            <w:tcBorders>
              <w:left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公务</w:t>
            </w:r>
          </w:p>
          <w:p w:rsidR="00D33C55" w:rsidRDefault="00706D03">
            <w:pPr>
              <w:pStyle w:val="TableParagraph"/>
              <w:jc w:val="center"/>
              <w:rPr>
                <w:rFonts w:ascii="仿宋" w:eastAsia="仿宋" w:hAnsi="仿宋" w:cs="仿宋"/>
                <w:sz w:val="20"/>
              </w:rPr>
            </w:pPr>
            <w:r>
              <w:rPr>
                <w:rFonts w:ascii="仿宋" w:eastAsia="仿宋" w:hAnsi="仿宋" w:cs="仿宋" w:hint="eastAsia"/>
              </w:rPr>
              <w:t>接待费</w:t>
            </w:r>
          </w:p>
        </w:tc>
        <w:tc>
          <w:tcPr>
            <w:tcW w:w="1057" w:type="dxa"/>
            <w:vMerge/>
            <w:tcBorders>
              <w:left w:val="single" w:sz="4" w:space="0" w:color="000000"/>
              <w:right w:val="single" w:sz="4" w:space="0" w:color="000000"/>
            </w:tcBorders>
            <w:vAlign w:val="center"/>
          </w:tcPr>
          <w:p w:rsidR="00D33C55" w:rsidRDefault="00D33C55">
            <w:pPr>
              <w:jc w:val="center"/>
              <w:rPr>
                <w:rFonts w:ascii="仿宋" w:eastAsia="仿宋" w:hAnsi="仿宋" w:cs="仿宋"/>
                <w:sz w:val="20"/>
              </w:rPr>
            </w:pPr>
          </w:p>
        </w:tc>
        <w:tc>
          <w:tcPr>
            <w:tcW w:w="1027" w:type="dxa"/>
            <w:vMerge/>
            <w:tcBorders>
              <w:left w:val="single" w:sz="4" w:space="0" w:color="000000"/>
              <w:right w:val="single" w:sz="4" w:space="0" w:color="000000"/>
            </w:tcBorders>
            <w:vAlign w:val="center"/>
          </w:tcPr>
          <w:p w:rsidR="00D33C55" w:rsidRDefault="00D33C55">
            <w:pPr>
              <w:jc w:val="center"/>
              <w:rPr>
                <w:rFonts w:ascii="仿宋" w:eastAsia="仿宋" w:hAnsi="仿宋" w:cs="仿宋"/>
                <w:sz w:val="20"/>
              </w:rPr>
            </w:pPr>
          </w:p>
        </w:tc>
      </w:tr>
      <w:tr w:rsidR="00D33C55">
        <w:trPr>
          <w:trHeight w:hRule="exact" w:val="621"/>
        </w:trPr>
        <w:tc>
          <w:tcPr>
            <w:tcW w:w="1044" w:type="dxa"/>
            <w:vMerge/>
            <w:tcBorders>
              <w:left w:val="single" w:sz="4" w:space="0" w:color="000000"/>
              <w:bottom w:val="single" w:sz="4" w:space="0" w:color="000000"/>
            </w:tcBorders>
          </w:tcPr>
          <w:p w:rsidR="00D33C55" w:rsidRDefault="00D33C55">
            <w:pPr>
              <w:rPr>
                <w:rFonts w:ascii="仿宋" w:eastAsia="仿宋" w:hAnsi="仿宋" w:cs="仿宋"/>
                <w:sz w:val="2"/>
                <w:szCs w:val="2"/>
              </w:rPr>
            </w:pPr>
          </w:p>
        </w:tc>
        <w:tc>
          <w:tcPr>
            <w:tcW w:w="1042" w:type="dxa"/>
            <w:vMerge/>
            <w:tcBorders>
              <w:left w:val="single" w:sz="4" w:space="0" w:color="000000"/>
              <w:bottom w:val="single" w:sz="4" w:space="0" w:color="000000"/>
            </w:tcBorders>
          </w:tcPr>
          <w:p w:rsidR="00D33C55" w:rsidRDefault="00D33C55">
            <w:pPr>
              <w:rPr>
                <w:rFonts w:ascii="仿宋" w:eastAsia="仿宋" w:hAnsi="仿宋" w:cs="仿宋"/>
                <w:sz w:val="2"/>
                <w:szCs w:val="2"/>
              </w:rPr>
            </w:pPr>
          </w:p>
        </w:tc>
        <w:tc>
          <w:tcPr>
            <w:tcW w:w="1020"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rPr>
              <w:t>小计</w:t>
            </w:r>
          </w:p>
        </w:tc>
        <w:tc>
          <w:tcPr>
            <w:tcW w:w="1029"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公务用车购置费</w:t>
            </w:r>
          </w:p>
        </w:tc>
        <w:tc>
          <w:tcPr>
            <w:tcW w:w="998"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公务用车运行费</w:t>
            </w:r>
          </w:p>
        </w:tc>
        <w:tc>
          <w:tcPr>
            <w:tcW w:w="1026" w:type="dxa"/>
            <w:vMerge/>
            <w:tcBorders>
              <w:left w:val="single" w:sz="4" w:space="0" w:color="000000"/>
              <w:bottom w:val="single" w:sz="4" w:space="0" w:color="000000"/>
            </w:tcBorders>
          </w:tcPr>
          <w:p w:rsidR="00D33C55" w:rsidRDefault="00D33C55">
            <w:pPr>
              <w:rPr>
                <w:rFonts w:ascii="仿宋" w:eastAsia="仿宋" w:hAnsi="仿宋" w:cs="仿宋"/>
                <w:sz w:val="2"/>
                <w:szCs w:val="2"/>
              </w:rPr>
            </w:pPr>
          </w:p>
        </w:tc>
        <w:tc>
          <w:tcPr>
            <w:tcW w:w="1043" w:type="dxa"/>
            <w:vMerge/>
            <w:tcBorders>
              <w:left w:val="single" w:sz="4" w:space="0" w:color="000000"/>
              <w:bottom w:val="single" w:sz="4" w:space="0" w:color="000000"/>
            </w:tcBorders>
          </w:tcPr>
          <w:p w:rsidR="00D33C55" w:rsidRDefault="00D33C55">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D33C55" w:rsidRDefault="00D33C55">
            <w:pPr>
              <w:rPr>
                <w:rFonts w:ascii="仿宋" w:eastAsia="仿宋" w:hAnsi="仿宋" w:cs="仿宋"/>
                <w:sz w:val="2"/>
                <w:szCs w:val="2"/>
              </w:rPr>
            </w:pPr>
          </w:p>
        </w:tc>
        <w:tc>
          <w:tcPr>
            <w:tcW w:w="1058" w:type="dxa"/>
            <w:vMerge/>
            <w:tcBorders>
              <w:left w:val="single" w:sz="4" w:space="0" w:color="000000"/>
              <w:bottom w:val="single" w:sz="4" w:space="0" w:color="000000"/>
              <w:right w:val="single" w:sz="4" w:space="0" w:color="000000"/>
            </w:tcBorders>
          </w:tcPr>
          <w:p w:rsidR="00D33C55" w:rsidRDefault="00D33C55">
            <w:pPr>
              <w:rPr>
                <w:rFonts w:ascii="仿宋" w:eastAsia="仿宋" w:hAnsi="仿宋" w:cs="仿宋"/>
                <w:sz w:val="2"/>
                <w:szCs w:val="2"/>
              </w:rPr>
            </w:pPr>
          </w:p>
        </w:tc>
        <w:tc>
          <w:tcPr>
            <w:tcW w:w="1010" w:type="dxa"/>
            <w:vMerge/>
            <w:tcBorders>
              <w:left w:val="single" w:sz="4" w:space="0" w:color="000000"/>
              <w:bottom w:val="single" w:sz="4" w:space="0" w:color="000000"/>
              <w:right w:val="single" w:sz="4" w:space="0" w:color="000000"/>
            </w:tcBorders>
          </w:tcPr>
          <w:p w:rsidR="00D33C55" w:rsidRDefault="00D33C55">
            <w:pPr>
              <w:rPr>
                <w:rFonts w:ascii="仿宋" w:eastAsia="仿宋" w:hAnsi="仿宋" w:cs="仿宋"/>
                <w:sz w:val="2"/>
                <w:szCs w:val="2"/>
              </w:rPr>
            </w:pPr>
          </w:p>
        </w:tc>
        <w:tc>
          <w:tcPr>
            <w:tcW w:w="948" w:type="dxa"/>
            <w:tcBorders>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sz w:val="2"/>
                <w:szCs w:val="2"/>
              </w:rPr>
            </w:pPr>
            <w:r>
              <w:rPr>
                <w:rFonts w:ascii="仿宋" w:eastAsia="仿宋" w:hAnsi="仿宋" w:cs="仿宋"/>
              </w:rPr>
              <w:t>小计</w:t>
            </w:r>
          </w:p>
        </w:tc>
        <w:tc>
          <w:tcPr>
            <w:tcW w:w="1089" w:type="dxa"/>
            <w:tcBorders>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sz w:val="2"/>
                <w:szCs w:val="2"/>
              </w:rPr>
            </w:pPr>
            <w:r>
              <w:rPr>
                <w:rFonts w:ascii="仿宋" w:eastAsia="仿宋" w:hAnsi="仿宋" w:cs="仿宋" w:hint="eastAsia"/>
              </w:rPr>
              <w:t>公务用车购置费</w:t>
            </w:r>
          </w:p>
        </w:tc>
        <w:tc>
          <w:tcPr>
            <w:tcW w:w="1042" w:type="dxa"/>
            <w:tcBorders>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sz w:val="2"/>
                <w:szCs w:val="2"/>
              </w:rPr>
            </w:pPr>
            <w:r>
              <w:rPr>
                <w:rFonts w:ascii="仿宋" w:eastAsia="仿宋" w:hAnsi="仿宋" w:cs="仿宋" w:hint="eastAsia"/>
              </w:rPr>
              <w:t>公务用车运行费</w:t>
            </w:r>
          </w:p>
        </w:tc>
        <w:tc>
          <w:tcPr>
            <w:tcW w:w="1043" w:type="dxa"/>
            <w:vMerge/>
            <w:tcBorders>
              <w:left w:val="single" w:sz="4" w:space="0" w:color="000000"/>
              <w:bottom w:val="single" w:sz="4" w:space="0" w:color="000000"/>
              <w:right w:val="single" w:sz="4" w:space="0" w:color="000000"/>
            </w:tcBorders>
          </w:tcPr>
          <w:p w:rsidR="00D33C55" w:rsidRDefault="00D33C55">
            <w:pPr>
              <w:rPr>
                <w:rFonts w:ascii="仿宋" w:eastAsia="仿宋" w:hAnsi="仿宋" w:cs="仿宋"/>
                <w:sz w:val="2"/>
                <w:szCs w:val="2"/>
              </w:rPr>
            </w:pPr>
          </w:p>
        </w:tc>
        <w:tc>
          <w:tcPr>
            <w:tcW w:w="1057" w:type="dxa"/>
            <w:vMerge/>
            <w:tcBorders>
              <w:left w:val="single" w:sz="4" w:space="0" w:color="000000"/>
              <w:bottom w:val="single" w:sz="4" w:space="0" w:color="000000"/>
              <w:right w:val="single" w:sz="4" w:space="0" w:color="000000"/>
            </w:tcBorders>
          </w:tcPr>
          <w:p w:rsidR="00D33C55" w:rsidRDefault="00D33C55">
            <w:pPr>
              <w:rPr>
                <w:rFonts w:ascii="仿宋" w:eastAsia="仿宋" w:hAnsi="仿宋" w:cs="仿宋"/>
                <w:sz w:val="2"/>
                <w:szCs w:val="2"/>
              </w:rPr>
            </w:pPr>
          </w:p>
        </w:tc>
        <w:tc>
          <w:tcPr>
            <w:tcW w:w="1027" w:type="dxa"/>
            <w:vMerge/>
            <w:tcBorders>
              <w:left w:val="single" w:sz="4" w:space="0" w:color="000000"/>
              <w:bottom w:val="single" w:sz="4" w:space="0" w:color="000000"/>
              <w:right w:val="single" w:sz="4" w:space="0" w:color="000000"/>
            </w:tcBorders>
          </w:tcPr>
          <w:p w:rsidR="00D33C55" w:rsidRDefault="00D33C55">
            <w:pPr>
              <w:rPr>
                <w:rFonts w:ascii="仿宋" w:eastAsia="仿宋" w:hAnsi="仿宋" w:cs="仿宋"/>
                <w:sz w:val="2"/>
                <w:szCs w:val="2"/>
              </w:rPr>
            </w:pPr>
          </w:p>
        </w:tc>
      </w:tr>
      <w:tr w:rsidR="00D33C55">
        <w:trPr>
          <w:cantSplit/>
          <w:trHeight w:val="380"/>
        </w:trPr>
        <w:tc>
          <w:tcPr>
            <w:tcW w:w="1044"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94.84</w:t>
            </w:r>
          </w:p>
        </w:tc>
        <w:tc>
          <w:tcPr>
            <w:tcW w:w="1042"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21.24</w:t>
            </w:r>
          </w:p>
        </w:tc>
        <w:tc>
          <w:tcPr>
            <w:tcW w:w="1020"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55.14</w:t>
            </w:r>
          </w:p>
        </w:tc>
        <w:tc>
          <w:tcPr>
            <w:tcW w:w="1029"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998"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55.14</w:t>
            </w:r>
          </w:p>
        </w:tc>
        <w:tc>
          <w:tcPr>
            <w:tcW w:w="1026"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18.46</w:t>
            </w:r>
          </w:p>
        </w:tc>
        <w:tc>
          <w:tcPr>
            <w:tcW w:w="1043"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33.98</w:t>
            </w:r>
          </w:p>
        </w:tc>
        <w:tc>
          <w:tcPr>
            <w:tcW w:w="1010"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134.59</w:t>
            </w:r>
          </w:p>
        </w:tc>
        <w:tc>
          <w:tcPr>
            <w:tcW w:w="1058"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78.18</w:t>
            </w:r>
          </w:p>
        </w:tc>
        <w:tc>
          <w:tcPr>
            <w:tcW w:w="1010"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21.24</w:t>
            </w:r>
          </w:p>
        </w:tc>
        <w:tc>
          <w:tcPr>
            <w:tcW w:w="948"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48.92</w:t>
            </w:r>
          </w:p>
        </w:tc>
        <w:tc>
          <w:tcPr>
            <w:tcW w:w="1089"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0.00</w:t>
            </w:r>
          </w:p>
        </w:tc>
        <w:tc>
          <w:tcPr>
            <w:tcW w:w="1042"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48.92</w:t>
            </w:r>
          </w:p>
        </w:tc>
        <w:tc>
          <w:tcPr>
            <w:tcW w:w="1043"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8.01</w:t>
            </w:r>
          </w:p>
        </w:tc>
        <w:tc>
          <w:tcPr>
            <w:tcW w:w="1057"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13.13</w:t>
            </w:r>
          </w:p>
        </w:tc>
        <w:tc>
          <w:tcPr>
            <w:tcW w:w="1027"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sz w:val="18"/>
                <w:szCs w:val="18"/>
              </w:rPr>
            </w:pPr>
            <w:r>
              <w:rPr>
                <w:rFonts w:ascii="仿宋" w:eastAsia="仿宋" w:hAnsi="仿宋" w:cs="仿宋" w:hint="eastAsia"/>
                <w:sz w:val="18"/>
                <w:szCs w:val="18"/>
              </w:rPr>
              <w:t>87.71</w:t>
            </w:r>
          </w:p>
        </w:tc>
      </w:tr>
    </w:tbl>
    <w:p w:rsidR="00D33C55" w:rsidRDefault="00706D03">
      <w:pPr>
        <w:spacing w:before="30" w:after="33"/>
        <w:ind w:leftChars="100" w:left="220"/>
        <w:rPr>
          <w:rFonts w:ascii="仿宋" w:eastAsia="仿宋" w:hAnsi="仿宋" w:cs="仿宋"/>
        </w:rPr>
      </w:pPr>
      <w:r>
        <w:rPr>
          <w:rFonts w:ascii="仿宋" w:eastAsia="仿宋" w:hAnsi="仿宋" w:cs="仿宋" w:hint="eastAsia"/>
        </w:rPr>
        <w:t>相关统计数：</w:t>
      </w:r>
    </w:p>
    <w:tbl>
      <w:tblPr>
        <w:tblW w:w="11798" w:type="dxa"/>
        <w:tblInd w:w="62" w:type="dxa"/>
        <w:tblLayout w:type="fixed"/>
        <w:tblCellMar>
          <w:top w:w="55" w:type="dxa"/>
          <w:left w:w="55" w:type="dxa"/>
          <w:bottom w:w="55" w:type="dxa"/>
          <w:right w:w="55" w:type="dxa"/>
        </w:tblCellMar>
        <w:tblLook w:val="04A0" w:firstRow="1" w:lastRow="0" w:firstColumn="1" w:lastColumn="0" w:noHBand="0" w:noVBand="1"/>
      </w:tblPr>
      <w:tblGrid>
        <w:gridCol w:w="4028"/>
        <w:gridCol w:w="1976"/>
        <w:gridCol w:w="3908"/>
        <w:gridCol w:w="1886"/>
      </w:tblGrid>
      <w:tr w:rsidR="00D33C55">
        <w:trPr>
          <w:cantSplit/>
          <w:trHeight w:val="214"/>
        </w:trPr>
        <w:tc>
          <w:tcPr>
            <w:tcW w:w="4028" w:type="dxa"/>
            <w:tcBorders>
              <w:top w:val="single" w:sz="4" w:space="0" w:color="auto"/>
              <w:left w:val="single" w:sz="4" w:space="0" w:color="auto"/>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rPr>
              <w:t>项目</w:t>
            </w:r>
          </w:p>
        </w:tc>
        <w:tc>
          <w:tcPr>
            <w:tcW w:w="1976"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统计数</w:t>
            </w:r>
          </w:p>
        </w:tc>
        <w:tc>
          <w:tcPr>
            <w:tcW w:w="3908"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项目</w:t>
            </w:r>
          </w:p>
        </w:tc>
        <w:tc>
          <w:tcPr>
            <w:tcW w:w="1886" w:type="dxa"/>
            <w:tcBorders>
              <w:top w:val="single" w:sz="4" w:space="0" w:color="auto"/>
              <w:left w:val="single" w:sz="4" w:space="0" w:color="000000"/>
              <w:bottom w:val="single" w:sz="4" w:space="0" w:color="auto"/>
              <w:right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统计数</w:t>
            </w:r>
          </w:p>
        </w:tc>
      </w:tr>
      <w:tr w:rsidR="00D33C55">
        <w:trPr>
          <w:cantSplit/>
          <w:trHeight w:val="190"/>
        </w:trPr>
        <w:tc>
          <w:tcPr>
            <w:tcW w:w="4028" w:type="dxa"/>
            <w:tcBorders>
              <w:top w:val="single" w:sz="4" w:space="0" w:color="auto"/>
              <w:left w:val="single" w:sz="4" w:space="0" w:color="auto"/>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因公出国（境）团组数</w:t>
            </w:r>
            <w:r>
              <w:rPr>
                <w:rFonts w:ascii="仿宋" w:eastAsia="仿宋" w:hAnsi="仿宋" w:cs="仿宋" w:hint="eastAsia"/>
              </w:rPr>
              <w:t>(</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3</w:t>
            </w:r>
          </w:p>
        </w:tc>
        <w:tc>
          <w:tcPr>
            <w:tcW w:w="3908"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因公出国（境）人次数</w:t>
            </w:r>
            <w:r>
              <w:rPr>
                <w:rFonts w:ascii="仿宋" w:eastAsia="仿宋" w:hAnsi="仿宋" w:cs="仿宋" w:hint="eastAsia"/>
              </w:rPr>
              <w:t>(</w:t>
            </w:r>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4</w:t>
            </w:r>
          </w:p>
        </w:tc>
      </w:tr>
      <w:tr w:rsidR="00D33C55">
        <w:trPr>
          <w:cantSplit/>
          <w:trHeight w:val="190"/>
        </w:trPr>
        <w:tc>
          <w:tcPr>
            <w:tcW w:w="4028" w:type="dxa"/>
            <w:tcBorders>
              <w:top w:val="single" w:sz="4" w:space="0" w:color="auto"/>
              <w:left w:val="single" w:sz="4" w:space="0" w:color="auto"/>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公务用车购置数</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公务用车保有量</w:t>
            </w:r>
            <w:r>
              <w:rPr>
                <w:rFonts w:ascii="仿宋" w:eastAsia="仿宋" w:hAnsi="仿宋" w:cs="仿宋" w:hint="eastAsia"/>
              </w:rPr>
              <w:t>(</w:t>
            </w:r>
            <w:r>
              <w:rPr>
                <w:rFonts w:ascii="仿宋" w:eastAsia="仿宋" w:hAnsi="仿宋" w:cs="仿宋" w:hint="eastAsia"/>
              </w:rPr>
              <w:t>辆</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25</w:t>
            </w:r>
          </w:p>
        </w:tc>
      </w:tr>
      <w:tr w:rsidR="00D33C55">
        <w:trPr>
          <w:cantSplit/>
          <w:trHeight w:val="190"/>
        </w:trPr>
        <w:tc>
          <w:tcPr>
            <w:tcW w:w="4028" w:type="dxa"/>
            <w:tcBorders>
              <w:top w:val="single" w:sz="4" w:space="0" w:color="auto"/>
              <w:left w:val="single" w:sz="4" w:space="0" w:color="auto"/>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国内公务接待批次</w:t>
            </w:r>
            <w:r>
              <w:rPr>
                <w:rFonts w:ascii="仿宋" w:eastAsia="仿宋" w:hAnsi="仿宋" w:cs="仿宋" w:hint="eastAsia"/>
              </w:rPr>
              <w:t>(</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183</w:t>
            </w:r>
          </w:p>
        </w:tc>
        <w:tc>
          <w:tcPr>
            <w:tcW w:w="3908"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国内公务接待</w:t>
            </w:r>
            <w:proofErr w:type="gramStart"/>
            <w:r>
              <w:rPr>
                <w:rFonts w:ascii="仿宋" w:eastAsia="仿宋" w:hAnsi="仿宋" w:cs="仿宋" w:hint="eastAsia"/>
              </w:rPr>
              <w:t>人次</w:t>
            </w:r>
            <w:r>
              <w:rPr>
                <w:rFonts w:ascii="仿宋" w:eastAsia="仿宋" w:hAnsi="仿宋" w:cs="仿宋" w:hint="eastAsia"/>
              </w:rPr>
              <w:t>(</w:t>
            </w:r>
            <w:proofErr w:type="gramEnd"/>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2,747</w:t>
            </w:r>
          </w:p>
        </w:tc>
      </w:tr>
      <w:tr w:rsidR="00D33C55">
        <w:trPr>
          <w:cantSplit/>
          <w:trHeight w:val="190"/>
        </w:trPr>
        <w:tc>
          <w:tcPr>
            <w:tcW w:w="4028" w:type="dxa"/>
            <w:tcBorders>
              <w:top w:val="single" w:sz="4" w:space="0" w:color="auto"/>
              <w:left w:val="single" w:sz="4" w:space="0" w:color="auto"/>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国（境）外公务接待批次</w:t>
            </w:r>
            <w:r>
              <w:rPr>
                <w:rFonts w:ascii="仿宋" w:eastAsia="仿宋" w:hAnsi="仿宋" w:cs="仿宋" w:hint="eastAsia"/>
              </w:rPr>
              <w:t>(</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0</w:t>
            </w:r>
          </w:p>
        </w:tc>
        <w:tc>
          <w:tcPr>
            <w:tcW w:w="3908"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国（境）外公务接待</w:t>
            </w:r>
            <w:proofErr w:type="gramStart"/>
            <w:r>
              <w:rPr>
                <w:rFonts w:ascii="仿宋" w:eastAsia="仿宋" w:hAnsi="仿宋" w:cs="仿宋" w:hint="eastAsia"/>
              </w:rPr>
              <w:t>人次</w:t>
            </w:r>
            <w:r>
              <w:rPr>
                <w:rFonts w:ascii="仿宋" w:eastAsia="仿宋" w:hAnsi="仿宋" w:cs="仿宋" w:hint="eastAsia"/>
              </w:rPr>
              <w:t>(</w:t>
            </w:r>
            <w:proofErr w:type="gramEnd"/>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0</w:t>
            </w:r>
          </w:p>
        </w:tc>
      </w:tr>
      <w:tr w:rsidR="00D33C55">
        <w:trPr>
          <w:cantSplit/>
          <w:trHeight w:val="190"/>
        </w:trPr>
        <w:tc>
          <w:tcPr>
            <w:tcW w:w="4028" w:type="dxa"/>
            <w:tcBorders>
              <w:top w:val="single" w:sz="4" w:space="0" w:color="auto"/>
              <w:left w:val="single" w:sz="4" w:space="0" w:color="auto"/>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召开会议次数</w:t>
            </w:r>
            <w:r>
              <w:rPr>
                <w:rFonts w:ascii="仿宋" w:eastAsia="仿宋" w:hAnsi="仿宋" w:cs="仿宋" w:hint="eastAsia"/>
              </w:rPr>
              <w:t>(</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86</w:t>
            </w:r>
          </w:p>
        </w:tc>
        <w:tc>
          <w:tcPr>
            <w:tcW w:w="3908"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参加会议</w:t>
            </w:r>
            <w:proofErr w:type="gramStart"/>
            <w:r>
              <w:rPr>
                <w:rFonts w:ascii="仿宋" w:eastAsia="仿宋" w:hAnsi="仿宋" w:cs="仿宋" w:hint="eastAsia"/>
              </w:rPr>
              <w:t>人次</w:t>
            </w:r>
            <w:r>
              <w:rPr>
                <w:rFonts w:ascii="仿宋" w:eastAsia="仿宋" w:hAnsi="仿宋" w:cs="仿宋" w:hint="eastAsia"/>
              </w:rPr>
              <w:t>(</w:t>
            </w:r>
            <w:proofErr w:type="gramEnd"/>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3,902</w:t>
            </w:r>
          </w:p>
        </w:tc>
      </w:tr>
      <w:tr w:rsidR="00D33C55">
        <w:trPr>
          <w:cantSplit/>
          <w:trHeight w:val="190"/>
        </w:trPr>
        <w:tc>
          <w:tcPr>
            <w:tcW w:w="4028" w:type="dxa"/>
            <w:tcBorders>
              <w:top w:val="single" w:sz="4" w:space="0" w:color="auto"/>
              <w:left w:val="single" w:sz="4" w:space="0" w:color="auto"/>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组织培训次数</w:t>
            </w:r>
            <w:r>
              <w:rPr>
                <w:rFonts w:ascii="仿宋" w:eastAsia="仿宋" w:hAnsi="仿宋" w:cs="仿宋" w:hint="eastAsia"/>
              </w:rPr>
              <w:t>(</w:t>
            </w:r>
            <w:proofErr w:type="gramStart"/>
            <w:r>
              <w:rPr>
                <w:rFonts w:ascii="仿宋" w:eastAsia="仿宋" w:hAnsi="仿宋" w:cs="仿宋" w:hint="eastAsia"/>
              </w:rPr>
              <w:t>个</w:t>
            </w:r>
            <w:proofErr w:type="gramEnd"/>
            <w:r>
              <w:rPr>
                <w:rFonts w:ascii="仿宋" w:eastAsia="仿宋" w:hAnsi="仿宋" w:cs="仿宋" w:hint="eastAsia"/>
              </w:rPr>
              <w:t>)</w:t>
            </w:r>
          </w:p>
        </w:tc>
        <w:tc>
          <w:tcPr>
            <w:tcW w:w="1976"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73</w:t>
            </w:r>
          </w:p>
        </w:tc>
        <w:tc>
          <w:tcPr>
            <w:tcW w:w="3908" w:type="dxa"/>
            <w:tcBorders>
              <w:top w:val="single" w:sz="4" w:space="0" w:color="auto"/>
              <w:left w:val="single" w:sz="4" w:space="0" w:color="000000"/>
              <w:bottom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参加培训</w:t>
            </w:r>
            <w:proofErr w:type="gramStart"/>
            <w:r>
              <w:rPr>
                <w:rFonts w:ascii="仿宋" w:eastAsia="仿宋" w:hAnsi="仿宋" w:cs="仿宋" w:hint="eastAsia"/>
              </w:rPr>
              <w:t>人次</w:t>
            </w:r>
            <w:r>
              <w:rPr>
                <w:rFonts w:ascii="仿宋" w:eastAsia="仿宋" w:hAnsi="仿宋" w:cs="仿宋" w:hint="eastAsia"/>
              </w:rPr>
              <w:t>(</w:t>
            </w:r>
            <w:proofErr w:type="gramEnd"/>
            <w:r>
              <w:rPr>
                <w:rFonts w:ascii="仿宋" w:eastAsia="仿宋" w:hAnsi="仿宋" w:cs="仿宋" w:hint="eastAsia"/>
              </w:rPr>
              <w:t>人</w:t>
            </w:r>
            <w:r>
              <w:rPr>
                <w:rFonts w:ascii="仿宋" w:eastAsia="仿宋" w:hAnsi="仿宋" w:cs="仿宋" w:hint="eastAsia"/>
              </w:rPr>
              <w:t>)</w:t>
            </w:r>
          </w:p>
        </w:tc>
        <w:tc>
          <w:tcPr>
            <w:tcW w:w="1886" w:type="dxa"/>
            <w:tcBorders>
              <w:top w:val="single" w:sz="4" w:space="0" w:color="auto"/>
              <w:left w:val="single" w:sz="4" w:space="0" w:color="000000"/>
              <w:bottom w:val="single" w:sz="4" w:space="0" w:color="auto"/>
              <w:right w:val="single" w:sz="4" w:space="0" w:color="auto"/>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4,433</w:t>
            </w:r>
          </w:p>
        </w:tc>
      </w:tr>
    </w:tbl>
    <w:p w:rsidR="00D33C55" w:rsidRDefault="00706D03">
      <w:pPr>
        <w:ind w:right="-2"/>
        <w:jc w:val="both"/>
        <w:rPr>
          <w:rFonts w:ascii="仿宋" w:eastAsia="仿宋" w:hAnsi="仿宋" w:cs="仿宋"/>
        </w:rPr>
      </w:pPr>
      <w:r>
        <w:rPr>
          <w:rFonts w:ascii="仿宋" w:eastAsia="仿宋" w:hAnsi="仿宋" w:cs="仿宋" w:hint="eastAsia"/>
        </w:rPr>
        <w:t>注：</w:t>
      </w:r>
      <w:r>
        <w:rPr>
          <w:rFonts w:ascii="仿宋" w:eastAsia="仿宋" w:hAnsi="仿宋" w:cs="仿宋" w:hint="eastAsia"/>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ascii="仿宋" w:eastAsia="仿宋" w:hAnsi="仿宋" w:cs="仿宋" w:hint="eastAsia"/>
        </w:rPr>
        <w:t>。</w:t>
      </w:r>
    </w:p>
    <w:p w:rsidR="00D33C55" w:rsidRDefault="00D33C55">
      <w:pPr>
        <w:ind w:left="227" w:firstLineChars="100" w:firstLine="220"/>
        <w:jc w:val="both"/>
        <w:rPr>
          <w:rFonts w:ascii="仿宋" w:eastAsia="仿宋" w:hAnsi="仿宋" w:cs="仿宋"/>
        </w:rPr>
        <w:sectPr w:rsidR="00D33C55">
          <w:footerReference w:type="default" r:id="rId20"/>
          <w:pgSz w:w="16838" w:h="11906" w:orient="landscape"/>
          <w:pgMar w:top="720" w:right="153" w:bottom="720" w:left="153" w:header="170" w:footer="280" w:gutter="0"/>
          <w:pgNumType w:fmt="numberInDash"/>
          <w:cols w:space="720"/>
          <w:formProt w:val="0"/>
          <w:docGrid w:linePitch="100"/>
        </w:sectPr>
      </w:pPr>
    </w:p>
    <w:tbl>
      <w:tblPr>
        <w:tblW w:w="15400" w:type="dxa"/>
        <w:tblInd w:w="62" w:type="dxa"/>
        <w:tblLayout w:type="fixed"/>
        <w:tblCellMar>
          <w:top w:w="55" w:type="dxa"/>
          <w:left w:w="55" w:type="dxa"/>
          <w:bottom w:w="55" w:type="dxa"/>
          <w:right w:w="55" w:type="dxa"/>
        </w:tblCellMar>
        <w:tblLook w:val="04A0" w:firstRow="1" w:lastRow="0" w:firstColumn="1" w:lastColumn="0" w:noHBand="0" w:noVBand="1"/>
      </w:tblPr>
      <w:tblGrid>
        <w:gridCol w:w="1431"/>
        <w:gridCol w:w="6995"/>
        <w:gridCol w:w="2684"/>
        <w:gridCol w:w="2432"/>
        <w:gridCol w:w="1858"/>
      </w:tblGrid>
      <w:tr w:rsidR="00D33C55">
        <w:trPr>
          <w:trHeight w:val="395"/>
        </w:trPr>
        <w:tc>
          <w:tcPr>
            <w:tcW w:w="15400" w:type="dxa"/>
            <w:gridSpan w:val="5"/>
            <w:vAlign w:val="center"/>
          </w:tcPr>
          <w:p w:rsidR="00D33C55" w:rsidRDefault="00706D0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政府性基金预算支出决算表</w:t>
            </w:r>
          </w:p>
        </w:tc>
      </w:tr>
      <w:tr w:rsidR="00D33C55">
        <w:trPr>
          <w:trHeight w:val="323"/>
        </w:trPr>
        <w:tc>
          <w:tcPr>
            <w:tcW w:w="8426" w:type="dxa"/>
            <w:gridSpan w:val="2"/>
          </w:tcPr>
          <w:p w:rsidR="00D33C55" w:rsidRDefault="00D33C55">
            <w:pPr>
              <w:pStyle w:val="TableParagraph"/>
              <w:rPr>
                <w:rFonts w:ascii="仿宋" w:eastAsia="仿宋" w:hAnsi="仿宋" w:cs="仿宋"/>
                <w:sz w:val="20"/>
              </w:rPr>
            </w:pPr>
          </w:p>
        </w:tc>
        <w:tc>
          <w:tcPr>
            <w:tcW w:w="2684" w:type="dxa"/>
          </w:tcPr>
          <w:p w:rsidR="00D33C55" w:rsidRDefault="00D33C55">
            <w:pPr>
              <w:pStyle w:val="TableParagraph"/>
              <w:rPr>
                <w:rFonts w:ascii="仿宋" w:eastAsia="仿宋" w:hAnsi="仿宋" w:cs="仿宋"/>
                <w:sz w:val="27"/>
              </w:rPr>
            </w:pPr>
          </w:p>
        </w:tc>
        <w:tc>
          <w:tcPr>
            <w:tcW w:w="2432" w:type="dxa"/>
          </w:tcPr>
          <w:p w:rsidR="00D33C55" w:rsidRDefault="00D33C55">
            <w:pPr>
              <w:pStyle w:val="TableParagraph"/>
              <w:rPr>
                <w:rFonts w:ascii="仿宋" w:eastAsia="仿宋" w:hAnsi="仿宋" w:cs="仿宋"/>
                <w:sz w:val="20"/>
              </w:rPr>
            </w:pPr>
          </w:p>
        </w:tc>
        <w:tc>
          <w:tcPr>
            <w:tcW w:w="1858" w:type="dxa"/>
            <w:vAlign w:val="center"/>
          </w:tcPr>
          <w:p w:rsidR="00D33C55" w:rsidRDefault="00706D03">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10</w:t>
            </w:r>
            <w:r>
              <w:rPr>
                <w:rFonts w:ascii="仿宋" w:eastAsia="仿宋" w:hAnsi="仿宋" w:cs="仿宋" w:hint="eastAsia"/>
              </w:rPr>
              <w:t>表</w:t>
            </w:r>
          </w:p>
        </w:tc>
      </w:tr>
      <w:tr w:rsidR="00D33C55">
        <w:trPr>
          <w:trHeight w:val="152"/>
        </w:trPr>
        <w:tc>
          <w:tcPr>
            <w:tcW w:w="13542" w:type="dxa"/>
            <w:gridSpan w:val="4"/>
            <w:vAlign w:val="center"/>
          </w:tcPr>
          <w:p w:rsidR="00D33C55" w:rsidRDefault="00706D03">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南京市农业农村局</w:t>
            </w:r>
          </w:p>
        </w:tc>
        <w:tc>
          <w:tcPr>
            <w:tcW w:w="1858" w:type="dxa"/>
            <w:vAlign w:val="center"/>
          </w:tcPr>
          <w:p w:rsidR="00D33C55" w:rsidRDefault="00706D03">
            <w:pPr>
              <w:pStyle w:val="TableParagraph"/>
              <w:jc w:val="right"/>
              <w:rPr>
                <w:rFonts w:ascii="仿宋" w:eastAsia="仿宋" w:hAnsi="仿宋" w:cs="仿宋"/>
                <w:sz w:val="27"/>
              </w:rPr>
            </w:pPr>
            <w:r>
              <w:rPr>
                <w:rFonts w:ascii="仿宋" w:eastAsia="仿宋" w:hAnsi="仿宋" w:cs="仿宋" w:hint="eastAsia"/>
              </w:rPr>
              <w:t>金额单位：万元</w:t>
            </w:r>
          </w:p>
        </w:tc>
      </w:tr>
      <w:tr w:rsidR="00D33C55">
        <w:trPr>
          <w:trHeight w:val="267"/>
        </w:trPr>
        <w:tc>
          <w:tcPr>
            <w:tcW w:w="8426" w:type="dxa"/>
            <w:gridSpan w:val="2"/>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684" w:type="dxa"/>
            <w:vMerge w:val="restart"/>
            <w:tcBorders>
              <w:top w:val="single" w:sz="4" w:space="0" w:color="000000"/>
              <w:lef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本年支出合计</w:t>
            </w:r>
          </w:p>
        </w:tc>
        <w:tc>
          <w:tcPr>
            <w:tcW w:w="2432" w:type="dxa"/>
            <w:vMerge w:val="restart"/>
            <w:tcBorders>
              <w:top w:val="single" w:sz="4" w:space="0" w:color="000000"/>
              <w:lef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基本支出</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项目支出</w:t>
            </w:r>
          </w:p>
        </w:tc>
      </w:tr>
      <w:tr w:rsidR="00D33C55">
        <w:trPr>
          <w:trHeight w:val="427"/>
        </w:trPr>
        <w:tc>
          <w:tcPr>
            <w:tcW w:w="1431"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功能分类</w:t>
            </w:r>
          </w:p>
          <w:p w:rsidR="00D33C55" w:rsidRDefault="00706D03">
            <w:pPr>
              <w:pStyle w:val="TableParagraph"/>
              <w:jc w:val="center"/>
              <w:rPr>
                <w:rFonts w:ascii="仿宋" w:eastAsia="仿宋" w:hAnsi="仿宋" w:cs="仿宋"/>
              </w:rPr>
            </w:pPr>
            <w:r>
              <w:rPr>
                <w:rFonts w:ascii="仿宋" w:eastAsia="仿宋" w:hAnsi="仿宋" w:cs="仿宋" w:hint="eastAsia"/>
              </w:rPr>
              <w:t>科目编码</w:t>
            </w:r>
          </w:p>
        </w:tc>
        <w:tc>
          <w:tcPr>
            <w:tcW w:w="6995"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科目名称</w:t>
            </w:r>
          </w:p>
        </w:tc>
        <w:tc>
          <w:tcPr>
            <w:tcW w:w="2684" w:type="dxa"/>
            <w:vMerge/>
            <w:tcBorders>
              <w:left w:val="single" w:sz="4" w:space="0" w:color="000000"/>
              <w:bottom w:val="single" w:sz="4" w:space="0" w:color="000000"/>
            </w:tcBorders>
          </w:tcPr>
          <w:p w:rsidR="00D33C55" w:rsidRDefault="00D33C55">
            <w:pPr>
              <w:rPr>
                <w:rFonts w:ascii="仿宋" w:eastAsia="仿宋" w:hAnsi="仿宋" w:cs="仿宋"/>
              </w:rPr>
            </w:pPr>
          </w:p>
        </w:tc>
        <w:tc>
          <w:tcPr>
            <w:tcW w:w="2432" w:type="dxa"/>
            <w:vMerge/>
            <w:tcBorders>
              <w:left w:val="single" w:sz="4" w:space="0" w:color="000000"/>
              <w:bottom w:val="single" w:sz="4" w:space="0" w:color="000000"/>
            </w:tcBorders>
            <w:vAlign w:val="center"/>
          </w:tcPr>
          <w:p w:rsidR="00D33C55" w:rsidRDefault="00D33C55">
            <w:pPr>
              <w:pStyle w:val="TableParagraph"/>
              <w:jc w:val="center"/>
              <w:rPr>
                <w:rFonts w:ascii="仿宋" w:eastAsia="仿宋" w:hAnsi="仿宋" w:cs="仿宋"/>
              </w:rPr>
            </w:pPr>
          </w:p>
        </w:tc>
        <w:tc>
          <w:tcPr>
            <w:tcW w:w="1858" w:type="dxa"/>
            <w:vMerge/>
            <w:tcBorders>
              <w:left w:val="single" w:sz="4" w:space="0" w:color="000000"/>
              <w:bottom w:val="single" w:sz="4" w:space="0" w:color="000000"/>
              <w:right w:val="single" w:sz="4" w:space="0" w:color="000000"/>
            </w:tcBorders>
          </w:tcPr>
          <w:p w:rsidR="00D33C55" w:rsidRDefault="00D33C55">
            <w:pPr>
              <w:rPr>
                <w:rFonts w:ascii="仿宋" w:eastAsia="仿宋" w:hAnsi="仿宋" w:cs="仿宋"/>
              </w:rPr>
            </w:pPr>
          </w:p>
        </w:tc>
      </w:tr>
      <w:tr w:rsidR="00D33C55">
        <w:trPr>
          <w:trHeight w:val="275"/>
        </w:trPr>
        <w:tc>
          <w:tcPr>
            <w:tcW w:w="8426" w:type="dxa"/>
            <w:gridSpan w:val="2"/>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栏次</w:t>
            </w:r>
          </w:p>
        </w:tc>
        <w:tc>
          <w:tcPr>
            <w:tcW w:w="2684"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lang w:val="en-US"/>
              </w:rPr>
            </w:pPr>
            <w:r>
              <w:rPr>
                <w:rFonts w:ascii="仿宋" w:eastAsia="仿宋" w:hAnsi="仿宋" w:cs="仿宋" w:hint="eastAsia"/>
                <w:lang w:val="en-US"/>
              </w:rPr>
              <w:t>1</w:t>
            </w:r>
          </w:p>
        </w:tc>
        <w:tc>
          <w:tcPr>
            <w:tcW w:w="2432"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2</w:t>
            </w:r>
          </w:p>
        </w:tc>
        <w:tc>
          <w:tcPr>
            <w:tcW w:w="1858" w:type="dxa"/>
            <w:tcBorders>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lang w:val="en-US"/>
              </w:rPr>
            </w:pPr>
            <w:r>
              <w:rPr>
                <w:rFonts w:ascii="仿宋" w:eastAsia="仿宋" w:hAnsi="仿宋" w:cs="仿宋" w:hint="eastAsia"/>
                <w:lang w:val="en-US"/>
              </w:rPr>
              <w:t>3</w:t>
            </w:r>
          </w:p>
        </w:tc>
      </w:tr>
      <w:tr w:rsidR="00D33C55">
        <w:trPr>
          <w:trHeight w:hRule="exact" w:val="389"/>
        </w:trPr>
        <w:tc>
          <w:tcPr>
            <w:tcW w:w="8426" w:type="dxa"/>
            <w:gridSpan w:val="2"/>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合计</w:t>
            </w:r>
          </w:p>
        </w:tc>
        <w:tc>
          <w:tcPr>
            <w:tcW w:w="2684" w:type="dxa"/>
            <w:tcBorders>
              <w:left w:val="single" w:sz="4" w:space="0" w:color="000000"/>
              <w:bottom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3,606.71</w:t>
            </w:r>
          </w:p>
        </w:tc>
        <w:tc>
          <w:tcPr>
            <w:tcW w:w="2432" w:type="dxa"/>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1858"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3,606.71</w:t>
            </w:r>
          </w:p>
        </w:tc>
      </w:tr>
      <w:tr w:rsidR="00D33C55">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212</w:t>
            </w:r>
          </w:p>
        </w:tc>
        <w:tc>
          <w:tcPr>
            <w:tcW w:w="6995"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城乡社区支出</w:t>
            </w:r>
          </w:p>
        </w:tc>
        <w:tc>
          <w:tcPr>
            <w:tcW w:w="268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3,606.71</w:t>
            </w:r>
          </w:p>
        </w:tc>
        <w:tc>
          <w:tcPr>
            <w:tcW w:w="2432"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3,606.71</w:t>
            </w:r>
          </w:p>
        </w:tc>
      </w:tr>
      <w:tr w:rsidR="00D33C55">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21208</w:t>
            </w:r>
          </w:p>
        </w:tc>
        <w:tc>
          <w:tcPr>
            <w:tcW w:w="6995"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国有土地使用权出让收入安排的支出</w:t>
            </w:r>
          </w:p>
        </w:tc>
        <w:tc>
          <w:tcPr>
            <w:tcW w:w="268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3,606.71</w:t>
            </w:r>
          </w:p>
        </w:tc>
        <w:tc>
          <w:tcPr>
            <w:tcW w:w="2432"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3,606.71</w:t>
            </w:r>
          </w:p>
        </w:tc>
      </w:tr>
      <w:tr w:rsidR="00D33C55">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2120814</w:t>
            </w:r>
          </w:p>
        </w:tc>
        <w:tc>
          <w:tcPr>
            <w:tcW w:w="6995"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农业生产发展支出</w:t>
            </w:r>
          </w:p>
        </w:tc>
        <w:tc>
          <w:tcPr>
            <w:tcW w:w="268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816.03</w:t>
            </w:r>
          </w:p>
        </w:tc>
        <w:tc>
          <w:tcPr>
            <w:tcW w:w="2432"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816.03</w:t>
            </w:r>
          </w:p>
        </w:tc>
      </w:tr>
      <w:tr w:rsidR="00D33C55">
        <w:trPr>
          <w:cantSplit/>
          <w:trHeight w:val="253"/>
        </w:trPr>
        <w:tc>
          <w:tcPr>
            <w:tcW w:w="1431"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2120816</w:t>
            </w:r>
          </w:p>
        </w:tc>
        <w:tc>
          <w:tcPr>
            <w:tcW w:w="6995"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农业农村生态环境支出</w:t>
            </w:r>
          </w:p>
        </w:tc>
        <w:tc>
          <w:tcPr>
            <w:tcW w:w="268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2,790.68</w:t>
            </w:r>
          </w:p>
        </w:tc>
        <w:tc>
          <w:tcPr>
            <w:tcW w:w="2432"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c>
          <w:tcPr>
            <w:tcW w:w="1858"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2,790.68</w:t>
            </w:r>
          </w:p>
        </w:tc>
      </w:tr>
    </w:tbl>
    <w:p w:rsidR="00D33C55" w:rsidRDefault="00706D03">
      <w:pPr>
        <w:spacing w:before="25"/>
        <w:jc w:val="both"/>
        <w:rPr>
          <w:rFonts w:ascii="仿宋" w:eastAsia="仿宋" w:hAnsi="仿宋" w:cs="仿宋"/>
        </w:rPr>
      </w:pPr>
      <w:r>
        <w:rPr>
          <w:rFonts w:ascii="仿宋" w:eastAsia="仿宋" w:hAnsi="仿宋" w:cs="仿宋" w:hint="eastAsia"/>
        </w:rPr>
        <w:t>注：本表反映本年度政府性基金预算财政拨款支出情况。本表金额单位转换时可能存在尾数误差。</w:t>
      </w:r>
    </w:p>
    <w:p w:rsidR="00D33C55" w:rsidRDefault="00D33C55">
      <w:pPr>
        <w:spacing w:before="25"/>
        <w:jc w:val="both"/>
        <w:rPr>
          <w:rFonts w:ascii="仿宋" w:eastAsia="仿宋" w:hAnsi="仿宋" w:cs="仿宋"/>
          <w:lang w:val="en-US"/>
        </w:rPr>
        <w:sectPr w:rsidR="00D33C55">
          <w:footerReference w:type="default" r:id="rId21"/>
          <w:pgSz w:w="16838" w:h="11906" w:orient="landscape"/>
          <w:pgMar w:top="720" w:right="720" w:bottom="720" w:left="720" w:header="170" w:footer="280" w:gutter="0"/>
          <w:pgNumType w:fmt="numberInDash"/>
          <w:cols w:space="720"/>
          <w:formProt w:val="0"/>
          <w:docGrid w:linePitch="100"/>
        </w:sectPr>
      </w:pPr>
    </w:p>
    <w:tbl>
      <w:tblPr>
        <w:tblW w:w="15400" w:type="dxa"/>
        <w:tblInd w:w="47" w:type="dxa"/>
        <w:tblLayout w:type="fixed"/>
        <w:tblCellMar>
          <w:top w:w="55" w:type="dxa"/>
          <w:left w:w="55" w:type="dxa"/>
          <w:bottom w:w="55" w:type="dxa"/>
          <w:right w:w="55" w:type="dxa"/>
        </w:tblCellMar>
        <w:tblLook w:val="04A0" w:firstRow="1" w:lastRow="0" w:firstColumn="1" w:lastColumn="0" w:noHBand="0" w:noVBand="1"/>
      </w:tblPr>
      <w:tblGrid>
        <w:gridCol w:w="1462"/>
        <w:gridCol w:w="7058"/>
        <w:gridCol w:w="2510"/>
        <w:gridCol w:w="2309"/>
        <w:gridCol w:w="2061"/>
      </w:tblGrid>
      <w:tr w:rsidR="00D33C55">
        <w:trPr>
          <w:trHeight w:val="395"/>
        </w:trPr>
        <w:tc>
          <w:tcPr>
            <w:tcW w:w="15400" w:type="dxa"/>
            <w:gridSpan w:val="5"/>
            <w:vAlign w:val="center"/>
          </w:tcPr>
          <w:p w:rsidR="00D33C55" w:rsidRDefault="00706D0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国有资本经营预算支出决算表</w:t>
            </w:r>
          </w:p>
        </w:tc>
      </w:tr>
      <w:tr w:rsidR="00D33C55">
        <w:trPr>
          <w:trHeight w:val="323"/>
        </w:trPr>
        <w:tc>
          <w:tcPr>
            <w:tcW w:w="8520" w:type="dxa"/>
            <w:gridSpan w:val="2"/>
          </w:tcPr>
          <w:p w:rsidR="00D33C55" w:rsidRDefault="00D33C55">
            <w:pPr>
              <w:pStyle w:val="TableParagraph"/>
              <w:rPr>
                <w:rFonts w:ascii="仿宋" w:eastAsia="仿宋" w:hAnsi="仿宋" w:cs="仿宋"/>
                <w:sz w:val="20"/>
              </w:rPr>
            </w:pPr>
          </w:p>
        </w:tc>
        <w:tc>
          <w:tcPr>
            <w:tcW w:w="2510" w:type="dxa"/>
          </w:tcPr>
          <w:p w:rsidR="00D33C55" w:rsidRDefault="00D33C55">
            <w:pPr>
              <w:pStyle w:val="TableParagraph"/>
              <w:rPr>
                <w:rFonts w:ascii="仿宋" w:eastAsia="仿宋" w:hAnsi="仿宋" w:cs="仿宋"/>
                <w:sz w:val="27"/>
              </w:rPr>
            </w:pPr>
          </w:p>
        </w:tc>
        <w:tc>
          <w:tcPr>
            <w:tcW w:w="2309" w:type="dxa"/>
          </w:tcPr>
          <w:p w:rsidR="00D33C55" w:rsidRDefault="00D33C55">
            <w:pPr>
              <w:pStyle w:val="TableParagraph"/>
              <w:rPr>
                <w:rFonts w:ascii="仿宋" w:eastAsia="仿宋" w:hAnsi="仿宋" w:cs="仿宋"/>
                <w:sz w:val="20"/>
              </w:rPr>
            </w:pPr>
          </w:p>
        </w:tc>
        <w:tc>
          <w:tcPr>
            <w:tcW w:w="2061" w:type="dxa"/>
            <w:vAlign w:val="center"/>
          </w:tcPr>
          <w:p w:rsidR="00D33C55" w:rsidRDefault="00706D03">
            <w:pPr>
              <w:pStyle w:val="TableParagraph"/>
              <w:jc w:val="right"/>
              <w:rPr>
                <w:rFonts w:ascii="仿宋" w:eastAsia="仿宋" w:hAnsi="仿宋" w:cs="仿宋"/>
                <w:sz w:val="27"/>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1</w:t>
            </w:r>
            <w:r>
              <w:rPr>
                <w:rFonts w:ascii="仿宋" w:eastAsia="仿宋" w:hAnsi="仿宋" w:cs="仿宋" w:hint="eastAsia"/>
              </w:rPr>
              <w:t>表</w:t>
            </w:r>
          </w:p>
        </w:tc>
      </w:tr>
      <w:tr w:rsidR="00D33C55">
        <w:trPr>
          <w:trHeight w:val="152"/>
        </w:trPr>
        <w:tc>
          <w:tcPr>
            <w:tcW w:w="13339" w:type="dxa"/>
            <w:gridSpan w:val="4"/>
            <w:vAlign w:val="center"/>
          </w:tcPr>
          <w:p w:rsidR="00D33C55" w:rsidRDefault="00706D03">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南京市农业农村局</w:t>
            </w:r>
          </w:p>
        </w:tc>
        <w:tc>
          <w:tcPr>
            <w:tcW w:w="2061" w:type="dxa"/>
            <w:vAlign w:val="center"/>
          </w:tcPr>
          <w:p w:rsidR="00D33C55" w:rsidRDefault="00706D03">
            <w:pPr>
              <w:pStyle w:val="TableParagraph"/>
              <w:jc w:val="right"/>
              <w:rPr>
                <w:rFonts w:ascii="仿宋" w:eastAsia="仿宋" w:hAnsi="仿宋" w:cs="仿宋"/>
                <w:sz w:val="27"/>
              </w:rPr>
            </w:pPr>
            <w:r>
              <w:rPr>
                <w:rFonts w:ascii="仿宋" w:eastAsia="仿宋" w:hAnsi="仿宋" w:cs="仿宋" w:hint="eastAsia"/>
              </w:rPr>
              <w:t>金额单位：万元</w:t>
            </w:r>
          </w:p>
        </w:tc>
      </w:tr>
      <w:tr w:rsidR="00D33C55">
        <w:trPr>
          <w:trHeight w:val="267"/>
        </w:trPr>
        <w:tc>
          <w:tcPr>
            <w:tcW w:w="8520" w:type="dxa"/>
            <w:gridSpan w:val="2"/>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2510" w:type="dxa"/>
            <w:vMerge w:val="restart"/>
            <w:tcBorders>
              <w:top w:val="single" w:sz="4" w:space="0" w:color="000000"/>
              <w:lef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本年支出合计</w:t>
            </w:r>
          </w:p>
        </w:tc>
        <w:tc>
          <w:tcPr>
            <w:tcW w:w="2309" w:type="dxa"/>
            <w:vMerge w:val="restart"/>
            <w:tcBorders>
              <w:top w:val="single" w:sz="4" w:space="0" w:color="000000"/>
              <w:lef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基本支出</w:t>
            </w:r>
          </w:p>
        </w:tc>
        <w:tc>
          <w:tcPr>
            <w:tcW w:w="2061" w:type="dxa"/>
            <w:vMerge w:val="restart"/>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项目支出</w:t>
            </w:r>
          </w:p>
        </w:tc>
      </w:tr>
      <w:tr w:rsidR="00D33C55">
        <w:trPr>
          <w:trHeight w:val="427"/>
        </w:trPr>
        <w:tc>
          <w:tcPr>
            <w:tcW w:w="1462"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功能分类</w:t>
            </w:r>
          </w:p>
          <w:p w:rsidR="00D33C55" w:rsidRDefault="00706D03">
            <w:pPr>
              <w:pStyle w:val="TableParagraph"/>
              <w:jc w:val="center"/>
              <w:rPr>
                <w:rFonts w:ascii="仿宋" w:eastAsia="仿宋" w:hAnsi="仿宋" w:cs="仿宋"/>
              </w:rPr>
            </w:pPr>
            <w:r>
              <w:rPr>
                <w:rFonts w:ascii="仿宋" w:eastAsia="仿宋" w:hAnsi="仿宋" w:cs="仿宋" w:hint="eastAsia"/>
              </w:rPr>
              <w:t>科目编码</w:t>
            </w:r>
          </w:p>
        </w:tc>
        <w:tc>
          <w:tcPr>
            <w:tcW w:w="7058"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科目名称</w:t>
            </w:r>
          </w:p>
        </w:tc>
        <w:tc>
          <w:tcPr>
            <w:tcW w:w="2510" w:type="dxa"/>
            <w:vMerge/>
            <w:tcBorders>
              <w:left w:val="single" w:sz="4" w:space="0" w:color="000000"/>
              <w:bottom w:val="single" w:sz="4" w:space="0" w:color="000000"/>
            </w:tcBorders>
          </w:tcPr>
          <w:p w:rsidR="00D33C55" w:rsidRDefault="00D33C55">
            <w:pPr>
              <w:rPr>
                <w:rFonts w:ascii="仿宋" w:eastAsia="仿宋" w:hAnsi="仿宋" w:cs="仿宋"/>
              </w:rPr>
            </w:pPr>
          </w:p>
        </w:tc>
        <w:tc>
          <w:tcPr>
            <w:tcW w:w="2309" w:type="dxa"/>
            <w:vMerge/>
            <w:tcBorders>
              <w:left w:val="single" w:sz="4" w:space="0" w:color="000000"/>
              <w:bottom w:val="single" w:sz="4" w:space="0" w:color="000000"/>
            </w:tcBorders>
            <w:vAlign w:val="center"/>
          </w:tcPr>
          <w:p w:rsidR="00D33C55" w:rsidRDefault="00D33C55">
            <w:pPr>
              <w:pStyle w:val="TableParagraph"/>
              <w:jc w:val="center"/>
              <w:rPr>
                <w:rFonts w:ascii="仿宋" w:eastAsia="仿宋" w:hAnsi="仿宋" w:cs="仿宋"/>
              </w:rPr>
            </w:pPr>
          </w:p>
        </w:tc>
        <w:tc>
          <w:tcPr>
            <w:tcW w:w="2061" w:type="dxa"/>
            <w:vMerge/>
            <w:tcBorders>
              <w:left w:val="single" w:sz="4" w:space="0" w:color="000000"/>
              <w:bottom w:val="single" w:sz="4" w:space="0" w:color="000000"/>
              <w:right w:val="single" w:sz="4" w:space="0" w:color="000000"/>
            </w:tcBorders>
          </w:tcPr>
          <w:p w:rsidR="00D33C55" w:rsidRDefault="00D33C55">
            <w:pPr>
              <w:rPr>
                <w:rFonts w:ascii="仿宋" w:eastAsia="仿宋" w:hAnsi="仿宋" w:cs="仿宋"/>
              </w:rPr>
            </w:pPr>
          </w:p>
        </w:tc>
      </w:tr>
      <w:tr w:rsidR="00D33C55">
        <w:trPr>
          <w:trHeight w:val="275"/>
        </w:trPr>
        <w:tc>
          <w:tcPr>
            <w:tcW w:w="8520" w:type="dxa"/>
            <w:gridSpan w:val="2"/>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栏次</w:t>
            </w:r>
          </w:p>
        </w:tc>
        <w:tc>
          <w:tcPr>
            <w:tcW w:w="2510"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lang w:val="en-US"/>
              </w:rPr>
            </w:pPr>
            <w:r>
              <w:rPr>
                <w:rFonts w:ascii="仿宋" w:eastAsia="仿宋" w:hAnsi="仿宋" w:cs="仿宋" w:hint="eastAsia"/>
                <w:lang w:val="en-US"/>
              </w:rPr>
              <w:t>1</w:t>
            </w:r>
          </w:p>
        </w:tc>
        <w:tc>
          <w:tcPr>
            <w:tcW w:w="2309"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2</w:t>
            </w:r>
          </w:p>
        </w:tc>
        <w:tc>
          <w:tcPr>
            <w:tcW w:w="2061" w:type="dxa"/>
            <w:tcBorders>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lang w:val="en-US"/>
              </w:rPr>
            </w:pPr>
            <w:r>
              <w:rPr>
                <w:rFonts w:ascii="仿宋" w:eastAsia="仿宋" w:hAnsi="仿宋" w:cs="仿宋" w:hint="eastAsia"/>
                <w:lang w:val="en-US"/>
              </w:rPr>
              <w:t>3</w:t>
            </w:r>
          </w:p>
        </w:tc>
      </w:tr>
      <w:tr w:rsidR="00D33C55">
        <w:trPr>
          <w:trHeight w:hRule="exact" w:val="389"/>
        </w:trPr>
        <w:tc>
          <w:tcPr>
            <w:tcW w:w="8520" w:type="dxa"/>
            <w:gridSpan w:val="2"/>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合计</w:t>
            </w:r>
          </w:p>
        </w:tc>
        <w:tc>
          <w:tcPr>
            <w:tcW w:w="2510" w:type="dxa"/>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2309" w:type="dxa"/>
            <w:tcBorders>
              <w:left w:val="single" w:sz="4" w:space="0" w:color="000000"/>
              <w:bottom w:val="single" w:sz="4" w:space="0" w:color="000000"/>
            </w:tcBorders>
            <w:vAlign w:val="center"/>
          </w:tcPr>
          <w:p w:rsidR="00D33C55" w:rsidRDefault="00D33C55">
            <w:pPr>
              <w:pStyle w:val="TableParagraph"/>
              <w:jc w:val="right"/>
              <w:rPr>
                <w:rFonts w:ascii="仿宋" w:eastAsia="仿宋" w:hAnsi="仿宋" w:cs="仿宋"/>
              </w:rPr>
            </w:pPr>
          </w:p>
        </w:tc>
        <w:tc>
          <w:tcPr>
            <w:tcW w:w="2061" w:type="dxa"/>
            <w:tcBorders>
              <w:left w:val="single" w:sz="4" w:space="0" w:color="000000"/>
              <w:bottom w:val="single" w:sz="4" w:space="0" w:color="000000"/>
              <w:right w:val="single" w:sz="4" w:space="0" w:color="000000"/>
            </w:tcBorders>
            <w:vAlign w:val="center"/>
          </w:tcPr>
          <w:p w:rsidR="00D33C55" w:rsidRDefault="00D33C55">
            <w:pPr>
              <w:pStyle w:val="TableParagraph"/>
              <w:jc w:val="right"/>
              <w:rPr>
                <w:rFonts w:ascii="仿宋" w:eastAsia="仿宋" w:hAnsi="仿宋" w:cs="仿宋"/>
              </w:rPr>
            </w:pPr>
          </w:p>
        </w:tc>
      </w:tr>
      <w:tr w:rsidR="00D33C55">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253"/>
        </w:trPr>
        <w:tc>
          <w:tcPr>
            <w:tcW w:w="1462"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7058" w:type="dxa"/>
            <w:tcBorders>
              <w:top w:val="single" w:sz="4" w:space="0" w:color="000000"/>
              <w:left w:val="single" w:sz="4" w:space="0" w:color="000000"/>
              <w:bottom w:val="single" w:sz="4" w:space="0" w:color="000000"/>
              <w:right w:val="single" w:sz="4" w:space="0" w:color="000000"/>
            </w:tcBorders>
            <w:vAlign w:val="center"/>
          </w:tcPr>
          <w:p w:rsidR="00D33C55" w:rsidRDefault="00D33C55">
            <w:pPr>
              <w:pStyle w:val="TableParagraph"/>
              <w:rPr>
                <w:rFonts w:ascii="仿宋" w:eastAsia="仿宋" w:hAnsi="仿宋" w:cs="仿宋"/>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c>
          <w:tcPr>
            <w:tcW w:w="2061"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bl>
    <w:p w:rsidR="00D33C55" w:rsidRDefault="00706D03">
      <w:pPr>
        <w:jc w:val="both"/>
        <w:rPr>
          <w:rFonts w:ascii="仿宋" w:eastAsia="仿宋" w:hAnsi="仿宋" w:cs="仿宋"/>
        </w:rPr>
      </w:pPr>
      <w:r>
        <w:rPr>
          <w:rFonts w:ascii="仿宋" w:eastAsia="仿宋" w:hAnsi="仿宋" w:cs="仿宋" w:hint="eastAsia"/>
        </w:rPr>
        <w:t>注：本表反映本年度国有资本经营预算财政拨款支出情况。</w:t>
      </w:r>
    </w:p>
    <w:p w:rsidR="00D33C55" w:rsidRDefault="00706D03">
      <w:pPr>
        <w:ind w:leftChars="200" w:left="440"/>
        <w:jc w:val="both"/>
        <w:rPr>
          <w:rFonts w:ascii="仿宋" w:eastAsia="仿宋" w:hAnsi="仿宋" w:cs="仿宋"/>
          <w:lang w:val="en-US"/>
        </w:rPr>
      </w:pPr>
      <w:r>
        <w:rPr>
          <w:rFonts w:ascii="仿宋" w:eastAsia="仿宋" w:hAnsi="仿宋" w:cs="仿宋"/>
        </w:rPr>
        <w:t>本部门无</w:t>
      </w:r>
      <w:r>
        <w:rPr>
          <w:rFonts w:ascii="仿宋" w:eastAsia="仿宋" w:hAnsi="仿宋" w:cs="仿宋" w:hint="eastAsia"/>
        </w:rPr>
        <w:t>国有资本经营预算支出</w:t>
      </w:r>
      <w:r>
        <w:rPr>
          <w:rFonts w:ascii="仿宋" w:eastAsia="仿宋" w:hAnsi="仿宋" w:cs="仿宋" w:hint="eastAsia"/>
          <w:lang w:val="en-US"/>
        </w:rPr>
        <w:t>决算，故本表为空。</w:t>
      </w:r>
    </w:p>
    <w:p w:rsidR="00D33C55" w:rsidRDefault="00D33C55">
      <w:pPr>
        <w:spacing w:before="25"/>
        <w:ind w:leftChars="-100" w:left="-220"/>
        <w:jc w:val="both"/>
        <w:rPr>
          <w:rFonts w:ascii="仿宋" w:eastAsia="仿宋" w:hAnsi="仿宋" w:cs="仿宋"/>
          <w:lang w:val="en-US"/>
        </w:rPr>
        <w:sectPr w:rsidR="00D33C55">
          <w:pgSz w:w="16838" w:h="11906" w:orient="landscape"/>
          <w:pgMar w:top="720" w:right="720" w:bottom="720" w:left="720" w:header="170" w:footer="280" w:gutter="0"/>
          <w:pgNumType w:fmt="numberInDash"/>
          <w:cols w:space="720"/>
          <w:formProt w:val="0"/>
          <w:docGrid w:linePitch="100"/>
        </w:sectPr>
      </w:pPr>
    </w:p>
    <w:tbl>
      <w:tblPr>
        <w:tblW w:w="10466" w:type="dxa"/>
        <w:tblInd w:w="53" w:type="dxa"/>
        <w:tblLayout w:type="fixed"/>
        <w:tblCellMar>
          <w:top w:w="55" w:type="dxa"/>
          <w:left w:w="55" w:type="dxa"/>
          <w:bottom w:w="55" w:type="dxa"/>
          <w:right w:w="55" w:type="dxa"/>
        </w:tblCellMar>
        <w:tblLook w:val="04A0" w:firstRow="1" w:lastRow="0" w:firstColumn="1" w:lastColumn="0" w:noHBand="0" w:noVBand="1"/>
      </w:tblPr>
      <w:tblGrid>
        <w:gridCol w:w="1642"/>
        <w:gridCol w:w="4990"/>
        <w:gridCol w:w="3834"/>
      </w:tblGrid>
      <w:tr w:rsidR="00D33C55">
        <w:trPr>
          <w:trHeight w:val="319"/>
        </w:trPr>
        <w:tc>
          <w:tcPr>
            <w:tcW w:w="10466" w:type="dxa"/>
            <w:gridSpan w:val="3"/>
          </w:tcPr>
          <w:p w:rsidR="00D33C55" w:rsidRDefault="00706D03">
            <w:pPr>
              <w:pStyle w:val="TableParagraph"/>
              <w:tabs>
                <w:tab w:val="left" w:pos="610"/>
              </w:tabs>
              <w:spacing w:before="28"/>
              <w:ind w:left="8"/>
              <w:jc w:val="center"/>
              <w:rPr>
                <w:rFonts w:ascii="仿宋" w:eastAsia="仿宋" w:hAnsi="仿宋" w:cs="仿宋"/>
                <w:b/>
                <w:bCs/>
                <w:sz w:val="44"/>
                <w:szCs w:val="44"/>
              </w:rPr>
            </w:pPr>
            <w:r>
              <w:rPr>
                <w:rFonts w:hint="eastAsia"/>
                <w:b/>
                <w:bCs/>
                <w:color w:val="000000"/>
                <w:sz w:val="36"/>
                <w:szCs w:val="36"/>
                <w:lang w:val="en-US" w:eastAsia="ar-SA"/>
              </w:rPr>
              <w:lastRenderedPageBreak/>
              <w:t>财政拨款</w:t>
            </w:r>
            <w:r>
              <w:rPr>
                <w:rFonts w:hint="eastAsia"/>
                <w:b/>
                <w:bCs/>
                <w:color w:val="000000"/>
                <w:sz w:val="36"/>
                <w:szCs w:val="36"/>
                <w:lang w:eastAsia="ar-SA"/>
              </w:rPr>
              <w:t>机关运行经费支出决算表</w:t>
            </w:r>
          </w:p>
        </w:tc>
      </w:tr>
      <w:tr w:rsidR="00D33C55">
        <w:trPr>
          <w:trHeight w:val="90"/>
        </w:trPr>
        <w:tc>
          <w:tcPr>
            <w:tcW w:w="6632" w:type="dxa"/>
            <w:gridSpan w:val="2"/>
          </w:tcPr>
          <w:p w:rsidR="00D33C55" w:rsidRDefault="00D33C55">
            <w:pPr>
              <w:pStyle w:val="TableParagraph"/>
              <w:rPr>
                <w:rFonts w:ascii="仿宋" w:eastAsia="仿宋" w:hAnsi="仿宋" w:cs="仿宋"/>
                <w:sz w:val="20"/>
              </w:rPr>
            </w:pPr>
          </w:p>
        </w:tc>
        <w:tc>
          <w:tcPr>
            <w:tcW w:w="3834" w:type="dxa"/>
            <w:vAlign w:val="center"/>
          </w:tcPr>
          <w:p w:rsidR="00D33C55" w:rsidRDefault="00706D03">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2</w:t>
            </w:r>
            <w:r>
              <w:rPr>
                <w:rFonts w:ascii="仿宋" w:eastAsia="仿宋" w:hAnsi="仿宋" w:cs="仿宋" w:hint="eastAsia"/>
              </w:rPr>
              <w:t>表</w:t>
            </w:r>
          </w:p>
        </w:tc>
      </w:tr>
      <w:tr w:rsidR="00D33C55">
        <w:trPr>
          <w:trHeight w:val="90"/>
        </w:trPr>
        <w:tc>
          <w:tcPr>
            <w:tcW w:w="6632" w:type="dxa"/>
            <w:gridSpan w:val="2"/>
            <w:vAlign w:val="center"/>
          </w:tcPr>
          <w:p w:rsidR="00D33C55" w:rsidRDefault="00706D03">
            <w:pPr>
              <w:pStyle w:val="TableParagraph"/>
              <w:rPr>
                <w:rFonts w:ascii="仿宋" w:eastAsia="仿宋" w:hAnsi="仿宋" w:cs="仿宋"/>
                <w:sz w:val="20"/>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南京市农业农村局</w:t>
            </w:r>
          </w:p>
        </w:tc>
        <w:tc>
          <w:tcPr>
            <w:tcW w:w="3834" w:type="dxa"/>
            <w:vAlign w:val="center"/>
          </w:tcPr>
          <w:p w:rsidR="00D33C55" w:rsidRDefault="00706D03">
            <w:pPr>
              <w:pStyle w:val="TableParagraph"/>
              <w:jc w:val="right"/>
              <w:rPr>
                <w:rFonts w:ascii="仿宋" w:eastAsia="仿宋" w:hAnsi="仿宋" w:cs="仿宋"/>
                <w:sz w:val="27"/>
              </w:rPr>
            </w:pPr>
            <w:r>
              <w:rPr>
                <w:rFonts w:ascii="仿宋" w:eastAsia="仿宋" w:hAnsi="仿宋" w:cs="仿宋" w:hint="eastAsia"/>
              </w:rPr>
              <w:t>金额单位：万元</w:t>
            </w:r>
          </w:p>
        </w:tc>
      </w:tr>
      <w:tr w:rsidR="00D33C55">
        <w:trPr>
          <w:trHeight w:val="319"/>
        </w:trPr>
        <w:tc>
          <w:tcPr>
            <w:tcW w:w="6632" w:type="dxa"/>
            <w:gridSpan w:val="2"/>
            <w:tcBorders>
              <w:top w:val="single" w:sz="4" w:space="0" w:color="000000"/>
              <w:left w:val="single" w:sz="4" w:space="0" w:color="000000"/>
              <w:bottom w:val="single" w:sz="4" w:space="0" w:color="000000"/>
            </w:tcBorders>
          </w:tcPr>
          <w:p w:rsidR="00D33C55" w:rsidRDefault="00706D03">
            <w:pPr>
              <w:pStyle w:val="TableParagraph"/>
              <w:jc w:val="center"/>
              <w:rPr>
                <w:rFonts w:ascii="仿宋" w:eastAsia="仿宋" w:hAnsi="仿宋" w:cs="仿宋"/>
              </w:rPr>
            </w:pPr>
            <w:r>
              <w:rPr>
                <w:rFonts w:ascii="仿宋" w:eastAsia="仿宋" w:hAnsi="仿宋" w:cs="仿宋" w:hint="eastAsia"/>
              </w:rPr>
              <w:t>项</w:t>
            </w:r>
            <w:r>
              <w:rPr>
                <w:rFonts w:ascii="仿宋" w:eastAsia="仿宋" w:hAnsi="仿宋" w:cs="仿宋" w:hint="eastAsia"/>
              </w:rPr>
              <w:tab/>
            </w:r>
            <w:r>
              <w:rPr>
                <w:rFonts w:ascii="仿宋" w:eastAsia="仿宋" w:hAnsi="仿宋" w:cs="仿宋" w:hint="eastAsia"/>
              </w:rPr>
              <w:t>目</w:t>
            </w:r>
          </w:p>
        </w:tc>
        <w:tc>
          <w:tcPr>
            <w:tcW w:w="3834" w:type="dxa"/>
            <w:vMerge w:val="restart"/>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机关运行经费支出决算</w:t>
            </w:r>
          </w:p>
        </w:tc>
      </w:tr>
      <w:tr w:rsidR="00D33C55">
        <w:trPr>
          <w:trHeight w:val="363"/>
        </w:trPr>
        <w:tc>
          <w:tcPr>
            <w:tcW w:w="1642"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科目编码</w:t>
            </w:r>
          </w:p>
        </w:tc>
        <w:tc>
          <w:tcPr>
            <w:tcW w:w="4990" w:type="dxa"/>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科目名称</w:t>
            </w:r>
          </w:p>
        </w:tc>
        <w:tc>
          <w:tcPr>
            <w:tcW w:w="3834" w:type="dxa"/>
            <w:vMerge/>
            <w:tcBorders>
              <w:left w:val="single" w:sz="4" w:space="0" w:color="000000"/>
              <w:bottom w:val="single" w:sz="4" w:space="0" w:color="000000"/>
              <w:right w:val="single" w:sz="4" w:space="0" w:color="000000"/>
            </w:tcBorders>
          </w:tcPr>
          <w:p w:rsidR="00D33C55" w:rsidRDefault="00D33C55">
            <w:pPr>
              <w:rPr>
                <w:rFonts w:ascii="仿宋" w:eastAsia="仿宋" w:hAnsi="仿宋" w:cs="仿宋"/>
              </w:rPr>
            </w:pPr>
          </w:p>
        </w:tc>
      </w:tr>
      <w:tr w:rsidR="00D33C55">
        <w:trPr>
          <w:trHeight w:val="229"/>
        </w:trPr>
        <w:tc>
          <w:tcPr>
            <w:tcW w:w="6632" w:type="dxa"/>
            <w:gridSpan w:val="2"/>
            <w:tcBorders>
              <w:left w:val="single" w:sz="4" w:space="0" w:color="000000"/>
              <w:bottom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合计</w:t>
            </w:r>
          </w:p>
        </w:tc>
        <w:tc>
          <w:tcPr>
            <w:tcW w:w="3834" w:type="dxa"/>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686.67</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302</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686.67</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30201</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61.25</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30202</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印刷费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5.05</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30204</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手续费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30205</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水费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0.89</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30206</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14.37</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30207</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邮电费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9.65</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30208</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取暖费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30209</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物业管理费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30211</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差旅费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101.51</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30212</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因公出国（境）费用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30213</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维修（护）费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2.10</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30214</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租赁费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30215</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会议费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7.34</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30216</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培训费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4.90</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30217</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公务接待费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6.80</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30218</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专用材料费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30224</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被装购置费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30225</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专用燃料费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30226</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劳务费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2.11</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30227</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委托业务费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5.71</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30228</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工会经费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70.50</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30229</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福利费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32.59</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30231</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公务用车运行维护费</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13.61</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30239</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243.19</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30240</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税金及附加费用</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30299</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其他商品和服务支出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706D03">
            <w:pPr>
              <w:jc w:val="right"/>
              <w:rPr>
                <w:rFonts w:ascii="仿宋" w:eastAsia="仿宋" w:hAnsi="仿宋" w:cs="仿宋"/>
              </w:rPr>
            </w:pPr>
            <w:r>
              <w:rPr>
                <w:rFonts w:ascii="仿宋" w:eastAsia="仿宋" w:hAnsi="仿宋" w:cs="仿宋" w:hint="eastAsia"/>
              </w:rPr>
              <w:t>105.09</w:t>
            </w: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307</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债务利息及费用支出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310</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31001</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房屋建筑物购建</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31002</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办公设备购置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lastRenderedPageBreak/>
              <w:t>31003</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专用设备购置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31005</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基础设施建设</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31006</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大型修缮</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31007</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信息网络及软件购置更新</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31008</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物资储备</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31009</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土地补偿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31010</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安置补助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31011</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地上附着物和青苗补偿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31012</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拆迁补偿</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31013</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公务用车购置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31019</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其他交通工具购置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31021</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文物和陈列品购置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31022</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无形资产购置</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31099</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其他资本性支出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312</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对企业补助</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r w:rsidR="00D33C55">
        <w:trPr>
          <w:cantSplit/>
          <w:trHeight w:val="195"/>
        </w:trPr>
        <w:tc>
          <w:tcPr>
            <w:tcW w:w="1642"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399</w:t>
            </w:r>
          </w:p>
        </w:tc>
        <w:tc>
          <w:tcPr>
            <w:tcW w:w="4990" w:type="dxa"/>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b/>
              </w:rPr>
              <w:t>其他支出</w:t>
            </w:r>
          </w:p>
        </w:tc>
        <w:tc>
          <w:tcPr>
            <w:tcW w:w="3834" w:type="dxa"/>
            <w:tcBorders>
              <w:top w:val="single" w:sz="4" w:space="0" w:color="000000"/>
              <w:left w:val="single" w:sz="4" w:space="0" w:color="000000"/>
              <w:bottom w:val="single" w:sz="4" w:space="0" w:color="000000"/>
              <w:right w:val="single" w:sz="4" w:space="0" w:color="000000"/>
            </w:tcBorders>
            <w:vAlign w:val="center"/>
          </w:tcPr>
          <w:p w:rsidR="00D33C55" w:rsidRDefault="00D33C55">
            <w:pPr>
              <w:jc w:val="right"/>
              <w:rPr>
                <w:rFonts w:ascii="仿宋" w:eastAsia="仿宋" w:hAnsi="仿宋" w:cs="仿宋"/>
              </w:rPr>
            </w:pPr>
          </w:p>
        </w:tc>
      </w:tr>
    </w:tbl>
    <w:p w:rsidR="00D33C55" w:rsidRDefault="00706D03">
      <w:pPr>
        <w:spacing w:before="25"/>
        <w:ind w:rightChars="-42" w:right="-92"/>
        <w:jc w:val="both"/>
        <w:rPr>
          <w:rFonts w:ascii="仿宋" w:eastAsia="仿宋" w:hAnsi="仿宋" w:cs="仿宋"/>
          <w:lang w:val="en-US"/>
        </w:rPr>
      </w:pPr>
      <w:r>
        <w:rPr>
          <w:rFonts w:ascii="仿宋" w:eastAsia="仿宋" w:hAnsi="仿宋" w:cs="仿宋" w:hint="eastAsia"/>
        </w:rPr>
        <w:t>注：“机关运行经费”</w:t>
      </w:r>
      <w:r>
        <w:rPr>
          <w:rFonts w:ascii="仿宋" w:eastAsia="仿宋" w:hAnsi="仿宋" w:cs="仿宋" w:hint="eastAsia"/>
        </w:rPr>
        <w:t xml:space="preserve"> </w:t>
      </w:r>
      <w:r>
        <w:rPr>
          <w:rFonts w:ascii="仿宋" w:eastAsia="仿宋" w:hAnsi="仿宋" w:cs="仿宋" w:hint="eastAsia"/>
        </w:rPr>
        <w:t>指行政单位（含参照公务员法管理的事业单位）使用</w:t>
      </w:r>
      <w:r>
        <w:rPr>
          <w:rFonts w:ascii="仿宋" w:eastAsia="仿宋" w:hAnsi="仿宋" w:cs="仿宋" w:hint="eastAsia"/>
          <w:lang w:val="en-US"/>
        </w:rPr>
        <w:t>财政拨款</w:t>
      </w:r>
      <w:r>
        <w:rPr>
          <w:rFonts w:ascii="仿宋" w:eastAsia="仿宋" w:hAnsi="仿宋" w:cs="仿宋" w:hint="eastAsia"/>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rsidR="00D33C55" w:rsidRDefault="00D33C55">
      <w:pPr>
        <w:tabs>
          <w:tab w:val="left" w:pos="440"/>
        </w:tabs>
        <w:spacing w:before="25"/>
        <w:ind w:leftChars="200" w:left="440"/>
        <w:jc w:val="both"/>
        <w:rPr>
          <w:rFonts w:ascii="仿宋" w:eastAsia="仿宋" w:hAnsi="仿宋" w:cs="仿宋"/>
          <w:lang w:val="en-US"/>
        </w:rPr>
        <w:sectPr w:rsidR="00D33C55">
          <w:footerReference w:type="default" r:id="rId22"/>
          <w:type w:val="continuous"/>
          <w:pgSz w:w="11906" w:h="16838"/>
          <w:pgMar w:top="720" w:right="720" w:bottom="720" w:left="720" w:header="170" w:footer="280" w:gutter="0"/>
          <w:pgNumType w:fmt="numberInDash"/>
          <w:cols w:space="720"/>
          <w:formProt w:val="0"/>
          <w:docGrid w:linePitch="100"/>
        </w:sectPr>
      </w:pPr>
    </w:p>
    <w:tbl>
      <w:tblPr>
        <w:tblW w:w="10459" w:type="dxa"/>
        <w:tblInd w:w="45" w:type="dxa"/>
        <w:tblLayout w:type="fixed"/>
        <w:tblCellMar>
          <w:top w:w="55" w:type="dxa"/>
          <w:left w:w="55" w:type="dxa"/>
          <w:bottom w:w="55" w:type="dxa"/>
          <w:right w:w="55" w:type="dxa"/>
        </w:tblCellMar>
        <w:tblLook w:val="04A0" w:firstRow="1" w:lastRow="0" w:firstColumn="1" w:lastColumn="0" w:noHBand="0" w:noVBand="1"/>
      </w:tblPr>
      <w:tblGrid>
        <w:gridCol w:w="4472"/>
        <w:gridCol w:w="722"/>
        <w:gridCol w:w="1992"/>
        <w:gridCol w:w="3273"/>
      </w:tblGrid>
      <w:tr w:rsidR="00D33C55">
        <w:trPr>
          <w:trHeight w:val="333"/>
        </w:trPr>
        <w:tc>
          <w:tcPr>
            <w:tcW w:w="10459" w:type="dxa"/>
            <w:gridSpan w:val="4"/>
            <w:vAlign w:val="center"/>
          </w:tcPr>
          <w:p w:rsidR="00D33C55" w:rsidRDefault="00706D03">
            <w:pPr>
              <w:pStyle w:val="TableParagraph"/>
              <w:jc w:val="center"/>
              <w:rPr>
                <w:rFonts w:ascii="仿宋" w:eastAsia="仿宋" w:hAnsi="仿宋" w:cs="仿宋"/>
                <w:b/>
                <w:bCs/>
                <w:sz w:val="44"/>
                <w:szCs w:val="44"/>
              </w:rPr>
            </w:pPr>
            <w:r>
              <w:rPr>
                <w:rFonts w:hint="eastAsia"/>
                <w:b/>
                <w:bCs/>
                <w:color w:val="000000"/>
                <w:sz w:val="36"/>
                <w:szCs w:val="36"/>
                <w:lang w:eastAsia="ar-SA"/>
              </w:rPr>
              <w:lastRenderedPageBreak/>
              <w:t>政府采购支出决算表</w:t>
            </w:r>
          </w:p>
        </w:tc>
      </w:tr>
      <w:tr w:rsidR="00D33C55">
        <w:trPr>
          <w:trHeight w:val="333"/>
        </w:trPr>
        <w:tc>
          <w:tcPr>
            <w:tcW w:w="4472" w:type="dxa"/>
          </w:tcPr>
          <w:p w:rsidR="00D33C55" w:rsidRDefault="00D33C55">
            <w:pPr>
              <w:pStyle w:val="TableParagraph"/>
              <w:rPr>
                <w:rFonts w:ascii="仿宋" w:eastAsia="仿宋" w:hAnsi="仿宋" w:cs="仿宋"/>
              </w:rPr>
            </w:pPr>
          </w:p>
        </w:tc>
        <w:tc>
          <w:tcPr>
            <w:tcW w:w="722" w:type="dxa"/>
          </w:tcPr>
          <w:p w:rsidR="00D33C55" w:rsidRDefault="00D33C55">
            <w:pPr>
              <w:pStyle w:val="TableParagraph"/>
              <w:rPr>
                <w:rFonts w:ascii="仿宋" w:eastAsia="仿宋" w:hAnsi="仿宋" w:cs="仿宋"/>
              </w:rPr>
            </w:pPr>
          </w:p>
        </w:tc>
        <w:tc>
          <w:tcPr>
            <w:tcW w:w="1992" w:type="dxa"/>
          </w:tcPr>
          <w:p w:rsidR="00D33C55" w:rsidRDefault="00D33C55">
            <w:pPr>
              <w:pStyle w:val="TableParagraph"/>
              <w:rPr>
                <w:rFonts w:ascii="仿宋" w:eastAsia="仿宋" w:hAnsi="仿宋" w:cs="仿宋"/>
              </w:rPr>
            </w:pPr>
          </w:p>
        </w:tc>
        <w:tc>
          <w:tcPr>
            <w:tcW w:w="3273" w:type="dxa"/>
            <w:vAlign w:val="center"/>
          </w:tcPr>
          <w:p w:rsidR="00D33C55" w:rsidRDefault="00706D03">
            <w:pPr>
              <w:pStyle w:val="TableParagraph"/>
              <w:jc w:val="right"/>
              <w:rPr>
                <w:rFonts w:ascii="仿宋" w:eastAsia="仿宋" w:hAnsi="仿宋" w:cs="仿宋"/>
              </w:rPr>
            </w:pPr>
            <w:r>
              <w:rPr>
                <w:rFonts w:ascii="仿宋" w:eastAsia="仿宋" w:hAnsi="仿宋" w:cs="仿宋" w:hint="eastAsia"/>
              </w:rPr>
              <w:t>公开</w:t>
            </w:r>
            <w:r>
              <w:rPr>
                <w:rFonts w:ascii="仿宋" w:eastAsia="仿宋" w:hAnsi="仿宋" w:cs="仿宋" w:hint="eastAsia"/>
              </w:rPr>
              <w:t>1</w:t>
            </w:r>
            <w:r>
              <w:rPr>
                <w:rFonts w:ascii="仿宋" w:eastAsia="仿宋" w:hAnsi="仿宋" w:cs="仿宋" w:hint="eastAsia"/>
                <w:lang w:val="en-US"/>
              </w:rPr>
              <w:t>3</w:t>
            </w:r>
            <w:r>
              <w:rPr>
                <w:rFonts w:ascii="仿宋" w:eastAsia="仿宋" w:hAnsi="仿宋" w:cs="仿宋" w:hint="eastAsia"/>
              </w:rPr>
              <w:t>表</w:t>
            </w:r>
          </w:p>
        </w:tc>
      </w:tr>
      <w:tr w:rsidR="00D33C55">
        <w:trPr>
          <w:trHeight w:val="90"/>
        </w:trPr>
        <w:tc>
          <w:tcPr>
            <w:tcW w:w="7186" w:type="dxa"/>
            <w:gridSpan w:val="3"/>
          </w:tcPr>
          <w:p w:rsidR="00D33C55" w:rsidRDefault="00706D03">
            <w:pPr>
              <w:pStyle w:val="TableParagraph"/>
              <w:rPr>
                <w:rFonts w:ascii="仿宋" w:eastAsia="仿宋" w:hAnsi="仿宋" w:cs="仿宋"/>
              </w:rPr>
            </w:pPr>
            <w:r>
              <w:rPr>
                <w:rFonts w:ascii="仿宋" w:eastAsia="仿宋" w:hAnsi="仿宋" w:cs="仿宋" w:hint="eastAsia"/>
                <w:color w:val="000000"/>
              </w:rPr>
              <w:t>部门</w:t>
            </w:r>
            <w:r>
              <w:rPr>
                <w:rFonts w:ascii="仿宋" w:eastAsia="仿宋" w:hAnsi="仿宋" w:cs="仿宋"/>
                <w:color w:val="000000"/>
              </w:rPr>
              <w:t>名称：</w:t>
            </w:r>
            <w:r>
              <w:rPr>
                <w:rFonts w:ascii="仿宋" w:eastAsia="仿宋" w:hAnsi="仿宋" w:cs="仿宋" w:hint="eastAsia"/>
              </w:rPr>
              <w:t>南京市农业农村局</w:t>
            </w:r>
          </w:p>
        </w:tc>
        <w:tc>
          <w:tcPr>
            <w:tcW w:w="3273" w:type="dxa"/>
            <w:vAlign w:val="center"/>
          </w:tcPr>
          <w:p w:rsidR="00D33C55" w:rsidRDefault="00706D03">
            <w:pPr>
              <w:pStyle w:val="TableParagraph"/>
              <w:jc w:val="right"/>
              <w:rPr>
                <w:rFonts w:ascii="仿宋" w:eastAsia="仿宋" w:hAnsi="仿宋" w:cs="仿宋"/>
              </w:rPr>
            </w:pPr>
            <w:r>
              <w:rPr>
                <w:rFonts w:ascii="仿宋" w:eastAsia="仿宋" w:hAnsi="仿宋" w:cs="仿宋" w:hint="eastAsia"/>
              </w:rPr>
              <w:t>金额单位：万元</w:t>
            </w:r>
          </w:p>
        </w:tc>
      </w:tr>
      <w:tr w:rsidR="00D33C55">
        <w:trPr>
          <w:trHeight w:val="244"/>
        </w:trPr>
        <w:tc>
          <w:tcPr>
            <w:tcW w:w="4472" w:type="dxa"/>
            <w:tcBorders>
              <w:top w:val="single" w:sz="4" w:space="0" w:color="000000"/>
              <w:left w:val="single" w:sz="4" w:space="0" w:color="000000"/>
              <w:bottom w:val="single" w:sz="4" w:space="0" w:color="000000"/>
            </w:tcBorders>
            <w:vAlign w:val="center"/>
          </w:tcPr>
          <w:p w:rsidR="00D33C55" w:rsidRDefault="00706D03">
            <w:pPr>
              <w:pStyle w:val="TableParagraph"/>
              <w:jc w:val="center"/>
              <w:rPr>
                <w:rFonts w:ascii="仿宋" w:eastAsia="仿宋" w:hAnsi="仿宋" w:cs="仿宋"/>
                <w:lang w:val="en-US"/>
              </w:rPr>
            </w:pPr>
            <w:r>
              <w:rPr>
                <w:rFonts w:ascii="仿宋" w:eastAsia="仿宋" w:hAnsi="仿宋" w:cs="仿宋"/>
              </w:rPr>
              <w:t>项目</w:t>
            </w:r>
          </w:p>
        </w:tc>
        <w:tc>
          <w:tcPr>
            <w:tcW w:w="5987" w:type="dxa"/>
            <w:gridSpan w:val="3"/>
            <w:tcBorders>
              <w:top w:val="single" w:sz="4" w:space="0" w:color="000000"/>
              <w:left w:val="single" w:sz="4" w:space="0" w:color="000000"/>
              <w:bottom w:val="single" w:sz="4" w:space="0" w:color="000000"/>
              <w:right w:val="single" w:sz="4" w:space="0" w:color="000000"/>
            </w:tcBorders>
            <w:vAlign w:val="center"/>
          </w:tcPr>
          <w:p w:rsidR="00D33C55" w:rsidRDefault="00706D03">
            <w:pPr>
              <w:pStyle w:val="TableParagraph"/>
              <w:jc w:val="center"/>
              <w:rPr>
                <w:rFonts w:ascii="仿宋" w:eastAsia="仿宋" w:hAnsi="仿宋" w:cs="仿宋"/>
              </w:rPr>
            </w:pPr>
            <w:r>
              <w:rPr>
                <w:rFonts w:ascii="仿宋" w:eastAsia="仿宋" w:hAnsi="仿宋" w:cs="仿宋" w:hint="eastAsia"/>
              </w:rPr>
              <w:t>金</w:t>
            </w:r>
            <w:r>
              <w:rPr>
                <w:rFonts w:ascii="仿宋" w:eastAsia="仿宋" w:hAnsi="仿宋" w:cs="仿宋" w:hint="eastAsia"/>
              </w:rPr>
              <w:tab/>
            </w:r>
            <w:r>
              <w:rPr>
                <w:rFonts w:ascii="仿宋" w:eastAsia="仿宋" w:hAnsi="仿宋" w:cs="仿宋" w:hint="eastAsia"/>
              </w:rPr>
              <w:t>额</w:t>
            </w:r>
          </w:p>
        </w:tc>
      </w:tr>
      <w:tr w:rsidR="00D33C55">
        <w:trPr>
          <w:cantSplit/>
          <w:trHeight w:val="277"/>
        </w:trPr>
        <w:tc>
          <w:tcPr>
            <w:tcW w:w="4472" w:type="dxa"/>
            <w:tcBorders>
              <w:left w:val="single" w:sz="4" w:space="0" w:color="000000"/>
              <w:bottom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一、政府采购支出合计</w:t>
            </w:r>
          </w:p>
        </w:tc>
        <w:tc>
          <w:tcPr>
            <w:tcW w:w="5987" w:type="dxa"/>
            <w:gridSpan w:val="3"/>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1,537.39</w:t>
            </w:r>
          </w:p>
        </w:tc>
      </w:tr>
      <w:tr w:rsidR="00D33C55">
        <w:trPr>
          <w:cantSplit/>
          <w:trHeight w:val="277"/>
        </w:trPr>
        <w:tc>
          <w:tcPr>
            <w:tcW w:w="4472" w:type="dxa"/>
            <w:tcBorders>
              <w:left w:val="single" w:sz="4" w:space="0" w:color="000000"/>
              <w:bottom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（一）政府采购货物支出</w:t>
            </w:r>
          </w:p>
        </w:tc>
        <w:tc>
          <w:tcPr>
            <w:tcW w:w="5987" w:type="dxa"/>
            <w:gridSpan w:val="3"/>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154.03</w:t>
            </w:r>
          </w:p>
        </w:tc>
      </w:tr>
      <w:tr w:rsidR="00D33C55">
        <w:trPr>
          <w:cantSplit/>
          <w:trHeight w:val="277"/>
        </w:trPr>
        <w:tc>
          <w:tcPr>
            <w:tcW w:w="4472" w:type="dxa"/>
            <w:tcBorders>
              <w:left w:val="single" w:sz="4" w:space="0" w:color="000000"/>
              <w:bottom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（二）政府采购工程支出</w:t>
            </w:r>
          </w:p>
        </w:tc>
        <w:tc>
          <w:tcPr>
            <w:tcW w:w="5987" w:type="dxa"/>
            <w:gridSpan w:val="3"/>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134.90</w:t>
            </w:r>
          </w:p>
        </w:tc>
      </w:tr>
      <w:tr w:rsidR="00D33C55">
        <w:trPr>
          <w:cantSplit/>
          <w:trHeight w:val="277"/>
        </w:trPr>
        <w:tc>
          <w:tcPr>
            <w:tcW w:w="4472" w:type="dxa"/>
            <w:tcBorders>
              <w:left w:val="single" w:sz="4" w:space="0" w:color="000000"/>
              <w:bottom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（三）政府采购服务支出</w:t>
            </w:r>
          </w:p>
        </w:tc>
        <w:tc>
          <w:tcPr>
            <w:tcW w:w="5987" w:type="dxa"/>
            <w:gridSpan w:val="3"/>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1,248.46</w:t>
            </w:r>
          </w:p>
        </w:tc>
      </w:tr>
      <w:tr w:rsidR="00D33C55">
        <w:trPr>
          <w:cantSplit/>
          <w:trHeight w:val="277"/>
        </w:trPr>
        <w:tc>
          <w:tcPr>
            <w:tcW w:w="4472" w:type="dxa"/>
            <w:tcBorders>
              <w:left w:val="single" w:sz="4" w:space="0" w:color="000000"/>
              <w:bottom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二、政府采购授予中小企业合同金额</w:t>
            </w:r>
          </w:p>
        </w:tc>
        <w:tc>
          <w:tcPr>
            <w:tcW w:w="5987" w:type="dxa"/>
            <w:gridSpan w:val="3"/>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45.18</w:t>
            </w:r>
          </w:p>
        </w:tc>
      </w:tr>
      <w:tr w:rsidR="00D33C55">
        <w:trPr>
          <w:cantSplit/>
          <w:trHeight w:val="277"/>
        </w:trPr>
        <w:tc>
          <w:tcPr>
            <w:tcW w:w="4472" w:type="dxa"/>
            <w:tcBorders>
              <w:left w:val="single" w:sz="4" w:space="0" w:color="000000"/>
              <w:bottom w:val="single" w:sz="4" w:space="0" w:color="000000"/>
            </w:tcBorders>
            <w:vAlign w:val="center"/>
          </w:tcPr>
          <w:p w:rsidR="00D33C55" w:rsidRDefault="00706D03">
            <w:pPr>
              <w:pStyle w:val="TableParagraph"/>
              <w:rPr>
                <w:rFonts w:ascii="仿宋" w:eastAsia="仿宋" w:hAnsi="仿宋" w:cs="仿宋"/>
              </w:rPr>
            </w:pPr>
            <w:r>
              <w:rPr>
                <w:rFonts w:ascii="仿宋" w:eastAsia="仿宋" w:hAnsi="仿宋" w:cs="仿宋" w:hint="eastAsia"/>
              </w:rPr>
              <w:t xml:space="preserve">  </w:t>
            </w:r>
            <w:r>
              <w:rPr>
                <w:rFonts w:ascii="仿宋" w:eastAsia="仿宋" w:hAnsi="仿宋" w:cs="仿宋" w:hint="eastAsia"/>
              </w:rPr>
              <w:t>其中：授予小</w:t>
            </w:r>
            <w:proofErr w:type="gramStart"/>
            <w:r>
              <w:rPr>
                <w:rFonts w:ascii="仿宋" w:eastAsia="仿宋" w:hAnsi="仿宋" w:cs="仿宋" w:hint="eastAsia"/>
              </w:rPr>
              <w:t>微企业</w:t>
            </w:r>
            <w:proofErr w:type="gramEnd"/>
            <w:r>
              <w:rPr>
                <w:rFonts w:ascii="仿宋" w:eastAsia="仿宋" w:hAnsi="仿宋" w:cs="仿宋" w:hint="eastAsia"/>
              </w:rPr>
              <w:t>合同金额</w:t>
            </w:r>
          </w:p>
        </w:tc>
        <w:tc>
          <w:tcPr>
            <w:tcW w:w="5987" w:type="dxa"/>
            <w:gridSpan w:val="3"/>
            <w:tcBorders>
              <w:left w:val="single" w:sz="4" w:space="0" w:color="000000"/>
              <w:bottom w:val="single" w:sz="4" w:space="0" w:color="000000"/>
              <w:right w:val="single" w:sz="4" w:space="0" w:color="000000"/>
            </w:tcBorders>
            <w:vAlign w:val="center"/>
          </w:tcPr>
          <w:p w:rsidR="00D33C55" w:rsidRDefault="00706D03">
            <w:pPr>
              <w:pStyle w:val="TableParagraph"/>
              <w:jc w:val="right"/>
              <w:rPr>
                <w:rFonts w:ascii="仿宋" w:eastAsia="仿宋" w:hAnsi="仿宋" w:cs="仿宋"/>
              </w:rPr>
            </w:pPr>
            <w:r>
              <w:rPr>
                <w:rFonts w:ascii="仿宋" w:eastAsia="仿宋" w:hAnsi="仿宋" w:cs="仿宋" w:hint="eastAsia"/>
              </w:rPr>
              <w:t>11.18</w:t>
            </w:r>
          </w:p>
        </w:tc>
      </w:tr>
    </w:tbl>
    <w:p w:rsidR="00D33C55" w:rsidRDefault="00706D03">
      <w:pPr>
        <w:jc w:val="both"/>
        <w:rPr>
          <w:rFonts w:ascii="仿宋" w:eastAsia="仿宋" w:hAnsi="仿宋" w:cs="仿宋"/>
          <w:lang w:val="en-US"/>
        </w:rPr>
      </w:pPr>
      <w:r>
        <w:rPr>
          <w:rFonts w:ascii="仿宋" w:eastAsia="仿宋" w:hAnsi="仿宋" w:cs="仿宋" w:hint="eastAsia"/>
        </w:rPr>
        <w:t>注：</w:t>
      </w:r>
      <w:r>
        <w:rPr>
          <w:rFonts w:ascii="仿宋" w:eastAsia="仿宋" w:hAnsi="仿宋" w:cs="仿宋" w:hint="eastAsia"/>
          <w:lang w:val="en-US"/>
        </w:rPr>
        <w:t>政府采购支出信息为单位纳入部门预算范围的各项政府采购支出情况。本表金额单位转换时可能存在尾数误差</w:t>
      </w:r>
      <w:r>
        <w:rPr>
          <w:rFonts w:ascii="仿宋" w:eastAsia="仿宋" w:hAnsi="仿宋" w:cs="仿宋" w:hint="eastAsia"/>
        </w:rPr>
        <w:t>。</w:t>
      </w:r>
    </w:p>
    <w:p w:rsidR="00D33C55" w:rsidRDefault="00D33C55">
      <w:pPr>
        <w:ind w:leftChars="200" w:left="440"/>
        <w:jc w:val="both"/>
        <w:rPr>
          <w:rFonts w:ascii="仿宋" w:eastAsia="仿宋" w:hAnsi="仿宋" w:cs="仿宋"/>
          <w:lang w:val="en-US"/>
        </w:rPr>
        <w:sectPr w:rsidR="00D33C55">
          <w:pgSz w:w="11906" w:h="16838"/>
          <w:pgMar w:top="720" w:right="720" w:bottom="720" w:left="720" w:header="170" w:footer="280" w:gutter="0"/>
          <w:pgNumType w:fmt="numberInDash"/>
          <w:cols w:space="720"/>
          <w:formProt w:val="0"/>
          <w:docGrid w:linePitch="100"/>
        </w:sectPr>
      </w:pPr>
    </w:p>
    <w:p w:rsidR="00D33C55" w:rsidRDefault="00706D03">
      <w:pPr>
        <w:pStyle w:val="4"/>
        <w:tabs>
          <w:tab w:val="left" w:pos="3077"/>
        </w:tabs>
        <w:spacing w:line="616" w:lineRule="exact"/>
        <w:rPr>
          <w:rFonts w:ascii="宋体" w:eastAsia="宋体" w:hAnsi="宋体" w:cs="宋体"/>
          <w:b/>
          <w:bCs/>
          <w:color w:val="000000"/>
          <w:lang w:val="en-US" w:eastAsia="ar-SA"/>
        </w:rPr>
      </w:pPr>
      <w:r>
        <w:rPr>
          <w:rFonts w:ascii="宋体" w:eastAsia="宋体" w:hAnsi="宋体" w:cs="宋体" w:hint="eastAsia"/>
          <w:b/>
          <w:bCs/>
          <w:color w:val="000000"/>
          <w:lang w:eastAsia="ar-SA"/>
        </w:rPr>
        <w:lastRenderedPageBreak/>
        <w:t>第三部分</w:t>
      </w:r>
      <w:r>
        <w:rPr>
          <w:rFonts w:ascii="宋体" w:eastAsia="宋体" w:hAnsi="宋体" w:cs="宋体" w:hint="eastAsia"/>
          <w:b/>
          <w:bCs/>
          <w:color w:val="000000"/>
          <w:lang w:val="en-US"/>
        </w:rPr>
        <w:t xml:space="preserve"> 2025</w:t>
      </w:r>
      <w:r>
        <w:rPr>
          <w:rFonts w:ascii="宋体" w:eastAsia="宋体" w:hAnsi="宋体" w:cs="宋体" w:hint="eastAsia"/>
          <w:b/>
          <w:bCs/>
          <w:color w:val="000000"/>
          <w:lang w:eastAsia="ar-SA"/>
        </w:rPr>
        <w:t>年度</w:t>
      </w:r>
      <w:r>
        <w:rPr>
          <w:rFonts w:ascii="宋体" w:eastAsia="宋体" w:hAnsi="宋体" w:cs="宋体" w:hint="eastAsia"/>
          <w:b/>
          <w:bCs/>
          <w:color w:val="000000"/>
          <w:lang w:val="en-US" w:eastAsia="ar-SA"/>
        </w:rPr>
        <w:t>部门</w:t>
      </w:r>
      <w:r>
        <w:rPr>
          <w:rFonts w:ascii="宋体" w:eastAsia="宋体" w:hAnsi="宋体" w:cs="宋体" w:hint="eastAsia"/>
          <w:b/>
          <w:bCs/>
          <w:color w:val="000000"/>
          <w:lang w:eastAsia="ar-SA"/>
        </w:rPr>
        <w:t>决算情况说明</w:t>
      </w:r>
    </w:p>
    <w:p w:rsidR="00D33C55" w:rsidRDefault="00D33C55">
      <w:pPr>
        <w:pStyle w:val="a5"/>
        <w:tabs>
          <w:tab w:val="left" w:pos="3864"/>
          <w:tab w:val="left" w:pos="6248"/>
          <w:tab w:val="left" w:pos="7386"/>
        </w:tabs>
        <w:spacing w:before="1" w:line="360" w:lineRule="auto"/>
        <w:ind w:left="348" w:right="420" w:firstLine="640"/>
        <w:jc w:val="both"/>
        <w:rPr>
          <w:rFonts w:ascii="仿宋" w:eastAsia="仿宋" w:hAnsi="仿宋" w:cs="仿宋"/>
          <w:lang w:val="en-US"/>
        </w:rPr>
      </w:pP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一、收入支出决算总体情况说明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年度收入、支出决算总计</w:t>
      </w:r>
      <w:r>
        <w:rPr>
          <w:rFonts w:ascii="仿宋" w:eastAsia="仿宋" w:hAnsi="仿宋" w:cs="仿宋"/>
        </w:rPr>
        <w:t>38,851.57</w:t>
      </w:r>
      <w:r>
        <w:rPr>
          <w:rFonts w:ascii="仿宋" w:eastAsia="仿宋" w:hAnsi="仿宋" w:cs="仿宋"/>
        </w:rPr>
        <w:t>万元。与上年相比，收、支总计各减少</w:t>
      </w:r>
      <w:r>
        <w:rPr>
          <w:rFonts w:ascii="仿宋" w:eastAsia="仿宋" w:hAnsi="仿宋" w:cs="仿宋"/>
        </w:rPr>
        <w:t>343.6</w:t>
      </w:r>
      <w:r>
        <w:rPr>
          <w:rFonts w:ascii="仿宋" w:eastAsia="仿宋" w:hAnsi="仿宋" w:cs="仿宋"/>
        </w:rPr>
        <w:t>万元，减少</w:t>
      </w:r>
      <w:r>
        <w:rPr>
          <w:rFonts w:ascii="仿宋" w:eastAsia="仿宋" w:hAnsi="仿宋" w:cs="仿宋"/>
        </w:rPr>
        <w:t>0.88%</w:t>
      </w:r>
      <w:r>
        <w:rPr>
          <w:rFonts w:ascii="仿宋" w:eastAsia="仿宋" w:hAnsi="仿宋" w:cs="仿宋"/>
        </w:rPr>
        <w:t>。其中：</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（一）收入决算总计</w:t>
      </w:r>
      <w:r>
        <w:rPr>
          <w:rFonts w:ascii="仿宋" w:eastAsia="仿宋" w:hAnsi="仿宋" w:cs="仿宋"/>
          <w:b/>
        </w:rPr>
        <w:t>38,851.57</w:t>
      </w:r>
      <w:r>
        <w:rPr>
          <w:rFonts w:ascii="仿宋" w:eastAsia="仿宋" w:hAnsi="仿宋" w:cs="仿宋"/>
          <w:b/>
        </w:rPr>
        <w:t>万元。包括：</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本年收入决算合计</w:t>
      </w:r>
      <w:r>
        <w:rPr>
          <w:rFonts w:ascii="仿宋" w:eastAsia="仿宋" w:hAnsi="仿宋" w:cs="仿宋"/>
        </w:rPr>
        <w:t>37,598.64</w:t>
      </w:r>
      <w:r>
        <w:rPr>
          <w:rFonts w:ascii="仿宋" w:eastAsia="仿宋" w:hAnsi="仿宋" w:cs="仿宋"/>
        </w:rPr>
        <w:t>万元。与上年相比，减少</w:t>
      </w:r>
      <w:r>
        <w:rPr>
          <w:rFonts w:ascii="仿宋" w:eastAsia="仿宋" w:hAnsi="仿宋" w:cs="仿宋"/>
        </w:rPr>
        <w:t>345.53</w:t>
      </w:r>
      <w:r>
        <w:rPr>
          <w:rFonts w:ascii="仿宋" w:eastAsia="仿宋" w:hAnsi="仿宋" w:cs="仿宋"/>
        </w:rPr>
        <w:t>万元，减少</w:t>
      </w:r>
      <w:r>
        <w:rPr>
          <w:rFonts w:ascii="仿宋" w:eastAsia="仿宋" w:hAnsi="仿宋" w:cs="仿宋"/>
        </w:rPr>
        <w:t>0.91%</w:t>
      </w:r>
      <w:r>
        <w:rPr>
          <w:rFonts w:ascii="仿宋" w:eastAsia="仿宋" w:hAnsi="仿宋" w:cs="仿宋"/>
        </w:rPr>
        <w:t>，变动原因：落实</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要求，压减各项经费。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使用非财政拨款结余（含专用结余）</w:t>
      </w:r>
      <w:r>
        <w:rPr>
          <w:rFonts w:ascii="仿宋" w:eastAsia="仿宋" w:hAnsi="仿宋" w:cs="仿宋"/>
        </w:rPr>
        <w:t>74.02</w:t>
      </w:r>
      <w:r>
        <w:rPr>
          <w:rFonts w:ascii="仿宋" w:eastAsia="仿宋" w:hAnsi="仿宋" w:cs="仿宋"/>
        </w:rPr>
        <w:t>万元。与上年相比，增加</w:t>
      </w:r>
      <w:r>
        <w:rPr>
          <w:rFonts w:ascii="仿宋" w:eastAsia="仿宋" w:hAnsi="仿宋" w:cs="仿宋"/>
        </w:rPr>
        <w:t>74.02</w:t>
      </w:r>
      <w:r>
        <w:rPr>
          <w:rFonts w:ascii="仿宋" w:eastAsia="仿宋" w:hAnsi="仿宋" w:cs="仿宋"/>
        </w:rPr>
        <w:t>万元（上年决算数为</w:t>
      </w:r>
      <w:r>
        <w:rPr>
          <w:rFonts w:ascii="仿宋" w:eastAsia="仿宋" w:hAnsi="仿宋" w:cs="仿宋"/>
        </w:rPr>
        <w:t>0</w:t>
      </w:r>
      <w:r>
        <w:rPr>
          <w:rFonts w:ascii="仿宋" w:eastAsia="仿宋" w:hAnsi="仿宋" w:cs="仿宋"/>
        </w:rPr>
        <w:t>万元，无法计算增减比率），变动原因：市畜禽所使用以前年度非财政拨款结余开展工作。</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年初结转和结余</w:t>
      </w:r>
      <w:r>
        <w:rPr>
          <w:rFonts w:ascii="仿宋" w:eastAsia="仿宋" w:hAnsi="仿宋" w:cs="仿宋"/>
        </w:rPr>
        <w:t>1,178.91</w:t>
      </w:r>
      <w:r>
        <w:rPr>
          <w:rFonts w:ascii="仿宋" w:eastAsia="仿宋" w:hAnsi="仿宋" w:cs="仿宋"/>
        </w:rPr>
        <w:t>万元。与上年相比，减少</w:t>
      </w:r>
      <w:r>
        <w:rPr>
          <w:rFonts w:ascii="仿宋" w:eastAsia="仿宋" w:hAnsi="仿宋" w:cs="仿宋"/>
        </w:rPr>
        <w:t>72.09</w:t>
      </w:r>
      <w:r>
        <w:rPr>
          <w:rFonts w:ascii="仿宋" w:eastAsia="仿宋" w:hAnsi="仿宋" w:cs="仿宋"/>
        </w:rPr>
        <w:t>万元，减少</w:t>
      </w:r>
      <w:r>
        <w:rPr>
          <w:rFonts w:ascii="仿宋" w:eastAsia="仿宋" w:hAnsi="仿宋" w:cs="仿宋"/>
        </w:rPr>
        <w:t>5.76%</w:t>
      </w:r>
      <w:r>
        <w:rPr>
          <w:rFonts w:ascii="仿宋" w:eastAsia="仿宋" w:hAnsi="仿宋" w:cs="仿宋"/>
        </w:rPr>
        <w:t>，变动原因：部分单位使用年初结转和结余开展工作。</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（二）支出决算总计</w:t>
      </w:r>
      <w:r>
        <w:rPr>
          <w:rFonts w:ascii="仿宋" w:eastAsia="仿宋" w:hAnsi="仿宋" w:cs="仿宋"/>
          <w:b/>
        </w:rPr>
        <w:t>38,851.57</w:t>
      </w:r>
      <w:r>
        <w:rPr>
          <w:rFonts w:ascii="仿宋" w:eastAsia="仿宋" w:hAnsi="仿宋" w:cs="仿宋"/>
          <w:b/>
        </w:rPr>
        <w:t>万元。包括：</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本年支出决算合计</w:t>
      </w:r>
      <w:r>
        <w:rPr>
          <w:rFonts w:ascii="仿宋" w:eastAsia="仿宋" w:hAnsi="仿宋" w:cs="仿宋"/>
        </w:rPr>
        <w:t>37,615.26</w:t>
      </w:r>
      <w:r>
        <w:rPr>
          <w:rFonts w:ascii="仿宋" w:eastAsia="仿宋" w:hAnsi="仿宋" w:cs="仿宋"/>
        </w:rPr>
        <w:t>万元。与上年相比，减少</w:t>
      </w:r>
      <w:r>
        <w:rPr>
          <w:rFonts w:ascii="仿宋" w:eastAsia="仿宋" w:hAnsi="仿宋" w:cs="仿宋"/>
        </w:rPr>
        <w:t>408.38</w:t>
      </w:r>
      <w:r>
        <w:rPr>
          <w:rFonts w:ascii="仿宋" w:eastAsia="仿宋" w:hAnsi="仿宋" w:cs="仿宋"/>
        </w:rPr>
        <w:t>万元，减少</w:t>
      </w:r>
      <w:r>
        <w:rPr>
          <w:rFonts w:ascii="仿宋" w:eastAsia="仿宋" w:hAnsi="仿宋" w:cs="仿宋"/>
        </w:rPr>
        <w:t>1.07%</w:t>
      </w:r>
      <w:r>
        <w:rPr>
          <w:rFonts w:ascii="仿宋" w:eastAsia="仿宋" w:hAnsi="仿宋" w:cs="仿宋"/>
        </w:rPr>
        <w:t>，变动原因：落实</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要求，节约使用各项支出。</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结余分配</w:t>
      </w:r>
      <w:r>
        <w:rPr>
          <w:rFonts w:ascii="仿宋" w:eastAsia="仿宋" w:hAnsi="仿宋" w:cs="仿宋"/>
        </w:rPr>
        <w:t>0</w:t>
      </w:r>
      <w:r>
        <w:rPr>
          <w:rFonts w:ascii="仿宋" w:eastAsia="仿宋" w:hAnsi="仿宋" w:cs="仿宋"/>
        </w:rPr>
        <w:t>万元。与上年相比，减少</w:t>
      </w:r>
      <w:r>
        <w:rPr>
          <w:rFonts w:ascii="仿宋" w:eastAsia="仿宋" w:hAnsi="仿宋" w:cs="仿宋"/>
        </w:rPr>
        <w:t>0.15</w:t>
      </w:r>
      <w:r>
        <w:rPr>
          <w:rFonts w:ascii="仿宋" w:eastAsia="仿宋" w:hAnsi="仿宋" w:cs="仿宋"/>
        </w:rPr>
        <w:t>万元，减少</w:t>
      </w:r>
      <w:r>
        <w:rPr>
          <w:rFonts w:ascii="仿宋" w:eastAsia="仿宋" w:hAnsi="仿宋" w:cs="仿宋"/>
        </w:rPr>
        <w:t>100%</w:t>
      </w:r>
      <w:r>
        <w:rPr>
          <w:rFonts w:ascii="仿宋" w:eastAsia="仿宋" w:hAnsi="仿宋" w:cs="仿宋"/>
        </w:rPr>
        <w:t>，变动原因：</w:t>
      </w:r>
      <w:r>
        <w:rPr>
          <w:rFonts w:ascii="仿宋" w:eastAsia="仿宋" w:hAnsi="仿宋" w:cs="仿宋" w:hint="eastAsia"/>
        </w:rPr>
        <w:t>与上年相比，</w:t>
      </w:r>
      <w:r>
        <w:rPr>
          <w:rFonts w:ascii="仿宋" w:eastAsia="仿宋" w:hAnsi="仿宋" w:cs="仿宋"/>
        </w:rPr>
        <w:t>下属事业单位南京市耕地质量</w:t>
      </w:r>
      <w:r>
        <w:rPr>
          <w:rFonts w:ascii="仿宋" w:eastAsia="仿宋" w:hAnsi="仿宋" w:cs="仿宋"/>
        </w:rPr>
        <w:lastRenderedPageBreak/>
        <w:t>保护站、南京市农村合作经济经营管理站等</w:t>
      </w:r>
      <w:r>
        <w:rPr>
          <w:rFonts w:ascii="仿宋" w:eastAsia="仿宋" w:hAnsi="仿宋" w:cs="仿宋" w:hint="eastAsia"/>
        </w:rPr>
        <w:t>本年未发生</w:t>
      </w:r>
      <w:r>
        <w:rPr>
          <w:rFonts w:ascii="仿宋" w:eastAsia="仿宋" w:hAnsi="仿宋" w:cs="仿宋"/>
        </w:rPr>
        <w:t>结余分配</w:t>
      </w:r>
      <w:r>
        <w:rPr>
          <w:rFonts w:ascii="仿宋" w:eastAsia="仿宋" w:hAnsi="仿宋" w:cs="仿宋" w:hint="eastAsia"/>
        </w:rPr>
        <w:t>事项</w:t>
      </w:r>
      <w:r>
        <w:rPr>
          <w:rFonts w:ascii="仿宋" w:eastAsia="仿宋" w:hAnsi="仿宋" w:cs="仿宋"/>
        </w:rPr>
        <w:t>。</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年末结转和结余</w:t>
      </w:r>
      <w:r>
        <w:rPr>
          <w:rFonts w:ascii="仿宋" w:eastAsia="仿宋" w:hAnsi="仿宋" w:cs="仿宋"/>
        </w:rPr>
        <w:t>1,</w:t>
      </w:r>
      <w:r>
        <w:rPr>
          <w:rFonts w:ascii="仿宋" w:eastAsia="仿宋" w:hAnsi="仿宋" w:cs="仿宋"/>
        </w:rPr>
        <w:t>236.31</w:t>
      </w:r>
      <w:r>
        <w:rPr>
          <w:rFonts w:ascii="仿宋" w:eastAsia="仿宋" w:hAnsi="仿宋" w:cs="仿宋"/>
        </w:rPr>
        <w:t>万元。结转和结余事项：以前年度结转结余资金。与上年相比，增加</w:t>
      </w:r>
      <w:r>
        <w:rPr>
          <w:rFonts w:ascii="仿宋" w:eastAsia="仿宋" w:hAnsi="仿宋" w:cs="仿宋"/>
        </w:rPr>
        <w:t>64.92</w:t>
      </w:r>
      <w:r>
        <w:rPr>
          <w:rFonts w:ascii="仿宋" w:eastAsia="仿宋" w:hAnsi="仿宋" w:cs="仿宋"/>
        </w:rPr>
        <w:t>万元，增长</w:t>
      </w:r>
      <w:r>
        <w:rPr>
          <w:rFonts w:ascii="仿宋" w:eastAsia="仿宋" w:hAnsi="仿宋" w:cs="仿宋"/>
        </w:rPr>
        <w:t>5.54%</w:t>
      </w:r>
      <w:r>
        <w:rPr>
          <w:rFonts w:ascii="仿宋" w:eastAsia="仿宋" w:hAnsi="仿宋" w:cs="仿宋"/>
        </w:rPr>
        <w:t>，变动原因：</w:t>
      </w:r>
      <w:r>
        <w:rPr>
          <w:rFonts w:ascii="仿宋" w:eastAsia="仿宋" w:hAnsi="仿宋" w:cs="仿宋"/>
        </w:rPr>
        <w:t>2025</w:t>
      </w:r>
      <w:r>
        <w:rPr>
          <w:rFonts w:ascii="仿宋" w:eastAsia="仿宋" w:hAnsi="仿宋" w:cs="仿宋"/>
        </w:rPr>
        <w:t>年度部分单位结转和结余资金增加。</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二、收入决算情况说明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年度本年收入决算合计</w:t>
      </w:r>
      <w:r>
        <w:rPr>
          <w:rFonts w:ascii="仿宋" w:eastAsia="仿宋" w:hAnsi="仿宋" w:cs="仿宋"/>
        </w:rPr>
        <w:t>37,598.64</w:t>
      </w:r>
      <w:r>
        <w:rPr>
          <w:rFonts w:ascii="仿宋" w:eastAsia="仿宋" w:hAnsi="仿宋" w:cs="仿宋"/>
        </w:rPr>
        <w:t>万元，其中：财政拨款收入</w:t>
      </w:r>
      <w:r>
        <w:rPr>
          <w:rFonts w:ascii="仿宋" w:eastAsia="仿宋" w:hAnsi="仿宋" w:cs="仿宋"/>
        </w:rPr>
        <w:t>37,490.39</w:t>
      </w:r>
      <w:r>
        <w:rPr>
          <w:rFonts w:ascii="仿宋" w:eastAsia="仿宋" w:hAnsi="仿宋" w:cs="仿宋"/>
        </w:rPr>
        <w:t>万元，占</w:t>
      </w:r>
      <w:r>
        <w:rPr>
          <w:rFonts w:ascii="仿宋" w:eastAsia="仿宋" w:hAnsi="仿宋" w:cs="仿宋"/>
        </w:rPr>
        <w:t>99.71%</w:t>
      </w:r>
      <w:r>
        <w:rPr>
          <w:rFonts w:ascii="仿宋" w:eastAsia="仿宋" w:hAnsi="仿宋" w:cs="仿宋"/>
        </w:rPr>
        <w:t>；上级补助收入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；财政专户管理教育收费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；事业收入（不含专户管理教育收费）</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；附属单位上缴收入</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；其他收入</w:t>
      </w:r>
      <w:r>
        <w:rPr>
          <w:rFonts w:ascii="仿宋" w:eastAsia="仿宋" w:hAnsi="仿宋" w:cs="仿宋"/>
        </w:rPr>
        <w:t>108.25</w:t>
      </w:r>
      <w:r>
        <w:rPr>
          <w:rFonts w:ascii="仿宋" w:eastAsia="仿宋" w:hAnsi="仿宋" w:cs="仿宋"/>
        </w:rPr>
        <w:t>万元，占</w:t>
      </w:r>
      <w:r>
        <w:rPr>
          <w:rFonts w:ascii="仿宋" w:eastAsia="仿宋" w:hAnsi="仿宋" w:cs="仿宋"/>
        </w:rPr>
        <w:t>0.29%</w:t>
      </w:r>
      <w:r>
        <w:rPr>
          <w:rFonts w:ascii="仿宋" w:eastAsia="仿宋" w:hAnsi="仿宋" w:cs="仿宋"/>
        </w:rPr>
        <w:t>。</w:t>
      </w:r>
    </w:p>
    <w:p w:rsidR="00D33C55" w:rsidRDefault="00706D03">
      <w:pPr>
        <w:pStyle w:val="a5"/>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23"/>
                    <a:stretch>
                      <a:fillRect/>
                    </a:stretch>
                  </pic:blipFill>
                  <pic:spPr>
                    <a:xfrm>
                      <a:off x="0" y="0"/>
                      <a:ext cx="6134100" cy="3429000"/>
                    </a:xfrm>
                    <a:prstGeom prst="rect">
                      <a:avLst/>
                    </a:prstGeom>
                  </pic:spPr>
                </pic:pic>
              </a:graphicData>
            </a:graphic>
          </wp:inline>
        </w:drawing>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三、支出决算情况说明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2025</w:t>
      </w:r>
      <w:r>
        <w:rPr>
          <w:rFonts w:ascii="仿宋" w:eastAsia="仿宋" w:hAnsi="仿宋" w:cs="仿宋"/>
        </w:rPr>
        <w:t>年度本年支出决算合计</w:t>
      </w:r>
      <w:r>
        <w:rPr>
          <w:rFonts w:ascii="仿宋" w:eastAsia="仿宋" w:hAnsi="仿宋" w:cs="仿宋"/>
        </w:rPr>
        <w:t>37,615.26</w:t>
      </w:r>
      <w:r>
        <w:rPr>
          <w:rFonts w:ascii="仿宋" w:eastAsia="仿宋" w:hAnsi="仿宋" w:cs="仿宋"/>
        </w:rPr>
        <w:t>万元，其中：基本支出</w:t>
      </w:r>
      <w:r>
        <w:rPr>
          <w:rFonts w:ascii="仿宋" w:eastAsia="仿宋" w:hAnsi="仿宋" w:cs="仿宋"/>
        </w:rPr>
        <w:t>24,702.47</w:t>
      </w:r>
      <w:r>
        <w:rPr>
          <w:rFonts w:ascii="仿宋" w:eastAsia="仿宋" w:hAnsi="仿宋" w:cs="仿宋"/>
        </w:rPr>
        <w:t>万元，占</w:t>
      </w:r>
      <w:r>
        <w:rPr>
          <w:rFonts w:ascii="仿宋" w:eastAsia="仿宋" w:hAnsi="仿宋" w:cs="仿宋"/>
        </w:rPr>
        <w:t>65.67%</w:t>
      </w:r>
      <w:r>
        <w:rPr>
          <w:rFonts w:ascii="仿宋" w:eastAsia="仿宋" w:hAnsi="仿宋" w:cs="仿宋"/>
        </w:rPr>
        <w:t>；项目支出</w:t>
      </w:r>
      <w:r>
        <w:rPr>
          <w:rFonts w:ascii="仿宋" w:eastAsia="仿宋" w:hAnsi="仿宋" w:cs="仿宋"/>
        </w:rPr>
        <w:t>12,912.8</w:t>
      </w:r>
      <w:r>
        <w:rPr>
          <w:rFonts w:ascii="仿宋" w:eastAsia="仿宋" w:hAnsi="仿宋" w:cs="仿宋"/>
        </w:rPr>
        <w:t>万元，占</w:t>
      </w:r>
      <w:r>
        <w:rPr>
          <w:rFonts w:ascii="仿宋" w:eastAsia="仿宋" w:hAnsi="仿宋" w:cs="仿宋"/>
        </w:rPr>
        <w:t>34.33%</w:t>
      </w:r>
      <w:r>
        <w:rPr>
          <w:rFonts w:ascii="仿宋" w:eastAsia="仿宋" w:hAnsi="仿宋" w:cs="仿宋"/>
        </w:rPr>
        <w:t>；上缴上级支出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；经营支出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；对附属单位补助支出</w:t>
      </w:r>
      <w:r>
        <w:rPr>
          <w:rFonts w:ascii="仿宋" w:eastAsia="仿宋" w:hAnsi="仿宋" w:cs="仿宋"/>
        </w:rPr>
        <w:t>0</w:t>
      </w:r>
      <w:r>
        <w:rPr>
          <w:rFonts w:ascii="仿宋" w:eastAsia="仿宋" w:hAnsi="仿宋" w:cs="仿宋"/>
        </w:rPr>
        <w:t>万元，占</w:t>
      </w:r>
      <w:r>
        <w:rPr>
          <w:rFonts w:ascii="仿宋" w:eastAsia="仿宋" w:hAnsi="仿宋" w:cs="仿宋"/>
        </w:rPr>
        <w:t>0%</w:t>
      </w:r>
      <w:r>
        <w:rPr>
          <w:rFonts w:ascii="仿宋" w:eastAsia="仿宋" w:hAnsi="仿宋" w:cs="仿宋"/>
        </w:rPr>
        <w:t>。</w:t>
      </w:r>
    </w:p>
    <w:p w:rsidR="00D33C55" w:rsidRDefault="00706D03">
      <w:pPr>
        <w:pStyle w:val="a5"/>
        <w:tabs>
          <w:tab w:val="left" w:pos="3864"/>
          <w:tab w:val="left" w:pos="6248"/>
          <w:tab w:val="left" w:pos="7386"/>
        </w:tabs>
        <w:overflowPunct w:val="0"/>
        <w:spacing w:before="1" w:line="360" w:lineRule="auto"/>
        <w:ind w:left="-3" w:right="420" w:firstLine="3"/>
        <w:jc w:val="center"/>
        <w:rPr>
          <w:rFonts w:ascii="仿宋" w:eastAsia="仿宋" w:hAnsi="仿宋" w:cs="仿宋"/>
          <w:lang w:val="en-US"/>
        </w:rPr>
      </w:pPr>
      <w:r>
        <w:rPr>
          <w:rFonts w:ascii="仿宋" w:eastAsia="仿宋" w:hAnsi="仿宋" w:cs="仿宋" w:hint="eastAsia"/>
          <w:noProof/>
          <w:lang w:val="en-US" w:bidi="ar-SA"/>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4"/>
                    <a:stretch>
                      <a:fillRect/>
                    </a:stretch>
                  </pic:blipFill>
                  <pic:spPr>
                    <a:xfrm>
                      <a:off x="0" y="0"/>
                      <a:ext cx="6134100" cy="3429000"/>
                    </a:xfrm>
                    <a:prstGeom prst="rect">
                      <a:avLst/>
                    </a:prstGeom>
                  </pic:spPr>
                </pic:pic>
              </a:graphicData>
            </a:graphic>
          </wp:inline>
        </w:drawing>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四、财政拨款收入支出决算总体情况说明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年度财政拨款收入、支出决算总计</w:t>
      </w:r>
      <w:r>
        <w:rPr>
          <w:rFonts w:ascii="仿宋" w:eastAsia="仿宋" w:hAnsi="仿宋" w:cs="仿宋"/>
        </w:rPr>
        <w:t>38,330.51</w:t>
      </w:r>
      <w:r>
        <w:rPr>
          <w:rFonts w:ascii="仿宋" w:eastAsia="仿宋" w:hAnsi="仿宋" w:cs="仿宋"/>
        </w:rPr>
        <w:t>万元。与上年相比，收、支总计各减少</w:t>
      </w:r>
      <w:r>
        <w:rPr>
          <w:rFonts w:ascii="仿宋" w:eastAsia="仿宋" w:hAnsi="仿宋" w:cs="仿宋"/>
        </w:rPr>
        <w:t>251.29</w:t>
      </w:r>
      <w:r>
        <w:rPr>
          <w:rFonts w:ascii="仿宋" w:eastAsia="仿宋" w:hAnsi="仿宋" w:cs="仿宋"/>
        </w:rPr>
        <w:t>万元，减少</w:t>
      </w:r>
      <w:r>
        <w:rPr>
          <w:rFonts w:ascii="仿宋" w:eastAsia="仿宋" w:hAnsi="仿宋" w:cs="仿宋"/>
        </w:rPr>
        <w:t>0.65%</w:t>
      </w:r>
      <w:r>
        <w:rPr>
          <w:rFonts w:ascii="仿宋" w:eastAsia="仿宋" w:hAnsi="仿宋" w:cs="仿宋"/>
        </w:rPr>
        <w:t>，变动原因：落实</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要求，压减各项经费。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五、财政拨款支出决算情况说明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2025</w:t>
      </w:r>
      <w:r>
        <w:rPr>
          <w:rFonts w:ascii="仿宋" w:eastAsia="仿宋" w:hAnsi="仿宋" w:cs="仿宋"/>
        </w:rPr>
        <w:t>年度财政拨款支出决算</w:t>
      </w:r>
      <w:r>
        <w:rPr>
          <w:rFonts w:ascii="仿宋" w:eastAsia="仿宋" w:hAnsi="仿宋" w:cs="仿宋"/>
        </w:rPr>
        <w:t>37,469.31</w:t>
      </w:r>
      <w:r>
        <w:rPr>
          <w:rFonts w:ascii="仿宋" w:eastAsia="仿宋" w:hAnsi="仿宋" w:cs="仿宋"/>
        </w:rPr>
        <w:t>万元，占本年支出合计的</w:t>
      </w:r>
      <w:r>
        <w:rPr>
          <w:rFonts w:ascii="仿宋" w:eastAsia="仿宋" w:hAnsi="仿宋" w:cs="仿宋"/>
        </w:rPr>
        <w:t>99.61%</w:t>
      </w:r>
      <w:r>
        <w:rPr>
          <w:rFonts w:ascii="仿宋" w:eastAsia="仿宋" w:hAnsi="仿宋" w:cs="仿宋"/>
        </w:rPr>
        <w:t>。与</w:t>
      </w:r>
      <w:r>
        <w:rPr>
          <w:rFonts w:ascii="仿宋" w:eastAsia="仿宋" w:hAnsi="仿宋" w:cs="仿宋"/>
        </w:rPr>
        <w:t>2025</w:t>
      </w:r>
      <w:r>
        <w:rPr>
          <w:rFonts w:ascii="仿宋" w:eastAsia="仿宋" w:hAnsi="仿宋" w:cs="仿宋"/>
        </w:rPr>
        <w:t>年度财政拨款支出年初预算</w:t>
      </w:r>
      <w:r>
        <w:rPr>
          <w:rFonts w:ascii="仿宋" w:eastAsia="仿宋" w:hAnsi="仿宋" w:cs="仿宋"/>
        </w:rPr>
        <w:t>24,694.16</w:t>
      </w:r>
      <w:r>
        <w:rPr>
          <w:rFonts w:ascii="仿宋" w:eastAsia="仿宋" w:hAnsi="仿宋" w:cs="仿宋"/>
        </w:rPr>
        <w:t>万元相比，完成年初预算的</w:t>
      </w:r>
      <w:r>
        <w:rPr>
          <w:rFonts w:ascii="仿宋" w:eastAsia="仿宋" w:hAnsi="仿宋" w:cs="仿宋"/>
        </w:rPr>
        <w:t>151.73%</w:t>
      </w:r>
      <w:r>
        <w:rPr>
          <w:rFonts w:ascii="仿宋" w:eastAsia="仿宋" w:hAnsi="仿宋" w:cs="仿宋"/>
        </w:rPr>
        <w:t>。其中：</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（一）一般公共服务支出（类）</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商贸事务（款）招商引资（项）。年初预算</w:t>
      </w:r>
      <w:r>
        <w:rPr>
          <w:rFonts w:ascii="仿宋" w:eastAsia="仿宋" w:hAnsi="仿宋" w:cs="仿宋"/>
        </w:rPr>
        <w:t>0</w:t>
      </w:r>
      <w:r>
        <w:rPr>
          <w:rFonts w:ascii="仿宋" w:eastAsia="仿宋" w:hAnsi="仿宋" w:cs="仿宋"/>
        </w:rPr>
        <w:t>万元，支出决算</w:t>
      </w:r>
      <w:r>
        <w:rPr>
          <w:rFonts w:ascii="仿宋" w:eastAsia="仿宋" w:hAnsi="仿宋" w:cs="仿宋"/>
        </w:rPr>
        <w:t>17.39</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w:t>
      </w:r>
      <w:r>
        <w:rPr>
          <w:rFonts w:ascii="仿宋" w:eastAsia="仿宋" w:hAnsi="仿宋" w:cs="仿宋"/>
        </w:rPr>
        <w:t>率）决算数与年初预算数的差异原因：年中发生因公出国（境）事项，市财政局追加因公出国（境）经费。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港澳台事务（款）其他港澳台事务支出（项）。年初预算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3.85</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万元，无法计算完成比率）决算数与年初预算数的差异原因：年中发生因公出国（境）事项，市财政局追加因公出国（境）经费。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（二）科学技术支出（类）</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科学技术普及（款）科普活动（项）。年初预算</w:t>
      </w:r>
      <w:r>
        <w:rPr>
          <w:rFonts w:ascii="仿宋" w:eastAsia="仿宋" w:hAnsi="仿宋" w:cs="仿宋"/>
        </w:rPr>
        <w:t>0</w:t>
      </w:r>
      <w:r>
        <w:rPr>
          <w:rFonts w:ascii="仿宋" w:eastAsia="仿宋" w:hAnsi="仿宋" w:cs="仿宋"/>
        </w:rPr>
        <w:t>万元，支出决算</w:t>
      </w:r>
      <w:r>
        <w:rPr>
          <w:rFonts w:ascii="仿宋" w:eastAsia="仿宋" w:hAnsi="仿宋" w:cs="仿宋"/>
        </w:rPr>
        <w:t>4.98</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万元，无法计算完成比率）决算数与年初预算数的差异原因：年中下达省级农业科技产学研合</w:t>
      </w:r>
      <w:r>
        <w:rPr>
          <w:rFonts w:ascii="仿宋" w:eastAsia="仿宋" w:hAnsi="仿宋" w:cs="仿宋"/>
        </w:rPr>
        <w:t>作经费。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其他科学技术支出（款）其他科学技术支出（项）。年初预算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4.94</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万元，无法计算完成比率）决算数与年初预算数的差异原因：年中下达省</w:t>
      </w:r>
      <w:r>
        <w:rPr>
          <w:rFonts w:ascii="仿宋" w:eastAsia="仿宋" w:hAnsi="仿宋" w:cs="仿宋" w:hint="eastAsia"/>
        </w:rPr>
        <w:t>级</w:t>
      </w:r>
      <w:r>
        <w:rPr>
          <w:rFonts w:ascii="仿宋" w:eastAsia="仿宋" w:hAnsi="仿宋" w:cs="仿宋"/>
        </w:rPr>
        <w:t>人才发展专项经费。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（三）社会保障和就业支出（类）</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1.</w:t>
      </w:r>
      <w:r>
        <w:rPr>
          <w:rFonts w:ascii="仿宋" w:eastAsia="仿宋" w:hAnsi="仿宋" w:cs="仿宋"/>
        </w:rPr>
        <w:t>行政事业单位养老支出（款）行政单位离退休（项）。年初预算</w:t>
      </w:r>
      <w:r>
        <w:rPr>
          <w:rFonts w:ascii="仿宋" w:eastAsia="仿宋" w:hAnsi="仿宋" w:cs="仿宋"/>
        </w:rPr>
        <w:t>750.08</w:t>
      </w:r>
      <w:r>
        <w:rPr>
          <w:rFonts w:ascii="仿宋" w:eastAsia="仿宋" w:hAnsi="仿宋" w:cs="仿宋"/>
        </w:rPr>
        <w:t>万元，支出决算</w:t>
      </w:r>
      <w:r>
        <w:rPr>
          <w:rFonts w:ascii="仿宋" w:eastAsia="仿宋" w:hAnsi="仿宋" w:cs="仿宋"/>
        </w:rPr>
        <w:t>863.96</w:t>
      </w:r>
      <w:r>
        <w:rPr>
          <w:rFonts w:ascii="仿宋" w:eastAsia="仿宋" w:hAnsi="仿宋" w:cs="仿宋"/>
        </w:rPr>
        <w:t>万元，完成年初预算的</w:t>
      </w:r>
      <w:r>
        <w:rPr>
          <w:rFonts w:ascii="仿宋" w:eastAsia="仿宋" w:hAnsi="仿宋" w:cs="仿宋"/>
        </w:rPr>
        <w:t>115.18%</w:t>
      </w:r>
      <w:r>
        <w:rPr>
          <w:rFonts w:ascii="仿宋" w:eastAsia="仿宋" w:hAnsi="仿宋" w:cs="仿宋"/>
        </w:rPr>
        <w:t>。决算数与年初预算数的差异原因：行政离退休人员增加。</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行政事业单位养老支出（款）事业单位离退休（项）。年初预算</w:t>
      </w:r>
      <w:r>
        <w:rPr>
          <w:rFonts w:ascii="仿宋" w:eastAsia="仿宋" w:hAnsi="仿宋" w:cs="仿宋"/>
        </w:rPr>
        <w:t>75.69</w:t>
      </w:r>
      <w:r>
        <w:rPr>
          <w:rFonts w:ascii="仿宋" w:eastAsia="仿宋" w:hAnsi="仿宋" w:cs="仿宋"/>
        </w:rPr>
        <w:t>万元，支出决算</w:t>
      </w:r>
      <w:r>
        <w:rPr>
          <w:rFonts w:ascii="仿宋" w:eastAsia="仿宋" w:hAnsi="仿宋" w:cs="仿宋"/>
        </w:rPr>
        <w:t>105.1</w:t>
      </w:r>
      <w:r>
        <w:rPr>
          <w:rFonts w:ascii="仿宋" w:eastAsia="仿宋" w:hAnsi="仿宋" w:cs="仿宋"/>
        </w:rPr>
        <w:t>8</w:t>
      </w:r>
      <w:r>
        <w:rPr>
          <w:rFonts w:ascii="仿宋" w:eastAsia="仿宋" w:hAnsi="仿宋" w:cs="仿宋"/>
        </w:rPr>
        <w:t>万元，完成年初预算的</w:t>
      </w:r>
      <w:r>
        <w:rPr>
          <w:rFonts w:ascii="仿宋" w:eastAsia="仿宋" w:hAnsi="仿宋" w:cs="仿宋"/>
        </w:rPr>
        <w:t>138.96%</w:t>
      </w:r>
      <w:r>
        <w:rPr>
          <w:rFonts w:ascii="仿宋" w:eastAsia="仿宋" w:hAnsi="仿宋" w:cs="仿宋"/>
        </w:rPr>
        <w:t>。决算数与年初预算数的差异原因：事业离退休人员增加。</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行政事业单位养老支出（款）机关事业单位基本养老保险缴费支出（项）。年初预算</w:t>
      </w:r>
      <w:r>
        <w:rPr>
          <w:rFonts w:ascii="仿宋" w:eastAsia="仿宋" w:hAnsi="仿宋" w:cs="仿宋"/>
        </w:rPr>
        <w:t>1,356.24</w:t>
      </w:r>
      <w:r>
        <w:rPr>
          <w:rFonts w:ascii="仿宋" w:eastAsia="仿宋" w:hAnsi="仿宋" w:cs="仿宋"/>
        </w:rPr>
        <w:t>万元，支出决算</w:t>
      </w:r>
      <w:r>
        <w:rPr>
          <w:rFonts w:ascii="仿宋" w:eastAsia="仿宋" w:hAnsi="仿宋" w:cs="仿宋"/>
        </w:rPr>
        <w:t>1,378.68</w:t>
      </w:r>
      <w:r>
        <w:rPr>
          <w:rFonts w:ascii="仿宋" w:eastAsia="仿宋" w:hAnsi="仿宋" w:cs="仿宋"/>
        </w:rPr>
        <w:t>万元，完成年初预算的</w:t>
      </w:r>
      <w:r>
        <w:rPr>
          <w:rFonts w:ascii="仿宋" w:eastAsia="仿宋" w:hAnsi="仿宋" w:cs="仿宋"/>
        </w:rPr>
        <w:t>101.65%</w:t>
      </w:r>
      <w:r>
        <w:rPr>
          <w:rFonts w:ascii="仿宋" w:eastAsia="仿宋" w:hAnsi="仿宋" w:cs="仿宋"/>
        </w:rPr>
        <w:t>。决算数与年初预算数的差异原因：政策性增人增资。</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4.</w:t>
      </w:r>
      <w:r>
        <w:rPr>
          <w:rFonts w:ascii="仿宋" w:eastAsia="仿宋" w:hAnsi="仿宋" w:cs="仿宋"/>
        </w:rPr>
        <w:t>行政事业单位养老支出（款）机关事业单位职业年金缴费支出（项）。年初预算</w:t>
      </w:r>
      <w:r>
        <w:rPr>
          <w:rFonts w:ascii="仿宋" w:eastAsia="仿宋" w:hAnsi="仿宋" w:cs="仿宋"/>
        </w:rPr>
        <w:t>661.65</w:t>
      </w:r>
      <w:r>
        <w:rPr>
          <w:rFonts w:ascii="仿宋" w:eastAsia="仿宋" w:hAnsi="仿宋" w:cs="仿宋"/>
        </w:rPr>
        <w:t>万元，支出决算</w:t>
      </w:r>
      <w:r>
        <w:rPr>
          <w:rFonts w:ascii="仿宋" w:eastAsia="仿宋" w:hAnsi="仿宋" w:cs="仿宋"/>
        </w:rPr>
        <w:t>696.27</w:t>
      </w:r>
      <w:r>
        <w:rPr>
          <w:rFonts w:ascii="仿宋" w:eastAsia="仿宋" w:hAnsi="仿宋" w:cs="仿宋"/>
        </w:rPr>
        <w:t>万元，完成年初预算的</w:t>
      </w:r>
      <w:r>
        <w:rPr>
          <w:rFonts w:ascii="仿宋" w:eastAsia="仿宋" w:hAnsi="仿宋" w:cs="仿宋"/>
        </w:rPr>
        <w:t>105.23%</w:t>
      </w:r>
      <w:r>
        <w:rPr>
          <w:rFonts w:ascii="仿宋" w:eastAsia="仿宋" w:hAnsi="仿宋" w:cs="仿宋"/>
        </w:rPr>
        <w:t>。决算数与年初预算数的差异原因：政策性增人增资。</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5.</w:t>
      </w:r>
      <w:r>
        <w:rPr>
          <w:rFonts w:ascii="仿宋" w:eastAsia="仿宋" w:hAnsi="仿宋" w:cs="仿宋"/>
        </w:rPr>
        <w:t>其他社会保障和就业支出（款）其他社会保障和就业支出（项）。年初预算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2,896.51</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万元，无法计算完成比率）决算数与年初预算数的差异原因：年中市财政追加奶业集团事</w:t>
      </w:r>
      <w:proofErr w:type="gramStart"/>
      <w:r>
        <w:rPr>
          <w:rFonts w:ascii="仿宋" w:eastAsia="仿宋" w:hAnsi="仿宋" w:cs="仿宋"/>
        </w:rPr>
        <w:t>改企人员</w:t>
      </w:r>
      <w:proofErr w:type="gramEnd"/>
      <w:r>
        <w:rPr>
          <w:rFonts w:ascii="仿宋" w:eastAsia="仿宋" w:hAnsi="仿宋" w:cs="仿宋"/>
        </w:rPr>
        <w:t>补助经费、去世人员丧葬费和抚恤金等。</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（四）城乡社区支出（类）</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1.</w:t>
      </w:r>
      <w:r>
        <w:rPr>
          <w:rFonts w:ascii="仿宋" w:eastAsia="仿宋" w:hAnsi="仿宋" w:cs="仿宋"/>
        </w:rPr>
        <w:t>国有土地使用权出让收入安排的支出（款）农业生产发展支出（项）。年初预算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816.03</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万元，无法计算完成比率）决算数与年初预算数的差异原因：年中下达省级和市级现代农业发展补助专项经费。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国有土地使</w:t>
      </w:r>
      <w:r>
        <w:rPr>
          <w:rFonts w:ascii="仿宋" w:eastAsia="仿宋" w:hAnsi="仿宋" w:cs="仿宋"/>
        </w:rPr>
        <w:t>用权出让收入安排的支出（款）农业农村生态环境支出（项）。年初预算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2,790.68</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万元，无法计算完成比率）决算数与年初预算数的差异原因：年中下达市级农业农村公共服务、农业绿色发展等专项经费。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（五）农林水支出（类）</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农业农村（款）行政运行（项）。年初预算</w:t>
      </w:r>
      <w:r>
        <w:rPr>
          <w:rFonts w:ascii="仿宋" w:eastAsia="仿宋" w:hAnsi="仿宋" w:cs="仿宋"/>
        </w:rPr>
        <w:t>4,307.65</w:t>
      </w:r>
      <w:r>
        <w:rPr>
          <w:rFonts w:ascii="仿宋" w:eastAsia="仿宋" w:hAnsi="仿宋" w:cs="仿宋"/>
        </w:rPr>
        <w:t>万元，支出决算</w:t>
      </w:r>
      <w:r>
        <w:rPr>
          <w:rFonts w:ascii="仿宋" w:eastAsia="仿宋" w:hAnsi="仿宋" w:cs="仿宋"/>
        </w:rPr>
        <w:t>4,859.96</w:t>
      </w:r>
      <w:r>
        <w:rPr>
          <w:rFonts w:ascii="仿宋" w:eastAsia="仿宋" w:hAnsi="仿宋" w:cs="仿宋"/>
        </w:rPr>
        <w:t>万元，完成年初预算的</w:t>
      </w:r>
      <w:r>
        <w:rPr>
          <w:rFonts w:ascii="仿宋" w:eastAsia="仿宋" w:hAnsi="仿宋" w:cs="仿宋"/>
        </w:rPr>
        <w:t>112.82%</w:t>
      </w:r>
      <w:r>
        <w:rPr>
          <w:rFonts w:ascii="仿宋" w:eastAsia="仿宋" w:hAnsi="仿宋" w:cs="仿宋"/>
        </w:rPr>
        <w:t>。决算数与年初预算数的差异原因：年中市财政追加政策性增人增资经费。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农业农村（款）一般行政管理事务（项）。年初预算</w:t>
      </w:r>
      <w:r>
        <w:rPr>
          <w:rFonts w:ascii="仿宋" w:eastAsia="仿宋" w:hAnsi="仿宋" w:cs="仿宋"/>
        </w:rPr>
        <w:t>919.79</w:t>
      </w:r>
      <w:r>
        <w:rPr>
          <w:rFonts w:ascii="仿宋" w:eastAsia="仿宋" w:hAnsi="仿宋" w:cs="仿宋"/>
        </w:rPr>
        <w:t>万元，支</w:t>
      </w:r>
      <w:r>
        <w:rPr>
          <w:rFonts w:ascii="仿宋" w:eastAsia="仿宋" w:hAnsi="仿宋" w:cs="仿宋"/>
        </w:rPr>
        <w:t>出决算</w:t>
      </w:r>
      <w:r>
        <w:rPr>
          <w:rFonts w:ascii="仿宋" w:eastAsia="仿宋" w:hAnsi="仿宋" w:cs="仿宋"/>
        </w:rPr>
        <w:t>885.78</w:t>
      </w:r>
      <w:r>
        <w:rPr>
          <w:rFonts w:ascii="仿宋" w:eastAsia="仿宋" w:hAnsi="仿宋" w:cs="仿宋"/>
        </w:rPr>
        <w:t>万元，完成年初预算的</w:t>
      </w:r>
      <w:r>
        <w:rPr>
          <w:rFonts w:ascii="仿宋" w:eastAsia="仿宋" w:hAnsi="仿宋" w:cs="仿宋"/>
        </w:rPr>
        <w:t>96.3%</w:t>
      </w:r>
      <w:r>
        <w:rPr>
          <w:rFonts w:ascii="仿宋" w:eastAsia="仿宋" w:hAnsi="仿宋" w:cs="仿宋"/>
        </w:rPr>
        <w:t>。决算数与年初预算数的差异原因：落实</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要求，压减项目经费等。</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农业农村（款）事业运行（项）。年初预算</w:t>
      </w:r>
      <w:r>
        <w:rPr>
          <w:rFonts w:ascii="仿宋" w:eastAsia="仿宋" w:hAnsi="仿宋" w:cs="仿宋"/>
        </w:rPr>
        <w:t>9,119.2</w:t>
      </w:r>
      <w:r>
        <w:rPr>
          <w:rFonts w:ascii="仿宋" w:eastAsia="仿宋" w:hAnsi="仿宋" w:cs="仿宋"/>
        </w:rPr>
        <w:t>万元，支出决算</w:t>
      </w:r>
      <w:r>
        <w:rPr>
          <w:rFonts w:ascii="仿宋" w:eastAsia="仿宋" w:hAnsi="仿宋" w:cs="仿宋"/>
        </w:rPr>
        <w:t>9,944.08</w:t>
      </w:r>
      <w:r>
        <w:rPr>
          <w:rFonts w:ascii="仿宋" w:eastAsia="仿宋" w:hAnsi="仿宋" w:cs="仿宋"/>
        </w:rPr>
        <w:t>万元，完成年初预算的</w:t>
      </w:r>
      <w:r>
        <w:rPr>
          <w:rFonts w:ascii="仿宋" w:eastAsia="仿宋" w:hAnsi="仿宋" w:cs="仿宋"/>
        </w:rPr>
        <w:t>109.05%</w:t>
      </w:r>
      <w:r>
        <w:rPr>
          <w:rFonts w:ascii="仿宋" w:eastAsia="仿宋" w:hAnsi="仿宋" w:cs="仿宋"/>
        </w:rPr>
        <w:t>。决算数与年初预算数的差异原因：年中市财政追加政策性增人增资</w:t>
      </w:r>
      <w:r>
        <w:rPr>
          <w:rFonts w:ascii="仿宋" w:eastAsia="仿宋" w:hAnsi="仿宋" w:cs="仿宋"/>
        </w:rPr>
        <w:lastRenderedPageBreak/>
        <w:t>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4.</w:t>
      </w:r>
      <w:r>
        <w:rPr>
          <w:rFonts w:ascii="仿宋" w:eastAsia="仿宋" w:hAnsi="仿宋" w:cs="仿宋"/>
        </w:rPr>
        <w:t>农业农村（款）科技转化与推广服务（项）。年初预算</w:t>
      </w:r>
      <w:r>
        <w:rPr>
          <w:rFonts w:ascii="仿宋" w:eastAsia="仿宋" w:hAnsi="仿宋" w:cs="仿宋"/>
        </w:rPr>
        <w:t>197.66</w:t>
      </w:r>
      <w:r>
        <w:rPr>
          <w:rFonts w:ascii="仿宋" w:eastAsia="仿宋" w:hAnsi="仿宋" w:cs="仿宋"/>
        </w:rPr>
        <w:t>万元，支出决算</w:t>
      </w:r>
      <w:r>
        <w:rPr>
          <w:rFonts w:ascii="仿宋" w:eastAsia="仿宋" w:hAnsi="仿宋" w:cs="仿宋"/>
        </w:rPr>
        <w:t>561.06</w:t>
      </w:r>
      <w:r>
        <w:rPr>
          <w:rFonts w:ascii="仿宋" w:eastAsia="仿宋" w:hAnsi="仿宋" w:cs="仿宋"/>
        </w:rPr>
        <w:t>万元，完成年初预算的</w:t>
      </w:r>
      <w:r>
        <w:rPr>
          <w:rFonts w:ascii="仿宋" w:eastAsia="仿宋" w:hAnsi="仿宋" w:cs="仿宋"/>
        </w:rPr>
        <w:t>283.85%</w:t>
      </w:r>
      <w:r>
        <w:rPr>
          <w:rFonts w:ascii="仿宋" w:eastAsia="仿宋" w:hAnsi="仿宋" w:cs="仿宋"/>
        </w:rPr>
        <w:t>。决算数与年初预算数的差异原因：年中下达中央和省级相关专项经费及使用上年结转省级</w:t>
      </w:r>
      <w:r>
        <w:rPr>
          <w:rFonts w:ascii="仿宋" w:eastAsia="仿宋" w:hAnsi="仿宋" w:cs="仿宋"/>
        </w:rPr>
        <w:t>农业科技创新与推广补助专项经费等。</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5.</w:t>
      </w:r>
      <w:r>
        <w:rPr>
          <w:rFonts w:ascii="仿宋" w:eastAsia="仿宋" w:hAnsi="仿宋" w:cs="仿宋"/>
        </w:rPr>
        <w:t>农业农村（款）病虫害控制（项）。年初预算</w:t>
      </w:r>
      <w:r>
        <w:rPr>
          <w:rFonts w:ascii="仿宋" w:eastAsia="仿宋" w:hAnsi="仿宋" w:cs="仿宋"/>
        </w:rPr>
        <w:t>52.22</w:t>
      </w:r>
      <w:r>
        <w:rPr>
          <w:rFonts w:ascii="仿宋" w:eastAsia="仿宋" w:hAnsi="仿宋" w:cs="仿宋"/>
        </w:rPr>
        <w:t>万元，支出决算</w:t>
      </w:r>
      <w:r>
        <w:rPr>
          <w:rFonts w:ascii="仿宋" w:eastAsia="仿宋" w:hAnsi="仿宋" w:cs="仿宋"/>
        </w:rPr>
        <w:t>40.69</w:t>
      </w:r>
      <w:r>
        <w:rPr>
          <w:rFonts w:ascii="仿宋" w:eastAsia="仿宋" w:hAnsi="仿宋" w:cs="仿宋"/>
        </w:rPr>
        <w:t>万元，完成年初预算的</w:t>
      </w:r>
      <w:r>
        <w:rPr>
          <w:rFonts w:ascii="仿宋" w:eastAsia="仿宋" w:hAnsi="仿宋" w:cs="仿宋"/>
        </w:rPr>
        <w:t>77.92%</w:t>
      </w:r>
      <w:r>
        <w:rPr>
          <w:rFonts w:ascii="仿宋" w:eastAsia="仿宋" w:hAnsi="仿宋" w:cs="仿宋"/>
        </w:rPr>
        <w:t>。决算数与年初预算数的差异原因：落实</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要求，压减项目经费等。</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6.</w:t>
      </w:r>
      <w:r>
        <w:rPr>
          <w:rFonts w:ascii="仿宋" w:eastAsia="仿宋" w:hAnsi="仿宋" w:cs="仿宋"/>
        </w:rPr>
        <w:t>农业农村（款）农产品质量安全（项）。年初预算</w:t>
      </w:r>
      <w:r>
        <w:rPr>
          <w:rFonts w:ascii="仿宋" w:eastAsia="仿宋" w:hAnsi="仿宋" w:cs="仿宋"/>
        </w:rPr>
        <w:t>46.51</w:t>
      </w:r>
      <w:r>
        <w:rPr>
          <w:rFonts w:ascii="仿宋" w:eastAsia="仿宋" w:hAnsi="仿宋" w:cs="仿宋"/>
        </w:rPr>
        <w:t>万元，支出决算</w:t>
      </w:r>
      <w:r>
        <w:rPr>
          <w:rFonts w:ascii="仿宋" w:eastAsia="仿宋" w:hAnsi="仿宋" w:cs="仿宋"/>
        </w:rPr>
        <w:t>46.48</w:t>
      </w:r>
      <w:r>
        <w:rPr>
          <w:rFonts w:ascii="仿宋" w:eastAsia="仿宋" w:hAnsi="仿宋" w:cs="仿宋"/>
        </w:rPr>
        <w:t>万元，完成年初预算的</w:t>
      </w:r>
      <w:r>
        <w:rPr>
          <w:rFonts w:ascii="仿宋" w:eastAsia="仿宋" w:hAnsi="仿宋" w:cs="仿宋"/>
        </w:rPr>
        <w:t>99.94%</w:t>
      </w:r>
      <w:r>
        <w:rPr>
          <w:rFonts w:ascii="仿宋" w:eastAsia="仿宋" w:hAnsi="仿宋" w:cs="仿宋"/>
        </w:rPr>
        <w:t>。决算数与年初预算数的差异原因：落实</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要求，压减项目经费等。</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7.</w:t>
      </w:r>
      <w:r>
        <w:rPr>
          <w:rFonts w:ascii="仿宋" w:eastAsia="仿宋" w:hAnsi="仿宋" w:cs="仿宋"/>
        </w:rPr>
        <w:t>农业农村（款）执法监管（项）。年初预算</w:t>
      </w:r>
      <w:r>
        <w:rPr>
          <w:rFonts w:ascii="仿宋" w:eastAsia="仿宋" w:hAnsi="仿宋" w:cs="仿宋"/>
        </w:rPr>
        <w:t>181</w:t>
      </w:r>
      <w:r>
        <w:rPr>
          <w:rFonts w:ascii="仿宋" w:eastAsia="仿宋" w:hAnsi="仿宋" w:cs="仿宋"/>
        </w:rPr>
        <w:t>万元，支出决算</w:t>
      </w:r>
      <w:r>
        <w:rPr>
          <w:rFonts w:ascii="仿宋" w:eastAsia="仿宋" w:hAnsi="仿宋" w:cs="仿宋"/>
        </w:rPr>
        <w:t>166.62</w:t>
      </w:r>
      <w:r>
        <w:rPr>
          <w:rFonts w:ascii="仿宋" w:eastAsia="仿宋" w:hAnsi="仿宋" w:cs="仿宋"/>
        </w:rPr>
        <w:t>万元，完成年初预算的</w:t>
      </w:r>
      <w:r>
        <w:rPr>
          <w:rFonts w:ascii="仿宋" w:eastAsia="仿宋" w:hAnsi="仿宋" w:cs="仿宋"/>
        </w:rPr>
        <w:t>92.06%</w:t>
      </w:r>
      <w:r>
        <w:rPr>
          <w:rFonts w:ascii="仿宋" w:eastAsia="仿宋" w:hAnsi="仿宋" w:cs="仿宋"/>
        </w:rPr>
        <w:t>。</w:t>
      </w:r>
      <w:r>
        <w:rPr>
          <w:rFonts w:ascii="仿宋" w:eastAsia="仿宋" w:hAnsi="仿宋" w:cs="仿宋"/>
        </w:rPr>
        <w:t>决算数与年初预算数的差异原因：落实</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要求，压减项目经费等。</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8.</w:t>
      </w:r>
      <w:r>
        <w:rPr>
          <w:rFonts w:ascii="仿宋" w:eastAsia="仿宋" w:hAnsi="仿宋" w:cs="仿宋"/>
        </w:rPr>
        <w:t>农业农村（款）行业业务管理（项）。年初预算</w:t>
      </w:r>
      <w:r>
        <w:rPr>
          <w:rFonts w:ascii="仿宋" w:eastAsia="仿宋" w:hAnsi="仿宋" w:cs="仿宋"/>
        </w:rPr>
        <w:t>22.2</w:t>
      </w:r>
      <w:r>
        <w:rPr>
          <w:rFonts w:ascii="仿宋" w:eastAsia="仿宋" w:hAnsi="仿宋" w:cs="仿宋"/>
        </w:rPr>
        <w:t>万元，支出决算</w:t>
      </w:r>
      <w:r>
        <w:rPr>
          <w:rFonts w:ascii="仿宋" w:eastAsia="仿宋" w:hAnsi="仿宋" w:cs="仿宋"/>
        </w:rPr>
        <w:t>18.74</w:t>
      </w:r>
      <w:r>
        <w:rPr>
          <w:rFonts w:ascii="仿宋" w:eastAsia="仿宋" w:hAnsi="仿宋" w:cs="仿宋"/>
        </w:rPr>
        <w:t>万元，完成年初预算的</w:t>
      </w:r>
      <w:r>
        <w:rPr>
          <w:rFonts w:ascii="仿宋" w:eastAsia="仿宋" w:hAnsi="仿宋" w:cs="仿宋"/>
        </w:rPr>
        <w:t>84.41%</w:t>
      </w:r>
      <w:r>
        <w:rPr>
          <w:rFonts w:ascii="仿宋" w:eastAsia="仿宋" w:hAnsi="仿宋" w:cs="仿宋"/>
        </w:rPr>
        <w:t>。决算数与年初预算数的差异原因：落实</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要求，压减项目经费等。</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9.</w:t>
      </w:r>
      <w:r>
        <w:rPr>
          <w:rFonts w:ascii="仿宋" w:eastAsia="仿宋" w:hAnsi="仿宋" w:cs="仿宋"/>
        </w:rPr>
        <w:t>农业农村（款）农业生产发展（项）。年初预算</w:t>
      </w:r>
      <w:r>
        <w:rPr>
          <w:rFonts w:ascii="仿宋" w:eastAsia="仿宋" w:hAnsi="仿宋" w:cs="仿宋"/>
        </w:rPr>
        <w:t>0</w:t>
      </w:r>
      <w:r>
        <w:rPr>
          <w:rFonts w:ascii="仿宋" w:eastAsia="仿宋" w:hAnsi="仿宋" w:cs="仿宋"/>
        </w:rPr>
        <w:t>万元，支出决算</w:t>
      </w:r>
      <w:r>
        <w:rPr>
          <w:rFonts w:ascii="仿宋" w:eastAsia="仿宋" w:hAnsi="仿宋" w:cs="仿宋"/>
        </w:rPr>
        <w:t>3,764.3</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万元，无法计算完成比率）决算数与年初预算数的差异原因：年中下达中央和省级相关专项经费及使用上年结转省级现代农业发展专项经费等。</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10.</w:t>
      </w:r>
      <w:r>
        <w:rPr>
          <w:rFonts w:ascii="仿宋" w:eastAsia="仿宋" w:hAnsi="仿宋" w:cs="仿宋"/>
        </w:rPr>
        <w:t>农业农村（款）农业生态资源保</w:t>
      </w:r>
      <w:r>
        <w:rPr>
          <w:rFonts w:ascii="仿宋" w:eastAsia="仿宋" w:hAnsi="仿宋" w:cs="仿宋"/>
        </w:rPr>
        <w:t>护（项）。年初预算</w:t>
      </w:r>
      <w:r>
        <w:rPr>
          <w:rFonts w:ascii="仿宋" w:eastAsia="仿宋" w:hAnsi="仿宋" w:cs="仿宋"/>
        </w:rPr>
        <w:t>56.58</w:t>
      </w:r>
      <w:r>
        <w:rPr>
          <w:rFonts w:ascii="仿宋" w:eastAsia="仿宋" w:hAnsi="仿宋" w:cs="仿宋"/>
        </w:rPr>
        <w:t>万元，支出决算</w:t>
      </w:r>
      <w:r>
        <w:rPr>
          <w:rFonts w:ascii="仿宋" w:eastAsia="仿宋" w:hAnsi="仿宋" w:cs="仿宋"/>
        </w:rPr>
        <w:t>187.77</w:t>
      </w:r>
      <w:r>
        <w:rPr>
          <w:rFonts w:ascii="仿宋" w:eastAsia="仿宋" w:hAnsi="仿宋" w:cs="仿宋"/>
        </w:rPr>
        <w:t>万元，完成年初预算的</w:t>
      </w:r>
      <w:r>
        <w:rPr>
          <w:rFonts w:ascii="仿宋" w:eastAsia="仿宋" w:hAnsi="仿宋" w:cs="仿宋"/>
        </w:rPr>
        <w:t>331.87%</w:t>
      </w:r>
      <w:r>
        <w:rPr>
          <w:rFonts w:ascii="仿宋" w:eastAsia="仿宋" w:hAnsi="仿宋" w:cs="仿宋"/>
        </w:rPr>
        <w:t>。决算数与年初预算数的差异原因：使用上年结转省级农业生态保护与资源利用补助专项经费。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11.</w:t>
      </w:r>
      <w:r>
        <w:rPr>
          <w:rFonts w:ascii="仿宋" w:eastAsia="仿宋" w:hAnsi="仿宋" w:cs="仿宋"/>
        </w:rPr>
        <w:t>农业农村（款）其他农业农村支出（项）。年初预算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311.15</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万元，无法计算完成比率）决算数与年初预算数的差异原因：使用上年结转省级农业生态保护与资源利用补助专项经费。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12.</w:t>
      </w:r>
      <w:r>
        <w:rPr>
          <w:rFonts w:ascii="仿宋" w:eastAsia="仿宋" w:hAnsi="仿宋" w:cs="仿宋"/>
        </w:rPr>
        <w:t>其他农林水支出（款）其他农林水支出（项）。年初预算</w:t>
      </w:r>
      <w:r>
        <w:rPr>
          <w:rFonts w:ascii="仿宋" w:eastAsia="仿宋" w:hAnsi="仿宋" w:cs="仿宋"/>
        </w:rPr>
        <w:t>0</w:t>
      </w:r>
      <w:r>
        <w:rPr>
          <w:rFonts w:ascii="仿宋" w:eastAsia="仿宋" w:hAnsi="仿宋" w:cs="仿宋"/>
        </w:rPr>
        <w:t>万元，支出决算</w:t>
      </w:r>
      <w:r>
        <w:rPr>
          <w:rFonts w:ascii="仿宋" w:eastAsia="仿宋" w:hAnsi="仿宋" w:cs="仿宋"/>
        </w:rPr>
        <w:t>3.49</w:t>
      </w:r>
      <w:r>
        <w:rPr>
          <w:rFonts w:ascii="仿宋" w:eastAsia="仿宋" w:hAnsi="仿宋" w:cs="仿宋"/>
        </w:rPr>
        <w:t>万元，（年初预算数为</w:t>
      </w:r>
      <w:r>
        <w:rPr>
          <w:rFonts w:ascii="仿宋" w:eastAsia="仿宋" w:hAnsi="仿宋" w:cs="仿宋"/>
        </w:rPr>
        <w:t>0</w:t>
      </w:r>
      <w:r>
        <w:rPr>
          <w:rFonts w:ascii="仿宋" w:eastAsia="仿宋" w:hAnsi="仿宋" w:cs="仿宋"/>
        </w:rPr>
        <w:t>万元，无法计算完成比率）决</w:t>
      </w:r>
      <w:r>
        <w:rPr>
          <w:rFonts w:ascii="仿宋" w:eastAsia="仿宋" w:hAnsi="仿宋" w:cs="仿宋"/>
        </w:rPr>
        <w:t>算数与年初预算数的差异原因：年中下达市级信息化服务提升经费。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（六）住房保障支出（类）</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住房改革支出（款）住房公积金（项）。年初预算</w:t>
      </w:r>
      <w:r>
        <w:rPr>
          <w:rFonts w:ascii="仿宋" w:eastAsia="仿宋" w:hAnsi="仿宋" w:cs="仿宋"/>
        </w:rPr>
        <w:t>1,472.8</w:t>
      </w:r>
      <w:r>
        <w:rPr>
          <w:rFonts w:ascii="仿宋" w:eastAsia="仿宋" w:hAnsi="仿宋" w:cs="仿宋"/>
        </w:rPr>
        <w:t>万元，支出决算</w:t>
      </w:r>
      <w:r>
        <w:rPr>
          <w:rFonts w:ascii="仿宋" w:eastAsia="仿宋" w:hAnsi="仿宋" w:cs="仿宋"/>
        </w:rPr>
        <w:t>1,577.76</w:t>
      </w:r>
      <w:r>
        <w:rPr>
          <w:rFonts w:ascii="仿宋" w:eastAsia="仿宋" w:hAnsi="仿宋" w:cs="仿宋"/>
        </w:rPr>
        <w:t>万元，完成年初预算的</w:t>
      </w:r>
      <w:r>
        <w:rPr>
          <w:rFonts w:ascii="仿宋" w:eastAsia="仿宋" w:hAnsi="仿宋" w:cs="仿宋"/>
        </w:rPr>
        <w:t>107.13%</w:t>
      </w:r>
      <w:r>
        <w:rPr>
          <w:rFonts w:ascii="仿宋" w:eastAsia="仿宋" w:hAnsi="仿宋" w:cs="仿宋"/>
        </w:rPr>
        <w:t>。决算数与年初预算数的差异原因：市财政追加公积金调整及补缴经费。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2.</w:t>
      </w:r>
      <w:r>
        <w:rPr>
          <w:rFonts w:ascii="仿宋" w:eastAsia="仿宋" w:hAnsi="仿宋" w:cs="仿宋"/>
        </w:rPr>
        <w:t>住房改革支出（款）提租补贴（项）。年初预算</w:t>
      </w:r>
      <w:r>
        <w:rPr>
          <w:rFonts w:ascii="仿宋" w:eastAsia="仿宋" w:hAnsi="仿宋" w:cs="仿宋"/>
        </w:rPr>
        <w:t>5,474.89</w:t>
      </w:r>
      <w:r>
        <w:rPr>
          <w:rFonts w:ascii="仿宋" w:eastAsia="仿宋" w:hAnsi="仿宋" w:cs="仿宋"/>
        </w:rPr>
        <w:t>万元，支出决算</w:t>
      </w:r>
      <w:r>
        <w:rPr>
          <w:rFonts w:ascii="仿宋" w:eastAsia="仿宋" w:hAnsi="仿宋" w:cs="仿宋"/>
        </w:rPr>
        <w:t>5,522.97</w:t>
      </w:r>
      <w:r>
        <w:rPr>
          <w:rFonts w:ascii="仿宋" w:eastAsia="仿宋" w:hAnsi="仿宋" w:cs="仿宋"/>
        </w:rPr>
        <w:t>万元，完成年初预算的</w:t>
      </w:r>
      <w:r>
        <w:rPr>
          <w:rFonts w:ascii="仿宋" w:eastAsia="仿宋" w:hAnsi="仿宋" w:cs="仿宋"/>
        </w:rPr>
        <w:t>100.88%</w:t>
      </w:r>
      <w:r>
        <w:rPr>
          <w:rFonts w:ascii="仿宋" w:eastAsia="仿宋" w:hAnsi="仿宋" w:cs="仿宋"/>
        </w:rPr>
        <w:t>。决算数与年初预算数的差异原因：市财政追加政策性增人增资提租补贴部分。</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六、财政拨款基本支出决算情况说明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年度财政拨款基本支出决算</w:t>
      </w:r>
      <w:r>
        <w:rPr>
          <w:rFonts w:ascii="仿宋" w:eastAsia="仿宋" w:hAnsi="仿宋" w:cs="仿宋"/>
        </w:rPr>
        <w:t>24,622.38</w:t>
      </w:r>
      <w:r>
        <w:rPr>
          <w:rFonts w:ascii="仿宋" w:eastAsia="仿宋" w:hAnsi="仿宋" w:cs="仿宋"/>
        </w:rPr>
        <w:t>万元，其中：</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w:t>
      </w:r>
      <w:r>
        <w:rPr>
          <w:rFonts w:ascii="楷体" w:eastAsia="楷体" w:hAnsi="楷体" w:cs="楷体"/>
        </w:rPr>
        <w:t>22,674.39</w:t>
      </w:r>
      <w:r>
        <w:rPr>
          <w:rFonts w:ascii="楷体" w:eastAsia="楷体" w:hAnsi="楷体" w:cs="楷体"/>
        </w:rPr>
        <w:t>万元。</w:t>
      </w:r>
      <w:r>
        <w:rPr>
          <w:rFonts w:ascii="仿宋" w:eastAsia="仿宋" w:hAnsi="仿宋" w:cs="仿宋"/>
        </w:rPr>
        <w:t>主要包括：基本工资、津贴补贴、奖金、绩效工资、机关事业单位基本养老保险缴费、职业年金缴费、职工基本医疗保险缴费、其他社会保障缴费、住房公积金、医疗费、其他工资福利支出、离休费、退休费、抚恤金、生活补助、医疗费补助、奖励金、其他对个人和家庭的补助。</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w:t>
      </w:r>
      <w:r>
        <w:rPr>
          <w:rFonts w:ascii="楷体" w:eastAsia="楷体" w:hAnsi="楷体" w:cs="楷体"/>
        </w:rPr>
        <w:t>1,947.99</w:t>
      </w:r>
      <w:r>
        <w:rPr>
          <w:rFonts w:ascii="楷体" w:eastAsia="楷体" w:hAnsi="楷体" w:cs="楷体"/>
        </w:rPr>
        <w:t>万元。</w:t>
      </w:r>
      <w:r>
        <w:rPr>
          <w:rFonts w:ascii="仿宋" w:eastAsia="仿宋" w:hAnsi="仿宋" w:cs="仿宋"/>
        </w:rPr>
        <w:t>主要包括：办公费、印刷费、手续费、水费、电费、邮电费、物业管理费、差旅费、维修（护）费、租赁费、会议费、培训费、公务接待费、专用材料费、劳务费、委托业务费、工会经费、福利费、公务用车运行维护费、其他交通费用、税金及附加费用、其他商品和服务支出。</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七、一般公共预算支出决算情况说明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年度一般公共预算财政拨款支出决算</w:t>
      </w:r>
      <w:r>
        <w:rPr>
          <w:rFonts w:ascii="仿宋" w:eastAsia="仿宋" w:hAnsi="仿宋" w:cs="仿宋"/>
        </w:rPr>
        <w:t>33,862.6</w:t>
      </w:r>
      <w:r>
        <w:rPr>
          <w:rFonts w:ascii="仿宋" w:eastAsia="仿宋" w:hAnsi="仿宋" w:cs="仿宋"/>
        </w:rPr>
        <w:t>万元。与上年相比，增加</w:t>
      </w:r>
      <w:r>
        <w:rPr>
          <w:rFonts w:ascii="仿宋" w:eastAsia="仿宋" w:hAnsi="仿宋" w:cs="仿宋"/>
        </w:rPr>
        <w:t>3,662.79</w:t>
      </w:r>
      <w:r>
        <w:rPr>
          <w:rFonts w:ascii="仿宋" w:eastAsia="仿宋" w:hAnsi="仿宋" w:cs="仿宋"/>
        </w:rPr>
        <w:t>万元，增长</w:t>
      </w:r>
      <w:r>
        <w:rPr>
          <w:rFonts w:ascii="仿宋" w:eastAsia="仿宋" w:hAnsi="仿宋" w:cs="仿宋"/>
        </w:rPr>
        <w:t>12.13%</w:t>
      </w:r>
      <w:r>
        <w:rPr>
          <w:rFonts w:ascii="仿宋" w:eastAsia="仿宋" w:hAnsi="仿宋" w:cs="仿宋"/>
        </w:rPr>
        <w:t>，变动原因：上年年中下达的</w:t>
      </w:r>
      <w:proofErr w:type="gramStart"/>
      <w:r>
        <w:rPr>
          <w:rFonts w:ascii="仿宋" w:eastAsia="仿宋" w:hAnsi="仿宋" w:cs="仿宋"/>
        </w:rPr>
        <w:t>各级资金</w:t>
      </w:r>
      <w:proofErr w:type="gramEnd"/>
      <w:r>
        <w:rPr>
          <w:rFonts w:ascii="仿宋" w:eastAsia="仿宋" w:hAnsi="仿宋" w:cs="仿宋"/>
        </w:rPr>
        <w:t>和结转的部</w:t>
      </w:r>
      <w:proofErr w:type="gramStart"/>
      <w:r>
        <w:rPr>
          <w:rFonts w:ascii="仿宋" w:eastAsia="仿宋" w:hAnsi="仿宋" w:cs="仿宋"/>
        </w:rPr>
        <w:t>省级资金</w:t>
      </w:r>
      <w:proofErr w:type="gramEnd"/>
      <w:r>
        <w:rPr>
          <w:rFonts w:ascii="仿宋" w:eastAsia="仿宋" w:hAnsi="仿宋" w:cs="仿宋"/>
        </w:rPr>
        <w:t>主要为政府</w:t>
      </w:r>
      <w:r>
        <w:rPr>
          <w:rFonts w:ascii="仿宋" w:eastAsia="仿宋" w:hAnsi="仿宋" w:cs="仿宋"/>
        </w:rPr>
        <w:lastRenderedPageBreak/>
        <w:t>性基金预算资金，本年部分部省市</w:t>
      </w:r>
      <w:proofErr w:type="gramStart"/>
      <w:r>
        <w:rPr>
          <w:rFonts w:ascii="仿宋" w:eastAsia="仿宋" w:hAnsi="仿宋" w:cs="仿宋"/>
        </w:rPr>
        <w:t>级资金</w:t>
      </w:r>
      <w:proofErr w:type="gramEnd"/>
      <w:r>
        <w:rPr>
          <w:rFonts w:ascii="仿宋" w:eastAsia="仿宋" w:hAnsi="仿宋" w:cs="仿宋"/>
        </w:rPr>
        <w:t>以一般公共预算财政</w:t>
      </w:r>
      <w:r>
        <w:rPr>
          <w:rFonts w:ascii="仿宋" w:eastAsia="仿宋" w:hAnsi="仿宋" w:cs="仿宋"/>
        </w:rPr>
        <w:t>拨款性质下达。</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八、一般公共预算基本支出决算情况说明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年度一般公共预算财政拨款基本支出决算</w:t>
      </w:r>
      <w:r>
        <w:rPr>
          <w:rFonts w:ascii="仿宋" w:eastAsia="仿宋" w:hAnsi="仿宋" w:cs="仿宋"/>
        </w:rPr>
        <w:t>24,622.38</w:t>
      </w:r>
      <w:r>
        <w:rPr>
          <w:rFonts w:ascii="仿宋" w:eastAsia="仿宋" w:hAnsi="仿宋" w:cs="仿宋"/>
        </w:rPr>
        <w:t>万元，其中：</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（一）人员经费</w:t>
      </w:r>
      <w:r>
        <w:rPr>
          <w:rFonts w:ascii="楷体" w:eastAsia="楷体" w:hAnsi="楷体" w:cs="楷体"/>
        </w:rPr>
        <w:t>22,674.39</w:t>
      </w:r>
      <w:r>
        <w:rPr>
          <w:rFonts w:ascii="楷体" w:eastAsia="楷体" w:hAnsi="楷体" w:cs="楷体"/>
        </w:rPr>
        <w:t>万元。</w:t>
      </w:r>
      <w:r>
        <w:rPr>
          <w:rFonts w:ascii="仿宋" w:eastAsia="仿宋" w:hAnsi="仿宋" w:cs="仿宋"/>
        </w:rPr>
        <w:t>主要包括：基本工资、津贴补贴、奖金、绩效工资、机关事业单位基本养老保险缴费、职业年金缴费、职工基本医疗保险缴费、其他社会保障缴费、住房公积金、医疗费、其他工资福利支出、离休费、退休费、抚恤金、生活补助、医疗费补助、奖励金、其他对个人和家庭的补助。</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楷体" w:eastAsia="楷体" w:hAnsi="楷体" w:cs="楷体"/>
        </w:rPr>
        <w:t>（二）公用经费</w:t>
      </w:r>
      <w:r>
        <w:rPr>
          <w:rFonts w:ascii="楷体" w:eastAsia="楷体" w:hAnsi="楷体" w:cs="楷体"/>
        </w:rPr>
        <w:t>1,947.99</w:t>
      </w:r>
      <w:r>
        <w:rPr>
          <w:rFonts w:ascii="楷体" w:eastAsia="楷体" w:hAnsi="楷体" w:cs="楷体"/>
        </w:rPr>
        <w:t>万元。</w:t>
      </w:r>
      <w:r>
        <w:rPr>
          <w:rFonts w:ascii="仿宋" w:eastAsia="仿宋" w:hAnsi="仿宋" w:cs="仿宋"/>
        </w:rPr>
        <w:t>主要包括：办公费、印刷费、手续费、水费、电费、邮电费、物业管</w:t>
      </w:r>
      <w:r>
        <w:rPr>
          <w:rFonts w:ascii="仿宋" w:eastAsia="仿宋" w:hAnsi="仿宋" w:cs="仿宋"/>
        </w:rPr>
        <w:t>理费、差旅费、维修（护）费、租赁费、会议费、培训费、公务接待费、专用材料费、劳务费、委托业务费、工会经费、福利费、公务用车运行维护费、其他交通费用、税金及附加费用、其他商品和服务支出。</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九、财政拨款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经费、会议费、培训费支出情况说明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（一）财政拨款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经费支出总体情况说明。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经费支出决算</w:t>
      </w:r>
      <w:r>
        <w:rPr>
          <w:rFonts w:ascii="仿宋" w:eastAsia="仿宋" w:hAnsi="仿宋" w:cs="仿宋"/>
        </w:rPr>
        <w:t>78.18</w:t>
      </w:r>
      <w:r>
        <w:rPr>
          <w:rFonts w:ascii="仿宋" w:eastAsia="仿宋" w:hAnsi="仿宋" w:cs="仿宋"/>
        </w:rPr>
        <w:t>万元（其中：一般公共预算支出</w:t>
      </w:r>
      <w:r>
        <w:rPr>
          <w:rFonts w:ascii="仿宋" w:eastAsia="仿宋" w:hAnsi="仿宋" w:cs="仿宋"/>
        </w:rPr>
        <w:t>78.18</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w:t>
      </w:r>
      <w:r>
        <w:rPr>
          <w:rFonts w:ascii="仿宋" w:eastAsia="仿宋" w:hAnsi="仿宋" w:cs="仿宋"/>
        </w:rPr>
        <w:lastRenderedPageBreak/>
        <w:t>元；国有资本经营预算支出</w:t>
      </w:r>
      <w:r>
        <w:rPr>
          <w:rFonts w:ascii="仿宋" w:eastAsia="仿宋" w:hAnsi="仿宋" w:cs="仿宋"/>
        </w:rPr>
        <w:t>0</w:t>
      </w:r>
      <w:r>
        <w:rPr>
          <w:rFonts w:ascii="仿宋" w:eastAsia="仿宋" w:hAnsi="仿宋" w:cs="仿宋"/>
        </w:rPr>
        <w:t>万元）。与上年相比，增加</w:t>
      </w:r>
      <w:r>
        <w:rPr>
          <w:rFonts w:ascii="仿宋" w:eastAsia="仿宋" w:hAnsi="仿宋" w:cs="仿宋"/>
        </w:rPr>
        <w:t>8.93</w:t>
      </w:r>
      <w:r>
        <w:rPr>
          <w:rFonts w:ascii="仿宋" w:eastAsia="仿宋" w:hAnsi="仿宋" w:cs="仿宋"/>
        </w:rPr>
        <w:t>万元，变动原因：与上年相比，本年发生因公出国（境）事</w:t>
      </w:r>
      <w:r>
        <w:rPr>
          <w:rFonts w:ascii="仿宋" w:eastAsia="仿宋" w:hAnsi="仿宋" w:cs="仿宋"/>
        </w:rPr>
        <w:t>项，市财政局追加因公出国（境）经费。其中，因公出国（境）费支出</w:t>
      </w:r>
      <w:r>
        <w:rPr>
          <w:rFonts w:ascii="仿宋" w:eastAsia="仿宋" w:hAnsi="仿宋" w:cs="仿宋"/>
        </w:rPr>
        <w:t>21.24</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27.17%</w:t>
      </w:r>
      <w:r>
        <w:rPr>
          <w:rFonts w:ascii="仿宋" w:eastAsia="仿宋" w:hAnsi="仿宋" w:cs="仿宋"/>
        </w:rPr>
        <w:t>；公务用车购置及运行维护费支出</w:t>
      </w:r>
      <w:r>
        <w:rPr>
          <w:rFonts w:ascii="仿宋" w:eastAsia="仿宋" w:hAnsi="仿宋" w:cs="仿宋"/>
        </w:rPr>
        <w:t>48.92</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62.58%</w:t>
      </w:r>
      <w:r>
        <w:rPr>
          <w:rFonts w:ascii="仿宋" w:eastAsia="仿宋" w:hAnsi="仿宋" w:cs="仿宋"/>
        </w:rPr>
        <w:t>；公务接待费支出</w:t>
      </w:r>
      <w:r>
        <w:rPr>
          <w:rFonts w:ascii="仿宋" w:eastAsia="仿宋" w:hAnsi="仿宋" w:cs="仿宋"/>
        </w:rPr>
        <w:t>8.01</w:t>
      </w:r>
      <w:r>
        <w:rPr>
          <w:rFonts w:ascii="仿宋" w:eastAsia="仿宋" w:hAnsi="仿宋" w:cs="仿宋"/>
        </w:rPr>
        <w:t>万元，占</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经费的</w:t>
      </w:r>
      <w:r>
        <w:rPr>
          <w:rFonts w:ascii="仿宋" w:eastAsia="仿宋" w:hAnsi="仿宋" w:cs="仿宋"/>
        </w:rPr>
        <w:t>10.25%</w:t>
      </w:r>
      <w:r>
        <w:rPr>
          <w:rFonts w:ascii="仿宋" w:eastAsia="仿宋" w:hAnsi="仿宋" w:cs="仿宋"/>
        </w:rPr>
        <w:t>。</w:t>
      </w:r>
      <w:r>
        <w:rPr>
          <w:rFonts w:ascii="仿宋" w:eastAsia="仿宋" w:hAnsi="仿宋" w:cs="仿宋"/>
        </w:rPr>
        <w:t>2025</w:t>
      </w:r>
      <w:r>
        <w:rPr>
          <w:rFonts w:ascii="仿宋" w:eastAsia="仿宋" w:hAnsi="仿宋" w:cs="仿宋"/>
        </w:rPr>
        <w:t>年度财政拨款</w:t>
      </w:r>
      <w:r>
        <w:rPr>
          <w:rFonts w:ascii="仿宋" w:eastAsia="仿宋" w:hAnsi="仿宋" w:cs="仿宋"/>
        </w:rPr>
        <w:t>“</w:t>
      </w:r>
      <w:r>
        <w:rPr>
          <w:rFonts w:ascii="仿宋" w:eastAsia="仿宋" w:hAnsi="仿宋" w:cs="仿宋"/>
        </w:rPr>
        <w:t>三公</w:t>
      </w:r>
      <w:r>
        <w:rPr>
          <w:rFonts w:ascii="仿宋" w:eastAsia="仿宋" w:hAnsi="仿宋" w:cs="仿宋"/>
        </w:rPr>
        <w:t>”</w:t>
      </w:r>
      <w:r>
        <w:rPr>
          <w:rFonts w:ascii="仿宋" w:eastAsia="仿宋" w:hAnsi="仿宋" w:cs="仿宋"/>
        </w:rPr>
        <w:t>经费支出预算</w:t>
      </w:r>
      <w:r>
        <w:rPr>
          <w:rFonts w:ascii="仿宋" w:eastAsia="仿宋" w:hAnsi="仿宋" w:cs="仿宋"/>
        </w:rPr>
        <w:t>94.84</w:t>
      </w:r>
      <w:r>
        <w:rPr>
          <w:rFonts w:ascii="仿宋" w:eastAsia="仿宋" w:hAnsi="仿宋" w:cs="仿宋"/>
        </w:rPr>
        <w:t>万元（其中：一般公共预算支出</w:t>
      </w:r>
      <w:r>
        <w:rPr>
          <w:rFonts w:ascii="仿宋" w:eastAsia="仿宋" w:hAnsi="仿宋" w:cs="仿宋"/>
        </w:rPr>
        <w:t>94.84</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万元）。决算数与预算数的差异原因：本年发生因公出国（境）事项，市财政局追加因公出国（境）经费。</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（二）财政拨款</w:t>
      </w:r>
      <w:r>
        <w:rPr>
          <w:rFonts w:ascii="仿宋" w:eastAsia="仿宋" w:hAnsi="仿宋" w:cs="仿宋"/>
          <w:b/>
        </w:rPr>
        <w:t>“</w:t>
      </w:r>
      <w:r>
        <w:rPr>
          <w:rFonts w:ascii="仿宋" w:eastAsia="仿宋" w:hAnsi="仿宋" w:cs="仿宋"/>
          <w:b/>
        </w:rPr>
        <w:t>三公</w:t>
      </w:r>
      <w:r>
        <w:rPr>
          <w:rFonts w:ascii="仿宋" w:eastAsia="仿宋" w:hAnsi="仿宋" w:cs="仿宋"/>
          <w:b/>
        </w:rPr>
        <w:t>”</w:t>
      </w:r>
      <w:r>
        <w:rPr>
          <w:rFonts w:ascii="仿宋" w:eastAsia="仿宋" w:hAnsi="仿宋" w:cs="仿宋"/>
          <w:b/>
        </w:rPr>
        <w:t>经费支出具体</w:t>
      </w:r>
      <w:r>
        <w:rPr>
          <w:rFonts w:ascii="仿宋" w:eastAsia="仿宋" w:hAnsi="仿宋" w:cs="仿宋"/>
          <w:b/>
        </w:rPr>
        <w:t>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1</w:t>
      </w:r>
      <w:r>
        <w:rPr>
          <w:rFonts w:ascii="仿宋" w:eastAsia="仿宋" w:hAnsi="仿宋" w:cs="仿宋"/>
        </w:rPr>
        <w:t>．因公出国（境）费支出预算</w:t>
      </w:r>
      <w:r>
        <w:rPr>
          <w:rFonts w:ascii="仿宋" w:eastAsia="仿宋" w:hAnsi="仿宋" w:cs="仿宋"/>
        </w:rPr>
        <w:t>21.24</w:t>
      </w:r>
      <w:r>
        <w:rPr>
          <w:rFonts w:ascii="仿宋" w:eastAsia="仿宋" w:hAnsi="仿宋" w:cs="仿宋"/>
        </w:rPr>
        <w:t>万元（其中：一般公共预算支出</w:t>
      </w:r>
      <w:r>
        <w:rPr>
          <w:rFonts w:ascii="仿宋" w:eastAsia="仿宋" w:hAnsi="仿宋" w:cs="仿宋"/>
        </w:rPr>
        <w:t>21.24</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21.24</w:t>
      </w:r>
      <w:r>
        <w:rPr>
          <w:rFonts w:ascii="仿宋" w:eastAsia="仿宋" w:hAnsi="仿宋" w:cs="仿宋"/>
        </w:rPr>
        <w:t>万元（其中：一般公共预算支出</w:t>
      </w:r>
      <w:r>
        <w:rPr>
          <w:rFonts w:ascii="仿宋" w:eastAsia="仿宋" w:hAnsi="仿宋" w:cs="仿宋"/>
        </w:rPr>
        <w:t>21.24</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w:t>
      </w:r>
      <w:proofErr w:type="gramStart"/>
      <w:r>
        <w:rPr>
          <w:rFonts w:ascii="仿宋" w:eastAsia="仿宋" w:hAnsi="仿宋" w:cs="仿宋"/>
        </w:rPr>
        <w:t>后预算</w:t>
      </w:r>
      <w:proofErr w:type="gramEnd"/>
      <w:r>
        <w:rPr>
          <w:rFonts w:ascii="仿宋" w:eastAsia="仿宋" w:hAnsi="仿宋" w:cs="仿宋"/>
        </w:rPr>
        <w:t>的</w:t>
      </w:r>
      <w:r>
        <w:rPr>
          <w:rFonts w:ascii="仿宋" w:eastAsia="仿宋" w:hAnsi="仿宋" w:cs="仿宋"/>
        </w:rPr>
        <w:t>100%</w:t>
      </w:r>
      <w:r>
        <w:rPr>
          <w:rFonts w:ascii="仿宋" w:eastAsia="仿宋" w:hAnsi="仿宋" w:cs="仿宋"/>
        </w:rPr>
        <w:t>，决算数与预算数相同。全年使用财政拨款涉及的出国（境）团组</w:t>
      </w:r>
      <w:r>
        <w:rPr>
          <w:rFonts w:ascii="仿宋" w:eastAsia="仿宋" w:hAnsi="仿宋" w:cs="仿宋"/>
        </w:rPr>
        <w:t>3</w:t>
      </w:r>
      <w:r>
        <w:rPr>
          <w:rFonts w:ascii="仿宋" w:eastAsia="仿宋" w:hAnsi="仿宋" w:cs="仿宋"/>
        </w:rPr>
        <w:t>个，累计</w:t>
      </w:r>
      <w:r>
        <w:rPr>
          <w:rFonts w:ascii="仿宋" w:eastAsia="仿宋" w:hAnsi="仿宋" w:cs="仿宋"/>
        </w:rPr>
        <w:t>4</w:t>
      </w:r>
      <w:r>
        <w:rPr>
          <w:rFonts w:ascii="仿宋" w:eastAsia="仿宋" w:hAnsi="仿宋" w:cs="仿宋"/>
        </w:rPr>
        <w:t>人次。开支内容：出国（境）开展</w:t>
      </w:r>
      <w:proofErr w:type="gramStart"/>
      <w:r>
        <w:rPr>
          <w:rFonts w:ascii="仿宋" w:eastAsia="仿宋" w:hAnsi="仿宋" w:cs="仿宋"/>
        </w:rPr>
        <w:t>农业经贸</w:t>
      </w:r>
      <w:proofErr w:type="gramEnd"/>
      <w:r>
        <w:rPr>
          <w:rFonts w:ascii="仿宋" w:eastAsia="仿宋" w:hAnsi="仿宋" w:cs="仿宋"/>
        </w:rPr>
        <w:t>交流合作等。</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w:t>
      </w:r>
      <w:r>
        <w:rPr>
          <w:rFonts w:ascii="仿宋" w:eastAsia="仿宋" w:hAnsi="仿宋" w:cs="仿宋"/>
        </w:rPr>
        <w:t>．公务用车购置及运行维护费支出预算</w:t>
      </w:r>
      <w:r>
        <w:rPr>
          <w:rFonts w:ascii="仿宋" w:eastAsia="仿宋" w:hAnsi="仿宋" w:cs="仿宋"/>
        </w:rPr>
        <w:t>55.14</w:t>
      </w:r>
      <w:r>
        <w:rPr>
          <w:rFonts w:ascii="仿宋" w:eastAsia="仿宋" w:hAnsi="仿宋" w:cs="仿宋"/>
        </w:rPr>
        <w:t>万元（其中：一般公共预算支出</w:t>
      </w:r>
      <w:r>
        <w:rPr>
          <w:rFonts w:ascii="仿宋" w:eastAsia="仿宋" w:hAnsi="仿宋" w:cs="仿宋"/>
        </w:rPr>
        <w:t>55.14</w:t>
      </w:r>
      <w:r>
        <w:rPr>
          <w:rFonts w:ascii="仿宋" w:eastAsia="仿宋" w:hAnsi="仿宋" w:cs="仿宋"/>
        </w:rPr>
        <w:t>万元；政府性基</w:t>
      </w:r>
      <w:r>
        <w:rPr>
          <w:rFonts w:ascii="仿宋" w:eastAsia="仿宋" w:hAnsi="仿宋" w:cs="仿宋"/>
        </w:rPr>
        <w:t>金预算支出</w:t>
      </w:r>
      <w:r>
        <w:rPr>
          <w:rFonts w:ascii="仿宋" w:eastAsia="仿宋" w:hAnsi="仿宋" w:cs="仿宋"/>
        </w:rPr>
        <w:t>0</w:t>
      </w:r>
      <w:r>
        <w:rPr>
          <w:rFonts w:ascii="仿宋" w:eastAsia="仿宋" w:hAnsi="仿宋" w:cs="仿宋"/>
        </w:rPr>
        <w:t>万</w:t>
      </w:r>
      <w:r>
        <w:rPr>
          <w:rFonts w:ascii="仿宋" w:eastAsia="仿宋" w:hAnsi="仿宋" w:cs="仿宋"/>
        </w:rPr>
        <w:lastRenderedPageBreak/>
        <w:t>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48.92</w:t>
      </w:r>
      <w:r>
        <w:rPr>
          <w:rFonts w:ascii="仿宋" w:eastAsia="仿宋" w:hAnsi="仿宋" w:cs="仿宋"/>
        </w:rPr>
        <w:t>万元（其中：一般公共预算支出</w:t>
      </w:r>
      <w:r>
        <w:rPr>
          <w:rFonts w:ascii="仿宋" w:eastAsia="仿宋" w:hAnsi="仿宋" w:cs="仿宋"/>
        </w:rPr>
        <w:t>48.92</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w:t>
      </w:r>
      <w:proofErr w:type="gramStart"/>
      <w:r>
        <w:rPr>
          <w:rFonts w:ascii="仿宋" w:eastAsia="仿宋" w:hAnsi="仿宋" w:cs="仿宋"/>
        </w:rPr>
        <w:t>后预算</w:t>
      </w:r>
      <w:proofErr w:type="gramEnd"/>
      <w:r>
        <w:rPr>
          <w:rFonts w:ascii="仿宋" w:eastAsia="仿宋" w:hAnsi="仿宋" w:cs="仿宋"/>
        </w:rPr>
        <w:t>的</w:t>
      </w:r>
      <w:r>
        <w:rPr>
          <w:rFonts w:ascii="仿宋" w:eastAsia="仿宋" w:hAnsi="仿宋" w:cs="仿宋"/>
        </w:rPr>
        <w:t>88.72%</w:t>
      </w:r>
      <w:r>
        <w:rPr>
          <w:rFonts w:ascii="仿宋" w:eastAsia="仿宋" w:hAnsi="仿宋" w:cs="仿宋"/>
        </w:rPr>
        <w:t>，决算数与预算数的差异原因：落实</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要求，从严控制公务用车类经费支出等。其中：</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1</w:t>
      </w:r>
      <w:r>
        <w:rPr>
          <w:rFonts w:ascii="仿宋" w:eastAsia="仿宋" w:hAnsi="仿宋" w:cs="仿宋"/>
        </w:rPr>
        <w:t>）公务用车购置支出决算</w:t>
      </w:r>
      <w:r>
        <w:rPr>
          <w:rFonts w:ascii="仿宋" w:eastAsia="仿宋" w:hAnsi="仿宋" w:cs="仿宋"/>
        </w:rPr>
        <w:t>0</w:t>
      </w:r>
      <w:r>
        <w:rPr>
          <w:rFonts w:ascii="仿宋" w:eastAsia="仿宋" w:hAnsi="仿宋" w:cs="仿宋"/>
        </w:rPr>
        <w:t>万元。本年度使用财政拨款购置公务用车</w:t>
      </w:r>
      <w:r>
        <w:rPr>
          <w:rFonts w:ascii="仿宋" w:eastAsia="仿宋" w:hAnsi="仿宋" w:cs="仿宋"/>
        </w:rPr>
        <w:t>0</w:t>
      </w:r>
      <w:r>
        <w:rPr>
          <w:rFonts w:ascii="仿宋" w:eastAsia="仿宋" w:hAnsi="仿宋" w:cs="仿宋"/>
        </w:rPr>
        <w:t>辆。</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w:t>
      </w:r>
      <w:r>
        <w:rPr>
          <w:rFonts w:ascii="仿宋" w:eastAsia="仿宋" w:hAnsi="仿宋" w:cs="仿宋"/>
        </w:rPr>
        <w:t>2</w:t>
      </w:r>
      <w:r>
        <w:rPr>
          <w:rFonts w:ascii="仿宋" w:eastAsia="仿宋" w:hAnsi="仿宋" w:cs="仿宋"/>
        </w:rPr>
        <w:t>）公务用车运行维护费支出决算</w:t>
      </w:r>
      <w:r>
        <w:rPr>
          <w:rFonts w:ascii="仿宋" w:eastAsia="仿宋" w:hAnsi="仿宋" w:cs="仿宋"/>
        </w:rPr>
        <w:t>48.92</w:t>
      </w:r>
      <w:r>
        <w:rPr>
          <w:rFonts w:ascii="仿宋" w:eastAsia="仿宋" w:hAnsi="仿宋" w:cs="仿宋"/>
        </w:rPr>
        <w:t>万元。公务用车运行维护费主要用于按规定保留的公务用车的燃料费、维修费、过桥过路费、保险费、安全奖励费用等支出。截至</w:t>
      </w:r>
      <w:r>
        <w:rPr>
          <w:rFonts w:ascii="仿宋" w:eastAsia="仿宋" w:hAnsi="仿宋" w:cs="仿宋"/>
        </w:rPr>
        <w:t>2</w:t>
      </w:r>
      <w:r>
        <w:rPr>
          <w:rFonts w:ascii="仿宋" w:eastAsia="仿宋" w:hAnsi="仿宋" w:cs="仿宋"/>
        </w:rPr>
        <w:t>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日，使用财政拨款开支的公务用车保有量为</w:t>
      </w:r>
      <w:r>
        <w:rPr>
          <w:rFonts w:ascii="仿宋" w:eastAsia="仿宋" w:hAnsi="仿宋" w:cs="仿宋"/>
        </w:rPr>
        <w:t>25</w:t>
      </w:r>
      <w:r>
        <w:rPr>
          <w:rFonts w:ascii="仿宋" w:eastAsia="仿宋" w:hAnsi="仿宋" w:cs="仿宋"/>
        </w:rPr>
        <w:t>辆。</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3</w:t>
      </w:r>
      <w:r>
        <w:rPr>
          <w:rFonts w:ascii="仿宋" w:eastAsia="仿宋" w:hAnsi="仿宋" w:cs="仿宋"/>
        </w:rPr>
        <w:t>．公务接待费支出预算</w:t>
      </w:r>
      <w:r>
        <w:rPr>
          <w:rFonts w:ascii="仿宋" w:eastAsia="仿宋" w:hAnsi="仿宋" w:cs="仿宋"/>
        </w:rPr>
        <w:t>18.46</w:t>
      </w:r>
      <w:r>
        <w:rPr>
          <w:rFonts w:ascii="仿宋" w:eastAsia="仿宋" w:hAnsi="仿宋" w:cs="仿宋"/>
        </w:rPr>
        <w:t>万元（其中：一般公共预算支出</w:t>
      </w:r>
      <w:r>
        <w:rPr>
          <w:rFonts w:ascii="仿宋" w:eastAsia="仿宋" w:hAnsi="仿宋" w:cs="仿宋"/>
        </w:rPr>
        <w:t>18.46</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8.01</w:t>
      </w:r>
      <w:r>
        <w:rPr>
          <w:rFonts w:ascii="仿宋" w:eastAsia="仿宋" w:hAnsi="仿宋" w:cs="仿宋"/>
        </w:rPr>
        <w:t>万元（其中：一般公共预算支出</w:t>
      </w:r>
      <w:r>
        <w:rPr>
          <w:rFonts w:ascii="仿宋" w:eastAsia="仿宋" w:hAnsi="仿宋" w:cs="仿宋"/>
        </w:rPr>
        <w:t>8.01</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w:t>
      </w:r>
      <w:proofErr w:type="gramStart"/>
      <w:r>
        <w:rPr>
          <w:rFonts w:ascii="仿宋" w:eastAsia="仿宋" w:hAnsi="仿宋" w:cs="仿宋"/>
        </w:rPr>
        <w:t>后预算</w:t>
      </w:r>
      <w:proofErr w:type="gramEnd"/>
      <w:r>
        <w:rPr>
          <w:rFonts w:ascii="仿宋" w:eastAsia="仿宋" w:hAnsi="仿宋" w:cs="仿宋"/>
        </w:rPr>
        <w:t>的</w:t>
      </w:r>
      <w:r>
        <w:rPr>
          <w:rFonts w:ascii="仿宋" w:eastAsia="仿宋" w:hAnsi="仿宋" w:cs="仿宋"/>
        </w:rPr>
        <w:t>43.39%</w:t>
      </w:r>
      <w:r>
        <w:rPr>
          <w:rFonts w:ascii="仿宋" w:eastAsia="仿宋" w:hAnsi="仿宋" w:cs="仿宋"/>
        </w:rPr>
        <w:t>，决算数与预算数的差异原因：落实</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要求，从严控制公务接待费支出等。其中：国内公务接待支出</w:t>
      </w:r>
      <w:r>
        <w:rPr>
          <w:rFonts w:ascii="仿宋" w:eastAsia="仿宋" w:hAnsi="仿宋" w:cs="仿宋"/>
        </w:rPr>
        <w:t>8.01</w:t>
      </w:r>
      <w:r>
        <w:rPr>
          <w:rFonts w:ascii="仿宋" w:eastAsia="仿宋" w:hAnsi="仿宋" w:cs="仿宋"/>
        </w:rPr>
        <w:t>万元，接待</w:t>
      </w:r>
      <w:r>
        <w:rPr>
          <w:rFonts w:ascii="仿宋" w:eastAsia="仿宋" w:hAnsi="仿宋" w:cs="仿宋"/>
        </w:rPr>
        <w:t>183</w:t>
      </w:r>
      <w:r>
        <w:rPr>
          <w:rFonts w:ascii="仿宋" w:eastAsia="仿宋" w:hAnsi="仿宋" w:cs="仿宋"/>
        </w:rPr>
        <w:t>批次，</w:t>
      </w:r>
      <w:r>
        <w:rPr>
          <w:rFonts w:ascii="仿宋" w:eastAsia="仿宋" w:hAnsi="仿宋" w:cs="仿宋"/>
        </w:rPr>
        <w:t>2747</w:t>
      </w:r>
      <w:r>
        <w:rPr>
          <w:rFonts w:ascii="仿宋" w:eastAsia="仿宋" w:hAnsi="仿宋" w:cs="仿宋"/>
        </w:rPr>
        <w:t>人次，开支内容：接待外省市农业部门工</w:t>
      </w:r>
      <w:r>
        <w:rPr>
          <w:rFonts w:ascii="仿宋" w:eastAsia="仿宋" w:hAnsi="仿宋" w:cs="仿宋"/>
        </w:rPr>
        <w:t>作交流、考察调研以及本市区县来人办事工作餐费用等；国（境）外公务接待支出</w:t>
      </w:r>
      <w:r>
        <w:rPr>
          <w:rFonts w:ascii="仿宋" w:eastAsia="仿宋" w:hAnsi="仿宋" w:cs="仿宋"/>
        </w:rPr>
        <w:t>0</w:t>
      </w:r>
      <w:r>
        <w:rPr>
          <w:rFonts w:ascii="仿宋" w:eastAsia="仿宋" w:hAnsi="仿宋" w:cs="仿宋"/>
        </w:rPr>
        <w:t>万元，接待</w:t>
      </w:r>
      <w:r>
        <w:rPr>
          <w:rFonts w:ascii="仿宋" w:eastAsia="仿宋" w:hAnsi="仿宋" w:cs="仿宋"/>
        </w:rPr>
        <w:t>0</w:t>
      </w:r>
      <w:r>
        <w:rPr>
          <w:rFonts w:ascii="仿宋" w:eastAsia="仿宋" w:hAnsi="仿宋" w:cs="仿宋"/>
        </w:rPr>
        <w:t>批次，</w:t>
      </w:r>
      <w:r>
        <w:rPr>
          <w:rFonts w:ascii="仿宋" w:eastAsia="仿宋" w:hAnsi="仿宋" w:cs="仿宋"/>
        </w:rPr>
        <w:t>0</w:t>
      </w:r>
      <w:r>
        <w:rPr>
          <w:rFonts w:ascii="仿宋" w:eastAsia="仿宋" w:hAnsi="仿宋" w:cs="仿宋"/>
        </w:rPr>
        <w:t>人次。</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（三）财政拨款会议费支出决算情况说明。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lastRenderedPageBreak/>
        <w:t>2025</w:t>
      </w:r>
      <w:r>
        <w:rPr>
          <w:rFonts w:ascii="仿宋" w:eastAsia="仿宋" w:hAnsi="仿宋" w:cs="仿宋"/>
        </w:rPr>
        <w:t>年度财政拨款会议费支出预算</w:t>
      </w:r>
      <w:r>
        <w:rPr>
          <w:rFonts w:ascii="仿宋" w:eastAsia="仿宋" w:hAnsi="仿宋" w:cs="仿宋"/>
        </w:rPr>
        <w:t>33.98</w:t>
      </w:r>
      <w:r>
        <w:rPr>
          <w:rFonts w:ascii="仿宋" w:eastAsia="仿宋" w:hAnsi="仿宋" w:cs="仿宋"/>
        </w:rPr>
        <w:t>万元（其中：一般公共预算支出</w:t>
      </w:r>
      <w:r>
        <w:rPr>
          <w:rFonts w:ascii="仿宋" w:eastAsia="仿宋" w:hAnsi="仿宋" w:cs="仿宋"/>
        </w:rPr>
        <w:t>33.98</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13.13</w:t>
      </w:r>
      <w:r>
        <w:rPr>
          <w:rFonts w:ascii="仿宋" w:eastAsia="仿宋" w:hAnsi="仿宋" w:cs="仿宋"/>
        </w:rPr>
        <w:t>万元（其中：一般公共预算支出</w:t>
      </w:r>
      <w:r>
        <w:rPr>
          <w:rFonts w:ascii="仿宋" w:eastAsia="仿宋" w:hAnsi="仿宋" w:cs="仿宋"/>
        </w:rPr>
        <w:t>12.98</w:t>
      </w:r>
      <w:r>
        <w:rPr>
          <w:rFonts w:ascii="仿宋" w:eastAsia="仿宋" w:hAnsi="仿宋" w:cs="仿宋"/>
        </w:rPr>
        <w:t>万元；政府性基金预算支出</w:t>
      </w:r>
      <w:r>
        <w:rPr>
          <w:rFonts w:ascii="仿宋" w:eastAsia="仿宋" w:hAnsi="仿宋" w:cs="仿宋"/>
        </w:rPr>
        <w:t>0.15</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w:t>
      </w:r>
      <w:proofErr w:type="gramStart"/>
      <w:r>
        <w:rPr>
          <w:rFonts w:ascii="仿宋" w:eastAsia="仿宋" w:hAnsi="仿宋" w:cs="仿宋"/>
        </w:rPr>
        <w:t>后预算</w:t>
      </w:r>
      <w:proofErr w:type="gramEnd"/>
      <w:r>
        <w:rPr>
          <w:rFonts w:ascii="仿宋" w:eastAsia="仿宋" w:hAnsi="仿宋" w:cs="仿宋"/>
        </w:rPr>
        <w:t>的</w:t>
      </w:r>
      <w:r>
        <w:rPr>
          <w:rFonts w:ascii="仿宋" w:eastAsia="仿宋" w:hAnsi="仿宋" w:cs="仿宋"/>
        </w:rPr>
        <w:t>38.64%</w:t>
      </w:r>
      <w:r>
        <w:rPr>
          <w:rFonts w:ascii="仿宋" w:eastAsia="仿宋" w:hAnsi="仿宋" w:cs="仿宋"/>
        </w:rPr>
        <w:t>，决算数与预算数的差异原因：落实</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要求，优先在本单位开办会议，从严节约会议费支出等。</w:t>
      </w:r>
      <w:r>
        <w:rPr>
          <w:rFonts w:ascii="仿宋" w:eastAsia="仿宋" w:hAnsi="仿宋" w:cs="仿宋"/>
        </w:rPr>
        <w:t>2025</w:t>
      </w:r>
      <w:r>
        <w:rPr>
          <w:rFonts w:ascii="仿宋" w:eastAsia="仿宋" w:hAnsi="仿宋" w:cs="仿宋"/>
        </w:rPr>
        <w:t>年度全年召开会议</w:t>
      </w:r>
      <w:r>
        <w:rPr>
          <w:rFonts w:ascii="仿宋" w:eastAsia="仿宋" w:hAnsi="仿宋" w:cs="仿宋"/>
        </w:rPr>
        <w:t>86</w:t>
      </w:r>
      <w:r>
        <w:rPr>
          <w:rFonts w:ascii="仿宋" w:eastAsia="仿宋" w:hAnsi="仿宋" w:cs="仿宋"/>
        </w:rPr>
        <w:t>个，参加会议</w:t>
      </w:r>
      <w:r>
        <w:rPr>
          <w:rFonts w:ascii="仿宋" w:eastAsia="仿宋" w:hAnsi="仿宋" w:cs="仿宋"/>
        </w:rPr>
        <w:t>3902</w:t>
      </w:r>
      <w:r>
        <w:rPr>
          <w:rFonts w:ascii="仿宋" w:eastAsia="仿宋" w:hAnsi="仿宋" w:cs="仿宋"/>
        </w:rPr>
        <w:t>人次，开支内容：召开农业业务现场推进会、座谈会、交流会和工作会议等。</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（四</w:t>
      </w:r>
      <w:r>
        <w:rPr>
          <w:rFonts w:ascii="仿宋" w:eastAsia="仿宋" w:hAnsi="仿宋" w:cs="仿宋"/>
          <w:b/>
        </w:rPr>
        <w:t>）财政拨款培训费支出决算情况说明。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年度财政拨款培训费支出预算</w:t>
      </w:r>
      <w:r>
        <w:rPr>
          <w:rFonts w:ascii="仿宋" w:eastAsia="仿宋" w:hAnsi="仿宋" w:cs="仿宋"/>
        </w:rPr>
        <w:t>134.59</w:t>
      </w:r>
      <w:r>
        <w:rPr>
          <w:rFonts w:ascii="仿宋" w:eastAsia="仿宋" w:hAnsi="仿宋" w:cs="仿宋"/>
        </w:rPr>
        <w:t>万元（其中：一般公共预算支出</w:t>
      </w:r>
      <w:r>
        <w:rPr>
          <w:rFonts w:ascii="仿宋" w:eastAsia="仿宋" w:hAnsi="仿宋" w:cs="仿宋"/>
        </w:rPr>
        <w:t>134.59</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万元），支出决算</w:t>
      </w:r>
      <w:r>
        <w:rPr>
          <w:rFonts w:ascii="仿宋" w:eastAsia="仿宋" w:hAnsi="仿宋" w:cs="仿宋"/>
        </w:rPr>
        <w:t>87.71</w:t>
      </w:r>
      <w:r>
        <w:rPr>
          <w:rFonts w:ascii="仿宋" w:eastAsia="仿宋" w:hAnsi="仿宋" w:cs="仿宋"/>
        </w:rPr>
        <w:t>万元（其中：一般公共预算支出</w:t>
      </w:r>
      <w:r>
        <w:rPr>
          <w:rFonts w:ascii="仿宋" w:eastAsia="仿宋" w:hAnsi="仿宋" w:cs="仿宋"/>
        </w:rPr>
        <w:t>72.18</w:t>
      </w:r>
      <w:r>
        <w:rPr>
          <w:rFonts w:ascii="仿宋" w:eastAsia="仿宋" w:hAnsi="仿宋" w:cs="仿宋"/>
        </w:rPr>
        <w:t>万元；政府性基金预算支出</w:t>
      </w:r>
      <w:r>
        <w:rPr>
          <w:rFonts w:ascii="仿宋" w:eastAsia="仿宋" w:hAnsi="仿宋" w:cs="仿宋"/>
        </w:rPr>
        <w:t>15.53</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万元），完成调整</w:t>
      </w:r>
      <w:proofErr w:type="gramStart"/>
      <w:r>
        <w:rPr>
          <w:rFonts w:ascii="仿宋" w:eastAsia="仿宋" w:hAnsi="仿宋" w:cs="仿宋"/>
        </w:rPr>
        <w:t>后预算</w:t>
      </w:r>
      <w:proofErr w:type="gramEnd"/>
      <w:r>
        <w:rPr>
          <w:rFonts w:ascii="仿宋" w:eastAsia="仿宋" w:hAnsi="仿宋" w:cs="仿宋"/>
        </w:rPr>
        <w:t>的</w:t>
      </w:r>
      <w:r>
        <w:rPr>
          <w:rFonts w:ascii="仿宋" w:eastAsia="仿宋" w:hAnsi="仿宋" w:cs="仿宋"/>
        </w:rPr>
        <w:t>65.17%</w:t>
      </w:r>
      <w:r>
        <w:rPr>
          <w:rFonts w:ascii="仿宋" w:eastAsia="仿宋" w:hAnsi="仿宋" w:cs="仿宋"/>
        </w:rPr>
        <w:t>，决算数与预算数的差异原因：落实</w:t>
      </w:r>
      <w:r>
        <w:rPr>
          <w:rFonts w:ascii="仿宋" w:eastAsia="仿宋" w:hAnsi="仿宋" w:cs="仿宋"/>
        </w:rPr>
        <w:t>“</w:t>
      </w:r>
      <w:r>
        <w:rPr>
          <w:rFonts w:ascii="仿宋" w:eastAsia="仿宋" w:hAnsi="仿宋" w:cs="仿宋"/>
        </w:rPr>
        <w:t>过紧日子</w:t>
      </w:r>
      <w:r>
        <w:rPr>
          <w:rFonts w:ascii="仿宋" w:eastAsia="仿宋" w:hAnsi="仿宋" w:cs="仿宋"/>
        </w:rPr>
        <w:t>”</w:t>
      </w:r>
      <w:r>
        <w:rPr>
          <w:rFonts w:ascii="仿宋" w:eastAsia="仿宋" w:hAnsi="仿宋" w:cs="仿宋"/>
        </w:rPr>
        <w:t>要求，优先在本单位组织培训，从严节约培训费支出等。</w:t>
      </w:r>
      <w:r>
        <w:rPr>
          <w:rFonts w:ascii="仿宋" w:eastAsia="仿宋" w:hAnsi="仿宋" w:cs="仿宋"/>
        </w:rPr>
        <w:t>2025</w:t>
      </w:r>
      <w:r>
        <w:rPr>
          <w:rFonts w:ascii="仿宋" w:eastAsia="仿宋" w:hAnsi="仿宋" w:cs="仿宋"/>
        </w:rPr>
        <w:t>年度全年组织培训</w:t>
      </w:r>
      <w:r>
        <w:rPr>
          <w:rFonts w:ascii="仿宋" w:eastAsia="仿宋" w:hAnsi="仿宋" w:cs="仿宋"/>
        </w:rPr>
        <w:t>73</w:t>
      </w:r>
      <w:r>
        <w:rPr>
          <w:rFonts w:ascii="仿宋" w:eastAsia="仿宋" w:hAnsi="仿宋" w:cs="仿宋"/>
        </w:rPr>
        <w:t>个，组织培训</w:t>
      </w:r>
      <w:r>
        <w:rPr>
          <w:rFonts w:ascii="仿宋" w:eastAsia="仿宋" w:hAnsi="仿宋" w:cs="仿宋"/>
        </w:rPr>
        <w:t>4433</w:t>
      </w:r>
      <w:r>
        <w:rPr>
          <w:rFonts w:ascii="仿宋" w:eastAsia="仿宋" w:hAnsi="仿宋" w:cs="仿宋"/>
        </w:rPr>
        <w:t>人次，开支内容：农业系统人才素质</w:t>
      </w:r>
      <w:r>
        <w:rPr>
          <w:rFonts w:ascii="仿宋" w:eastAsia="仿宋" w:hAnsi="仿宋" w:cs="仿宋"/>
        </w:rPr>
        <w:t>提升、业务工作能力培训、农民职业培训等。</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十、政府性基金预算财政拨款支出决算情况说明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年度政府性基金预算财政拨款支出决算</w:t>
      </w:r>
      <w:r>
        <w:rPr>
          <w:rFonts w:ascii="仿宋" w:eastAsia="仿宋" w:hAnsi="仿宋" w:cs="仿宋"/>
        </w:rPr>
        <w:t>3,606.71</w:t>
      </w:r>
      <w:r>
        <w:rPr>
          <w:rFonts w:ascii="仿宋" w:eastAsia="仿宋" w:hAnsi="仿宋" w:cs="仿宋"/>
        </w:rPr>
        <w:t>万元。与上年相比，减少</w:t>
      </w:r>
      <w:r>
        <w:rPr>
          <w:rFonts w:ascii="仿宋" w:eastAsia="仿宋" w:hAnsi="仿宋" w:cs="仿宋"/>
        </w:rPr>
        <w:t>3,942.69</w:t>
      </w:r>
      <w:r>
        <w:rPr>
          <w:rFonts w:ascii="仿宋" w:eastAsia="仿宋" w:hAnsi="仿宋" w:cs="仿宋"/>
        </w:rPr>
        <w:t>万元，减少</w:t>
      </w:r>
      <w:r>
        <w:rPr>
          <w:rFonts w:ascii="仿宋" w:eastAsia="仿宋" w:hAnsi="仿宋" w:cs="仿宋"/>
        </w:rPr>
        <w:t>52.23%</w:t>
      </w:r>
      <w:r>
        <w:rPr>
          <w:rFonts w:ascii="仿宋" w:eastAsia="仿宋" w:hAnsi="仿宋" w:cs="仿宋"/>
        </w:rPr>
        <w:t>，变动原</w:t>
      </w:r>
      <w:r>
        <w:rPr>
          <w:rFonts w:ascii="仿宋" w:eastAsia="仿宋" w:hAnsi="仿宋" w:cs="仿宋"/>
        </w:rPr>
        <w:lastRenderedPageBreak/>
        <w:t>因：与上年相比，本年部分部省市</w:t>
      </w:r>
      <w:proofErr w:type="gramStart"/>
      <w:r>
        <w:rPr>
          <w:rFonts w:ascii="仿宋" w:eastAsia="仿宋" w:hAnsi="仿宋" w:cs="仿宋"/>
        </w:rPr>
        <w:t>级资金</w:t>
      </w:r>
      <w:proofErr w:type="gramEnd"/>
      <w:r>
        <w:rPr>
          <w:rFonts w:ascii="仿宋" w:eastAsia="仿宋" w:hAnsi="仿宋" w:cs="仿宋"/>
        </w:rPr>
        <w:t>以一般公共预算财政拨款资金性质下达。</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十一、国有资本经营预算财政拨款支出决算情况说明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年度国有资本经营预算财政拨款支出决算</w:t>
      </w:r>
      <w:r>
        <w:rPr>
          <w:rFonts w:ascii="仿宋" w:eastAsia="仿宋" w:hAnsi="仿宋" w:cs="仿宋"/>
        </w:rPr>
        <w:t>0</w:t>
      </w:r>
      <w:r>
        <w:rPr>
          <w:rFonts w:ascii="仿宋" w:eastAsia="仿宋" w:hAnsi="仿宋" w:cs="仿宋"/>
        </w:rPr>
        <w:t>万元。与上年决算数相同。</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十二、财政拨款机关运行经费支出决算情况说明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年度机关运行经费支出决算</w:t>
      </w:r>
      <w:r>
        <w:rPr>
          <w:rFonts w:ascii="仿宋" w:eastAsia="仿宋" w:hAnsi="仿宋" w:cs="仿宋"/>
        </w:rPr>
        <w:t>686.67</w:t>
      </w:r>
      <w:r>
        <w:rPr>
          <w:rFonts w:ascii="仿宋" w:eastAsia="仿宋" w:hAnsi="仿宋" w:cs="仿宋"/>
        </w:rPr>
        <w:t>万元（其中：一般公</w:t>
      </w:r>
      <w:r>
        <w:rPr>
          <w:rFonts w:ascii="仿宋" w:eastAsia="仿宋" w:hAnsi="仿宋" w:cs="仿宋"/>
        </w:rPr>
        <w:t>共预算支出</w:t>
      </w:r>
      <w:r>
        <w:rPr>
          <w:rFonts w:ascii="仿宋" w:eastAsia="仿宋" w:hAnsi="仿宋" w:cs="仿宋"/>
        </w:rPr>
        <w:t>686.67</w:t>
      </w:r>
      <w:r>
        <w:rPr>
          <w:rFonts w:ascii="仿宋" w:eastAsia="仿宋" w:hAnsi="仿宋" w:cs="仿宋"/>
        </w:rPr>
        <w:t>万元；政府性基金预算支出</w:t>
      </w:r>
      <w:r>
        <w:rPr>
          <w:rFonts w:ascii="仿宋" w:eastAsia="仿宋" w:hAnsi="仿宋" w:cs="仿宋"/>
        </w:rPr>
        <w:t>0</w:t>
      </w:r>
      <w:r>
        <w:rPr>
          <w:rFonts w:ascii="仿宋" w:eastAsia="仿宋" w:hAnsi="仿宋" w:cs="仿宋"/>
        </w:rPr>
        <w:t>万元；国有资本经营预算支出</w:t>
      </w:r>
      <w:r>
        <w:rPr>
          <w:rFonts w:ascii="仿宋" w:eastAsia="仿宋" w:hAnsi="仿宋" w:cs="仿宋"/>
        </w:rPr>
        <w:t>0</w:t>
      </w:r>
      <w:r>
        <w:rPr>
          <w:rFonts w:ascii="仿宋" w:eastAsia="仿宋" w:hAnsi="仿宋" w:cs="仿宋"/>
        </w:rPr>
        <w:t>万元）。与上年相比，增加</w:t>
      </w:r>
      <w:r>
        <w:rPr>
          <w:rFonts w:ascii="仿宋" w:eastAsia="仿宋" w:hAnsi="仿宋" w:cs="仿宋"/>
        </w:rPr>
        <w:t>167.3</w:t>
      </w:r>
      <w:r>
        <w:rPr>
          <w:rFonts w:ascii="仿宋" w:eastAsia="仿宋" w:hAnsi="仿宋" w:cs="仿宋"/>
        </w:rPr>
        <w:t>万元，增长</w:t>
      </w:r>
      <w:r>
        <w:rPr>
          <w:rFonts w:ascii="仿宋" w:eastAsia="仿宋" w:hAnsi="仿宋" w:cs="仿宋"/>
        </w:rPr>
        <w:t>32.21%</w:t>
      </w:r>
      <w:r>
        <w:rPr>
          <w:rFonts w:ascii="仿宋" w:eastAsia="仿宋" w:hAnsi="仿宋" w:cs="仿宋"/>
        </w:rPr>
        <w:t>，变动原因：与上年相比统计口径变化，本年将公务交通补贴等支出纳入统计。</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十三、政府采购支出决算情况说明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年度政府采购支出总额</w:t>
      </w:r>
      <w:r>
        <w:rPr>
          <w:rFonts w:ascii="仿宋" w:eastAsia="仿宋" w:hAnsi="仿宋" w:cs="仿宋"/>
        </w:rPr>
        <w:t>1,537.39</w:t>
      </w:r>
      <w:r>
        <w:rPr>
          <w:rFonts w:ascii="仿宋" w:eastAsia="仿宋" w:hAnsi="仿宋" w:cs="仿宋"/>
        </w:rPr>
        <w:t>万元，其中：政府采购货物支出</w:t>
      </w:r>
      <w:r>
        <w:rPr>
          <w:rFonts w:ascii="仿宋" w:eastAsia="仿宋" w:hAnsi="仿宋" w:cs="仿宋"/>
        </w:rPr>
        <w:t>154.03</w:t>
      </w:r>
      <w:r>
        <w:rPr>
          <w:rFonts w:ascii="仿宋" w:eastAsia="仿宋" w:hAnsi="仿宋" w:cs="仿宋"/>
        </w:rPr>
        <w:t>万元、政府采购工程支出</w:t>
      </w:r>
      <w:r>
        <w:rPr>
          <w:rFonts w:ascii="仿宋" w:eastAsia="仿宋" w:hAnsi="仿宋" w:cs="仿宋"/>
        </w:rPr>
        <w:t>134.9</w:t>
      </w:r>
      <w:r>
        <w:rPr>
          <w:rFonts w:ascii="仿宋" w:eastAsia="仿宋" w:hAnsi="仿宋" w:cs="仿宋"/>
        </w:rPr>
        <w:t>万元、政府采购服务支出</w:t>
      </w:r>
      <w:r>
        <w:rPr>
          <w:rFonts w:ascii="仿宋" w:eastAsia="仿宋" w:hAnsi="仿宋" w:cs="仿宋"/>
        </w:rPr>
        <w:t>1,248.46</w:t>
      </w:r>
      <w:r>
        <w:rPr>
          <w:rFonts w:ascii="仿宋" w:eastAsia="仿宋" w:hAnsi="仿宋" w:cs="仿宋"/>
        </w:rPr>
        <w:t>万元。政府采购授予中小企业合同金额</w:t>
      </w:r>
      <w:r>
        <w:rPr>
          <w:rFonts w:ascii="仿宋" w:eastAsia="仿宋" w:hAnsi="仿宋" w:cs="仿宋"/>
        </w:rPr>
        <w:t>45.18</w:t>
      </w:r>
      <w:r>
        <w:rPr>
          <w:rFonts w:ascii="仿宋" w:eastAsia="仿宋" w:hAnsi="仿宋" w:cs="仿宋"/>
        </w:rPr>
        <w:t>万元，占政府采购支出总额的</w:t>
      </w:r>
      <w:r>
        <w:rPr>
          <w:rFonts w:ascii="仿宋" w:eastAsia="仿宋" w:hAnsi="仿宋" w:cs="仿宋"/>
        </w:rPr>
        <w:t>2.94%</w:t>
      </w:r>
      <w:r>
        <w:rPr>
          <w:rFonts w:ascii="仿宋" w:eastAsia="仿宋" w:hAnsi="仿宋" w:cs="仿宋"/>
        </w:rPr>
        <w:t>，其中：授予小</w:t>
      </w:r>
      <w:proofErr w:type="gramStart"/>
      <w:r>
        <w:rPr>
          <w:rFonts w:ascii="仿宋" w:eastAsia="仿宋" w:hAnsi="仿宋" w:cs="仿宋"/>
        </w:rPr>
        <w:t>微企业</w:t>
      </w:r>
      <w:proofErr w:type="gramEnd"/>
      <w:r>
        <w:rPr>
          <w:rFonts w:ascii="仿宋" w:eastAsia="仿宋" w:hAnsi="仿宋" w:cs="仿宋"/>
        </w:rPr>
        <w:t>合同金额</w:t>
      </w:r>
      <w:r>
        <w:rPr>
          <w:rFonts w:ascii="仿宋" w:eastAsia="仿宋" w:hAnsi="仿宋" w:cs="仿宋"/>
        </w:rPr>
        <w:t>11.18</w:t>
      </w:r>
      <w:r>
        <w:rPr>
          <w:rFonts w:ascii="仿宋" w:eastAsia="仿宋" w:hAnsi="仿宋" w:cs="仿宋"/>
        </w:rPr>
        <w:t>万元</w:t>
      </w:r>
      <w:r>
        <w:rPr>
          <w:rFonts w:ascii="仿宋" w:eastAsia="仿宋" w:hAnsi="仿宋" w:cs="仿宋"/>
        </w:rPr>
        <w:t>，占授予中小企业合同金额的</w:t>
      </w:r>
      <w:r>
        <w:rPr>
          <w:rFonts w:ascii="仿宋" w:eastAsia="仿宋" w:hAnsi="仿宋" w:cs="仿宋"/>
        </w:rPr>
        <w:t>24.75%</w:t>
      </w:r>
      <w:r>
        <w:rPr>
          <w:rFonts w:ascii="仿宋" w:eastAsia="仿宋" w:hAnsi="仿宋" w:cs="仿宋"/>
        </w:rPr>
        <w:t>。</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十四、国有资产占用情况说明</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截至</w:t>
      </w:r>
      <w:r>
        <w:rPr>
          <w:rFonts w:ascii="仿宋" w:eastAsia="仿宋" w:hAnsi="仿宋" w:cs="仿宋"/>
        </w:rPr>
        <w:t>2025</w:t>
      </w:r>
      <w:r>
        <w:rPr>
          <w:rFonts w:ascii="仿宋" w:eastAsia="仿宋" w:hAnsi="仿宋" w:cs="仿宋"/>
        </w:rPr>
        <w:t>年</w:t>
      </w:r>
      <w:r>
        <w:rPr>
          <w:rFonts w:ascii="仿宋" w:eastAsia="仿宋" w:hAnsi="仿宋" w:cs="仿宋"/>
        </w:rPr>
        <w:t>12</w:t>
      </w:r>
      <w:r>
        <w:rPr>
          <w:rFonts w:ascii="仿宋" w:eastAsia="仿宋" w:hAnsi="仿宋" w:cs="仿宋"/>
        </w:rPr>
        <w:t>月</w:t>
      </w:r>
      <w:r>
        <w:rPr>
          <w:rFonts w:ascii="仿宋" w:eastAsia="仿宋" w:hAnsi="仿宋" w:cs="仿宋"/>
        </w:rPr>
        <w:t>31</w:t>
      </w:r>
      <w:r>
        <w:rPr>
          <w:rFonts w:ascii="仿宋" w:eastAsia="仿宋" w:hAnsi="仿宋" w:cs="仿宋"/>
        </w:rPr>
        <w:t>日，本部门共有车辆</w:t>
      </w:r>
      <w:r>
        <w:rPr>
          <w:rFonts w:ascii="仿宋" w:eastAsia="仿宋" w:hAnsi="仿宋" w:cs="仿宋"/>
        </w:rPr>
        <w:t>25</w:t>
      </w:r>
      <w:r>
        <w:rPr>
          <w:rFonts w:ascii="仿宋" w:eastAsia="仿宋" w:hAnsi="仿宋" w:cs="仿宋"/>
        </w:rPr>
        <w:t>辆，其中：副部</w:t>
      </w:r>
      <w:r>
        <w:rPr>
          <w:rFonts w:ascii="仿宋" w:eastAsia="仿宋" w:hAnsi="仿宋" w:cs="仿宋"/>
        </w:rPr>
        <w:t>(</w:t>
      </w:r>
      <w:r>
        <w:rPr>
          <w:rFonts w:ascii="仿宋" w:eastAsia="仿宋" w:hAnsi="仿宋" w:cs="仿宋"/>
        </w:rPr>
        <w:t>省</w:t>
      </w:r>
      <w:r>
        <w:rPr>
          <w:rFonts w:ascii="仿宋" w:eastAsia="仿宋" w:hAnsi="仿宋" w:cs="仿宋"/>
        </w:rPr>
        <w:t>)</w:t>
      </w:r>
      <w:r>
        <w:rPr>
          <w:rFonts w:ascii="仿宋" w:eastAsia="仿宋" w:hAnsi="仿宋" w:cs="仿宋"/>
        </w:rPr>
        <w:t>级及以上领导用车</w:t>
      </w:r>
      <w:r>
        <w:rPr>
          <w:rFonts w:ascii="仿宋" w:eastAsia="仿宋" w:hAnsi="仿宋" w:cs="仿宋"/>
        </w:rPr>
        <w:t>0</w:t>
      </w:r>
      <w:r>
        <w:rPr>
          <w:rFonts w:ascii="仿宋" w:eastAsia="仿宋" w:hAnsi="仿宋" w:cs="仿宋"/>
        </w:rPr>
        <w:t>辆、主要负责人用车</w:t>
      </w:r>
      <w:r>
        <w:rPr>
          <w:rFonts w:ascii="仿宋" w:eastAsia="仿宋" w:hAnsi="仿宋" w:cs="仿宋"/>
        </w:rPr>
        <w:t>0</w:t>
      </w:r>
      <w:r>
        <w:rPr>
          <w:rFonts w:ascii="仿宋" w:eastAsia="仿宋" w:hAnsi="仿宋" w:cs="仿宋"/>
        </w:rPr>
        <w:t>辆、机要通信用车</w:t>
      </w:r>
      <w:r>
        <w:rPr>
          <w:rFonts w:ascii="仿宋" w:eastAsia="仿宋" w:hAnsi="仿宋" w:cs="仿宋"/>
        </w:rPr>
        <w:t>1</w:t>
      </w:r>
      <w:r>
        <w:rPr>
          <w:rFonts w:ascii="仿宋" w:eastAsia="仿宋" w:hAnsi="仿宋" w:cs="仿宋"/>
        </w:rPr>
        <w:t>辆、应急保障用车</w:t>
      </w:r>
      <w:r>
        <w:rPr>
          <w:rFonts w:ascii="仿宋" w:eastAsia="仿宋" w:hAnsi="仿宋" w:cs="仿宋"/>
        </w:rPr>
        <w:t>1</w:t>
      </w:r>
      <w:r>
        <w:rPr>
          <w:rFonts w:ascii="仿宋" w:eastAsia="仿宋" w:hAnsi="仿宋" w:cs="仿宋"/>
        </w:rPr>
        <w:t>辆、执法执勤用车</w:t>
      </w:r>
      <w:r>
        <w:rPr>
          <w:rFonts w:ascii="仿宋" w:eastAsia="仿宋" w:hAnsi="仿宋" w:cs="仿宋"/>
        </w:rPr>
        <w:t>4</w:t>
      </w:r>
      <w:r>
        <w:rPr>
          <w:rFonts w:ascii="仿宋" w:eastAsia="仿宋" w:hAnsi="仿宋" w:cs="仿宋"/>
        </w:rPr>
        <w:t>辆、特种</w:t>
      </w:r>
      <w:r>
        <w:rPr>
          <w:rFonts w:ascii="仿宋" w:eastAsia="仿宋" w:hAnsi="仿宋" w:cs="仿宋"/>
        </w:rPr>
        <w:lastRenderedPageBreak/>
        <w:t>专业技术用车</w:t>
      </w:r>
      <w:r>
        <w:rPr>
          <w:rFonts w:ascii="仿宋" w:eastAsia="仿宋" w:hAnsi="仿宋" w:cs="仿宋"/>
        </w:rPr>
        <w:t>1</w:t>
      </w:r>
      <w:r>
        <w:rPr>
          <w:rFonts w:ascii="仿宋" w:eastAsia="仿宋" w:hAnsi="仿宋" w:cs="仿宋"/>
        </w:rPr>
        <w:t>辆、离退休干部用车</w:t>
      </w:r>
      <w:r>
        <w:rPr>
          <w:rFonts w:ascii="仿宋" w:eastAsia="仿宋" w:hAnsi="仿宋" w:cs="仿宋"/>
        </w:rPr>
        <w:t>0</w:t>
      </w:r>
      <w:r>
        <w:rPr>
          <w:rFonts w:ascii="仿宋" w:eastAsia="仿宋" w:hAnsi="仿宋" w:cs="仿宋"/>
        </w:rPr>
        <w:t>辆、其他用车</w:t>
      </w:r>
      <w:r>
        <w:rPr>
          <w:rFonts w:ascii="仿宋" w:eastAsia="仿宋" w:hAnsi="仿宋" w:cs="仿宋"/>
        </w:rPr>
        <w:t>18</w:t>
      </w:r>
      <w:r>
        <w:rPr>
          <w:rFonts w:ascii="仿宋" w:eastAsia="仿宋" w:hAnsi="仿宋" w:cs="仿宋"/>
        </w:rPr>
        <w:t>辆；单价</w:t>
      </w:r>
      <w:r>
        <w:rPr>
          <w:rFonts w:ascii="仿宋" w:eastAsia="仿宋" w:hAnsi="仿宋" w:cs="仿宋"/>
        </w:rPr>
        <w:t>100</w:t>
      </w:r>
      <w:r>
        <w:rPr>
          <w:rFonts w:ascii="仿宋" w:eastAsia="仿宋" w:hAnsi="仿宋" w:cs="仿宋"/>
        </w:rPr>
        <w:t>万元（含）以上的设备</w:t>
      </w:r>
      <w:r>
        <w:rPr>
          <w:rFonts w:ascii="仿宋" w:eastAsia="仿宋" w:hAnsi="仿宋" w:cs="仿宋"/>
        </w:rPr>
        <w:t>6</w:t>
      </w:r>
      <w:r>
        <w:rPr>
          <w:rFonts w:ascii="仿宋" w:eastAsia="仿宋" w:hAnsi="仿宋" w:cs="仿宋"/>
        </w:rPr>
        <w:t>台（套）。</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62"/>
        <w:jc w:val="both"/>
        <w:rPr>
          <w:rFonts w:ascii="仿宋" w:eastAsia="仿宋" w:hAnsi="仿宋" w:cs="仿宋"/>
          <w:lang w:val="en-US"/>
        </w:rPr>
      </w:pPr>
      <w:r>
        <w:rPr>
          <w:rFonts w:ascii="仿宋" w:eastAsia="仿宋" w:hAnsi="仿宋" w:cs="仿宋"/>
          <w:b/>
        </w:rPr>
        <w:t>十五、预算绩效评价工作开展情况</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2025</w:t>
      </w:r>
      <w:r>
        <w:rPr>
          <w:rFonts w:ascii="仿宋" w:eastAsia="仿宋" w:hAnsi="仿宋" w:cs="仿宋"/>
        </w:rPr>
        <w:t>年度，本部门共</w:t>
      </w:r>
      <w:r>
        <w:rPr>
          <w:rFonts w:ascii="仿宋" w:eastAsia="仿宋" w:hAnsi="仿宋" w:cs="仿宋"/>
        </w:rPr>
        <w:t>0</w:t>
      </w:r>
      <w:r>
        <w:rPr>
          <w:rFonts w:ascii="仿宋" w:eastAsia="仿宋" w:hAnsi="仿宋" w:cs="仿宋"/>
        </w:rPr>
        <w:t>个项目开展了财政重点绩效评价，涉及财政性资金合计</w:t>
      </w:r>
      <w:r>
        <w:rPr>
          <w:rFonts w:ascii="仿宋" w:eastAsia="仿宋" w:hAnsi="仿宋" w:cs="仿宋"/>
        </w:rPr>
        <w:t>0</w:t>
      </w:r>
      <w:r>
        <w:rPr>
          <w:rFonts w:ascii="仿宋" w:eastAsia="仿宋" w:hAnsi="仿宋" w:cs="仿宋"/>
        </w:rPr>
        <w:t>万元；本部门未开展部门整体支出财政重点绩效评价，涉及财政性资金</w:t>
      </w:r>
      <w:r>
        <w:rPr>
          <w:rFonts w:ascii="仿宋" w:eastAsia="仿宋" w:hAnsi="仿宋" w:cs="仿宋"/>
        </w:rPr>
        <w:t>0</w:t>
      </w:r>
      <w:r>
        <w:rPr>
          <w:rFonts w:ascii="仿宋" w:eastAsia="仿宋" w:hAnsi="仿宋" w:cs="仿宋"/>
        </w:rPr>
        <w:t>万元。</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本部门组织所属单位共对上年度已实施完成的</w:t>
      </w:r>
      <w:r>
        <w:rPr>
          <w:rFonts w:ascii="仿宋" w:eastAsia="仿宋" w:hAnsi="仿宋" w:cs="仿宋"/>
        </w:rPr>
        <w:t>101</w:t>
      </w:r>
      <w:r>
        <w:rPr>
          <w:rFonts w:ascii="仿宋" w:eastAsia="仿宋" w:hAnsi="仿宋" w:cs="仿宋"/>
        </w:rPr>
        <w:t>个项目开展了绩效自评价，涉及财政性资金合计</w:t>
      </w:r>
      <w:r>
        <w:rPr>
          <w:rFonts w:ascii="仿宋" w:eastAsia="仿宋" w:hAnsi="仿宋" w:cs="仿宋"/>
        </w:rPr>
        <w:t>173,417.84</w:t>
      </w:r>
      <w:r>
        <w:rPr>
          <w:rFonts w:ascii="仿宋" w:eastAsia="仿宋" w:hAnsi="仿宋" w:cs="仿宋"/>
        </w:rPr>
        <w:t>万元；本部门组织所属单位共开展</w:t>
      </w:r>
      <w:r>
        <w:rPr>
          <w:rFonts w:ascii="仿宋" w:eastAsia="仿宋" w:hAnsi="仿宋" w:cs="仿宋"/>
        </w:rPr>
        <w:t>14</w:t>
      </w:r>
      <w:r>
        <w:rPr>
          <w:rFonts w:ascii="仿宋" w:eastAsia="仿宋" w:hAnsi="仿宋" w:cs="仿宋"/>
        </w:rPr>
        <w:t>项单位整体支出绩效自评价，涉及财政性资金合计</w:t>
      </w:r>
      <w:r>
        <w:rPr>
          <w:rFonts w:ascii="仿宋" w:eastAsia="仿宋" w:hAnsi="仿宋" w:cs="仿宋"/>
        </w:rPr>
        <w:t>196,563.03</w:t>
      </w:r>
      <w:r>
        <w:rPr>
          <w:rFonts w:ascii="仿宋" w:eastAsia="仿宋" w:hAnsi="仿宋" w:cs="仿宋"/>
        </w:rPr>
        <w:t>万元。</w:t>
      </w:r>
    </w:p>
    <w:p w:rsidR="00D33C55" w:rsidRDefault="00706D03">
      <w:pPr>
        <w:pStyle w:val="a5"/>
        <w:tabs>
          <w:tab w:val="left" w:pos="3864"/>
          <w:tab w:val="left" w:pos="6248"/>
          <w:tab w:val="left" w:pos="7386"/>
        </w:tabs>
        <w:overflowPunct w:val="0"/>
        <w:spacing w:before="1" w:line="360" w:lineRule="auto"/>
        <w:ind w:leftChars="200" w:left="440" w:right="420" w:firstLineChars="206" w:firstLine="659"/>
        <w:jc w:val="both"/>
        <w:rPr>
          <w:rFonts w:ascii="仿宋" w:eastAsia="仿宋" w:hAnsi="仿宋" w:cs="仿宋"/>
          <w:lang w:val="en-US"/>
        </w:rPr>
      </w:pPr>
      <w:r>
        <w:rPr>
          <w:rFonts w:ascii="仿宋" w:eastAsia="仿宋" w:hAnsi="仿宋" w:cs="仿宋"/>
        </w:rPr>
        <w:t>本部门共</w:t>
      </w:r>
      <w:r>
        <w:rPr>
          <w:rFonts w:ascii="仿宋" w:eastAsia="仿宋" w:hAnsi="仿宋" w:cs="仿宋"/>
        </w:rPr>
        <w:t>31</w:t>
      </w:r>
      <w:r>
        <w:rPr>
          <w:rFonts w:ascii="仿宋" w:eastAsia="仿宋" w:hAnsi="仿宋" w:cs="仿宋"/>
        </w:rPr>
        <w:t>个项目开展了部门评价，涉及财政性资金合计</w:t>
      </w:r>
      <w:r>
        <w:rPr>
          <w:rFonts w:ascii="仿宋" w:eastAsia="仿宋" w:hAnsi="仿宋" w:cs="仿宋"/>
        </w:rPr>
        <w:t>170,780</w:t>
      </w:r>
      <w:r>
        <w:rPr>
          <w:rFonts w:ascii="仿宋" w:eastAsia="仿宋" w:hAnsi="仿宋" w:cs="仿宋"/>
        </w:rPr>
        <w:t>万元；本部门开展</w:t>
      </w:r>
      <w:r>
        <w:rPr>
          <w:rFonts w:ascii="仿宋" w:eastAsia="仿宋" w:hAnsi="仿宋" w:cs="仿宋"/>
        </w:rPr>
        <w:t>1</w:t>
      </w:r>
      <w:r>
        <w:rPr>
          <w:rFonts w:ascii="仿宋" w:eastAsia="仿宋" w:hAnsi="仿宋" w:cs="仿宋"/>
        </w:rPr>
        <w:t>个部门整体支出部门评价，涉及财政性资金</w:t>
      </w:r>
      <w:r>
        <w:rPr>
          <w:rFonts w:ascii="仿宋" w:eastAsia="仿宋" w:hAnsi="仿宋" w:cs="仿宋"/>
        </w:rPr>
        <w:t>196,563.03</w:t>
      </w:r>
      <w:r>
        <w:rPr>
          <w:rFonts w:ascii="仿宋" w:eastAsia="仿宋" w:hAnsi="仿宋" w:cs="仿宋"/>
        </w:rPr>
        <w:t>万元。</w:t>
      </w:r>
    </w:p>
    <w:p w:rsidR="00D33C55" w:rsidRDefault="00706D03">
      <w:pPr>
        <w:pStyle w:val="4"/>
        <w:tabs>
          <w:tab w:val="left" w:pos="3077"/>
        </w:tabs>
        <w:spacing w:line="616" w:lineRule="exact"/>
        <w:rPr>
          <w:rFonts w:ascii="宋体" w:eastAsia="宋体" w:hAnsi="宋体" w:cs="宋体"/>
          <w:b/>
          <w:bCs/>
        </w:rPr>
      </w:pPr>
      <w:r>
        <w:rPr>
          <w:rFonts w:ascii="宋体" w:eastAsia="宋体" w:hAnsi="宋体" w:cs="宋体" w:hint="eastAsia"/>
          <w:b/>
          <w:bCs/>
        </w:rPr>
        <w:t>第四部分</w:t>
      </w:r>
      <w:r>
        <w:rPr>
          <w:rFonts w:ascii="宋体" w:eastAsia="宋体" w:hAnsi="宋体" w:cs="宋体" w:hint="eastAsia"/>
          <w:b/>
          <w:bCs/>
        </w:rPr>
        <w:t xml:space="preserve"> </w:t>
      </w:r>
      <w:r>
        <w:rPr>
          <w:rFonts w:ascii="宋体" w:eastAsia="宋体" w:hAnsi="宋体" w:cs="宋体" w:hint="eastAsia"/>
          <w:b/>
          <w:bCs/>
        </w:rPr>
        <w:t>名词</w:t>
      </w:r>
      <w:r>
        <w:rPr>
          <w:rFonts w:ascii="宋体" w:eastAsia="宋体" w:hAnsi="宋体" w:cs="宋体" w:hint="eastAsia"/>
          <w:b/>
          <w:bCs/>
          <w:color w:val="000000"/>
          <w:lang w:eastAsia="ar-SA"/>
        </w:rPr>
        <w:t>解释</w:t>
      </w:r>
    </w:p>
    <w:p w:rsidR="00D33C55" w:rsidRDefault="00D33C55">
      <w:pPr>
        <w:pStyle w:val="a5"/>
        <w:tabs>
          <w:tab w:val="left" w:pos="3864"/>
          <w:tab w:val="left" w:pos="6248"/>
          <w:tab w:val="left" w:pos="7386"/>
        </w:tabs>
        <w:ind w:leftChars="200" w:left="440" w:firstLineChars="206" w:firstLine="659"/>
        <w:jc w:val="both"/>
        <w:rPr>
          <w:rFonts w:ascii="仿宋" w:eastAsia="仿宋" w:hAnsi="仿宋" w:cs="仿宋"/>
        </w:rPr>
      </w:pP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一、财政拨款收入</w:t>
      </w:r>
      <w:r>
        <w:rPr>
          <w:rFonts w:ascii="仿宋" w:eastAsia="仿宋" w:hAnsi="仿宋" w:cs="仿宋"/>
          <w:b/>
        </w:rPr>
        <w:t>：</w:t>
      </w:r>
      <w:r>
        <w:rPr>
          <w:rFonts w:ascii="仿宋" w:eastAsia="仿宋" w:hAnsi="仿宋" w:cs="仿宋" w:hint="eastAsia"/>
        </w:rPr>
        <w:t>指单位从同级财政部门取得的各</w:t>
      </w:r>
      <w:proofErr w:type="gramStart"/>
      <w:r>
        <w:rPr>
          <w:rFonts w:ascii="仿宋" w:eastAsia="仿宋" w:hAnsi="仿宋" w:cs="仿宋" w:hint="eastAsia"/>
        </w:rPr>
        <w:t>类财政</w:t>
      </w:r>
      <w:proofErr w:type="gramEnd"/>
      <w:r>
        <w:rPr>
          <w:rFonts w:ascii="仿宋" w:eastAsia="仿宋" w:hAnsi="仿宋" w:cs="仿宋" w:hint="eastAsia"/>
        </w:rPr>
        <w:t>拨款，包括一般公共预算财政拨款、政府性基金预算财政拨款、国有资本经营预算财政拨款。</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二、上级补助收入</w:t>
      </w:r>
      <w:r>
        <w:rPr>
          <w:rFonts w:ascii="仿宋" w:eastAsia="仿宋" w:hAnsi="仿宋" w:cs="仿宋"/>
          <w:b/>
        </w:rPr>
        <w:t>：</w:t>
      </w:r>
      <w:r>
        <w:rPr>
          <w:rFonts w:ascii="仿宋" w:eastAsia="仿宋" w:hAnsi="仿宋" w:cs="仿宋" w:hint="eastAsia"/>
        </w:rPr>
        <w:t>指事业单位从主管部门和上级单位取得的非财政补助收入。</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三、财政专户管理教育收费</w:t>
      </w:r>
      <w:r>
        <w:rPr>
          <w:rFonts w:ascii="仿宋" w:eastAsia="仿宋" w:hAnsi="仿宋" w:cs="仿宋"/>
          <w:b/>
        </w:rPr>
        <w:t>：</w:t>
      </w:r>
      <w:r>
        <w:rPr>
          <w:rFonts w:ascii="仿宋" w:eastAsia="仿宋" w:hAnsi="仿宋" w:cs="仿宋" w:hint="eastAsia"/>
        </w:rPr>
        <w:t>指缴入财政专户、实行专项管理的高中以上学费、住宿费、高校委托培养费、函大、电大、夜大及短训班培训费等教育收费。</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lastRenderedPageBreak/>
        <w:t>四、事业收入</w:t>
      </w:r>
      <w:r>
        <w:rPr>
          <w:rFonts w:ascii="仿宋" w:eastAsia="仿宋" w:hAnsi="仿宋" w:cs="仿宋"/>
          <w:b/>
        </w:rPr>
        <w:t>：</w:t>
      </w:r>
      <w:r>
        <w:rPr>
          <w:rFonts w:ascii="仿宋" w:eastAsia="仿宋" w:hAnsi="仿宋" w:cs="仿宋" w:hint="eastAsia"/>
        </w:rPr>
        <w:t>指事业单位开展专业业务活动及其辅助活动取得的收入。</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五、经营收入</w:t>
      </w:r>
      <w:r>
        <w:rPr>
          <w:rFonts w:ascii="仿宋" w:eastAsia="仿宋" w:hAnsi="仿宋" w:cs="仿宋"/>
          <w:b/>
        </w:rPr>
        <w:t>：</w:t>
      </w:r>
      <w:r>
        <w:rPr>
          <w:rFonts w:ascii="仿宋" w:eastAsia="仿宋" w:hAnsi="仿宋" w:cs="仿宋" w:hint="eastAsia"/>
        </w:rPr>
        <w:t>指事业单位在专业业务活动及其辅助活动之外开展非独立核算经营活动取得的收入。</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六、附属单位上缴收入</w:t>
      </w:r>
      <w:r>
        <w:rPr>
          <w:rFonts w:ascii="仿宋" w:eastAsia="仿宋" w:hAnsi="仿宋" w:cs="仿宋"/>
          <w:b/>
        </w:rPr>
        <w:t>：</w:t>
      </w:r>
      <w:r>
        <w:rPr>
          <w:rFonts w:ascii="仿宋" w:eastAsia="仿宋" w:hAnsi="仿宋" w:cs="仿宋" w:hint="eastAsia"/>
        </w:rPr>
        <w:t>指事业</w:t>
      </w:r>
      <w:r>
        <w:rPr>
          <w:rFonts w:ascii="仿宋" w:eastAsia="仿宋" w:hAnsi="仿宋" w:cs="仿宋" w:hint="eastAsia"/>
        </w:rPr>
        <w:t>单位附属独立核算单位按照有关规定上缴的收入。</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七、其他收入</w:t>
      </w:r>
      <w:r>
        <w:rPr>
          <w:rFonts w:ascii="仿宋" w:eastAsia="仿宋" w:hAnsi="仿宋" w:cs="仿宋"/>
          <w:b/>
        </w:rPr>
        <w:t>：</w:t>
      </w:r>
      <w:r>
        <w:rPr>
          <w:rFonts w:ascii="仿宋" w:eastAsia="仿宋" w:hAnsi="仿宋" w:cs="仿宋" w:hint="eastAsia"/>
        </w:rPr>
        <w:t>指单位取得的除上述“财政拨款收入”、</w:t>
      </w:r>
      <w:r>
        <w:rPr>
          <w:rFonts w:ascii="仿宋" w:eastAsia="仿宋" w:hAnsi="仿宋" w:cs="仿宋" w:hint="eastAsia"/>
        </w:rPr>
        <w:t xml:space="preserve"> </w:t>
      </w:r>
      <w:r w:rsidR="00204390">
        <w:rPr>
          <w:rFonts w:ascii="仿宋" w:eastAsia="仿宋" w:hAnsi="仿宋" w:cs="仿宋" w:hint="eastAsia"/>
        </w:rPr>
        <w:t>“上级补助收入”“事业收入”“经营收入”</w:t>
      </w:r>
      <w:bookmarkStart w:id="0" w:name="_GoBack"/>
      <w:bookmarkEnd w:id="0"/>
      <w:r>
        <w:rPr>
          <w:rFonts w:ascii="仿宋" w:eastAsia="仿宋" w:hAnsi="仿宋" w:cs="仿宋" w:hint="eastAsia"/>
        </w:rPr>
        <w:t>“附属单位上缴收入”等以外的各项收入。</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八、使用非财政拨款结余（含专用结余）</w:t>
      </w:r>
      <w:r>
        <w:rPr>
          <w:rFonts w:ascii="仿宋" w:eastAsia="仿宋" w:hAnsi="仿宋" w:cs="仿宋"/>
          <w:b/>
        </w:rPr>
        <w:t>：</w:t>
      </w:r>
      <w:r>
        <w:rPr>
          <w:rFonts w:ascii="仿宋" w:eastAsia="仿宋" w:hAnsi="仿宋" w:cs="仿宋" w:hint="eastAsia"/>
        </w:rPr>
        <w:t>指事业单位按照预算管理要求使用非财政拨款结余（含专用结余）弥补当年收支差额的数额。</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九、年初结转和结余</w:t>
      </w:r>
      <w:r>
        <w:rPr>
          <w:rFonts w:ascii="仿宋" w:eastAsia="仿宋" w:hAnsi="仿宋" w:cs="仿宋"/>
          <w:b/>
        </w:rPr>
        <w:t>：</w:t>
      </w:r>
      <w:r>
        <w:rPr>
          <w:rFonts w:ascii="仿宋" w:eastAsia="仿宋" w:hAnsi="仿宋" w:cs="仿宋" w:hint="eastAsia"/>
        </w:rPr>
        <w:t>指单位上年结转本年使用的基本支出结转、项目支出结转和结余、经营结余。</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十、结余分配</w:t>
      </w:r>
      <w:r>
        <w:rPr>
          <w:rFonts w:ascii="仿宋" w:eastAsia="仿宋" w:hAnsi="仿宋" w:cs="仿宋"/>
          <w:b/>
        </w:rPr>
        <w:t>：</w:t>
      </w:r>
      <w:r>
        <w:rPr>
          <w:rFonts w:ascii="仿宋" w:eastAsia="仿宋" w:hAnsi="仿宋" w:cs="仿宋" w:hint="eastAsia"/>
        </w:rPr>
        <w:t>指事业单位按规定缴纳的所得税以及从非财政拨款结余中提取各类结余的情况。</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十一、年末结转和结余资金</w:t>
      </w:r>
      <w:r>
        <w:rPr>
          <w:rFonts w:ascii="仿宋" w:eastAsia="仿宋" w:hAnsi="仿宋" w:cs="仿宋"/>
          <w:b/>
        </w:rPr>
        <w:t>：</w:t>
      </w:r>
      <w:r>
        <w:rPr>
          <w:rFonts w:ascii="仿宋" w:eastAsia="仿宋" w:hAnsi="仿宋" w:cs="仿宋" w:hint="eastAsia"/>
        </w:rPr>
        <w:t>指单</w:t>
      </w:r>
      <w:r>
        <w:rPr>
          <w:rFonts w:ascii="仿宋" w:eastAsia="仿宋" w:hAnsi="仿宋" w:cs="仿宋" w:hint="eastAsia"/>
        </w:rPr>
        <w:t>位结转下年的基本支出结转、项目支出结转和结余、经营结余。</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十二、基本支出</w:t>
      </w:r>
      <w:r>
        <w:rPr>
          <w:rFonts w:ascii="仿宋" w:eastAsia="仿宋" w:hAnsi="仿宋" w:cs="仿宋"/>
          <w:b/>
        </w:rPr>
        <w:t>：</w:t>
      </w:r>
      <w:r>
        <w:rPr>
          <w:rFonts w:ascii="仿宋" w:eastAsia="仿宋" w:hAnsi="仿宋" w:cs="仿宋" w:hint="eastAsia"/>
        </w:rPr>
        <w:t>指为保障机构正常运转、完成日常工作任务所发生的支出，包括人员经费和公用经费。</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十三、项目支出</w:t>
      </w:r>
      <w:r>
        <w:rPr>
          <w:rFonts w:ascii="仿宋" w:eastAsia="仿宋" w:hAnsi="仿宋" w:cs="仿宋"/>
          <w:b/>
        </w:rPr>
        <w:t>：</w:t>
      </w:r>
      <w:r>
        <w:rPr>
          <w:rFonts w:ascii="仿宋" w:eastAsia="仿宋" w:hAnsi="仿宋" w:cs="仿宋" w:hint="eastAsia"/>
        </w:rPr>
        <w:t>指在为完成特定的工作任务和事业发展目标所发生的支出。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lastRenderedPageBreak/>
        <w:t>十四、上缴上级支出</w:t>
      </w:r>
      <w:r>
        <w:rPr>
          <w:rFonts w:ascii="仿宋" w:eastAsia="仿宋" w:hAnsi="仿宋" w:cs="仿宋"/>
          <w:b/>
        </w:rPr>
        <w:t>：</w:t>
      </w:r>
      <w:r>
        <w:rPr>
          <w:rFonts w:ascii="仿宋" w:eastAsia="仿宋" w:hAnsi="仿宋" w:cs="仿宋" w:hint="eastAsia"/>
        </w:rPr>
        <w:t>指事业单位按照财政部门和主管部门的规定上缴上级单位的支出。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十五、经营支出</w:t>
      </w:r>
      <w:r>
        <w:rPr>
          <w:rFonts w:ascii="仿宋" w:eastAsia="仿宋" w:hAnsi="仿宋" w:cs="仿宋"/>
          <w:b/>
        </w:rPr>
        <w:t>：</w:t>
      </w:r>
      <w:r>
        <w:rPr>
          <w:rFonts w:ascii="仿宋" w:eastAsia="仿宋" w:hAnsi="仿宋" w:cs="仿宋" w:hint="eastAsia"/>
        </w:rPr>
        <w:t>指事业单位在专业业务活动及其辅助活动之外开展非独立核算经营活动发生的支出。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十六、对附属单位补助支出</w:t>
      </w:r>
      <w:r>
        <w:rPr>
          <w:rFonts w:ascii="仿宋" w:eastAsia="仿宋" w:hAnsi="仿宋" w:cs="仿宋"/>
          <w:b/>
        </w:rPr>
        <w:t>：</w:t>
      </w:r>
      <w:r>
        <w:rPr>
          <w:rFonts w:ascii="仿宋" w:eastAsia="仿宋" w:hAnsi="仿宋" w:cs="仿宋" w:hint="eastAsia"/>
        </w:rPr>
        <w:t>指事业单位用财政拨款收入之外的收入对附属单位补助发生的支出。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十七、“三公”经费</w:t>
      </w:r>
      <w:r>
        <w:rPr>
          <w:rFonts w:ascii="仿宋" w:eastAsia="仿宋" w:hAnsi="仿宋" w:cs="仿宋"/>
          <w:b/>
        </w:rPr>
        <w:t>：</w:t>
      </w:r>
      <w:r>
        <w:rPr>
          <w:rFonts w:ascii="仿宋" w:eastAsia="仿宋" w:hAnsi="仿宋" w:cs="仿宋" w:hint="eastAsia"/>
        </w:rPr>
        <w:t>指部门用财政拨款安排的因公出国（境）费、公务用车购置及运行维护费和公务接待费。其中，因公出国（境）</w:t>
      </w:r>
      <w:proofErr w:type="gramStart"/>
      <w:r>
        <w:rPr>
          <w:rFonts w:ascii="仿宋" w:eastAsia="仿宋" w:hAnsi="仿宋" w:cs="仿宋" w:hint="eastAsia"/>
        </w:rPr>
        <w:t>费反映</w:t>
      </w:r>
      <w:proofErr w:type="gramEnd"/>
      <w:r>
        <w:rPr>
          <w:rFonts w:ascii="仿宋" w:eastAsia="仿宋" w:hAnsi="仿宋" w:cs="仿宋" w:hint="eastAsia"/>
        </w:rPr>
        <w:t>单位公务出国（境）的国际旅费、国外城市间交通费、住宿费、伙食费、培训费、公杂费等支出；公务用车购置及运行维护费反映单位公务用车购置支出（</w:t>
      </w:r>
      <w:proofErr w:type="gramStart"/>
      <w:r>
        <w:rPr>
          <w:rFonts w:ascii="仿宋" w:eastAsia="仿宋" w:hAnsi="仿宋" w:cs="仿宋" w:hint="eastAsia"/>
        </w:rPr>
        <w:t>含车辆</w:t>
      </w:r>
      <w:proofErr w:type="gramEnd"/>
      <w:r>
        <w:rPr>
          <w:rFonts w:ascii="仿宋" w:eastAsia="仿宋" w:hAnsi="仿宋" w:cs="仿宋" w:hint="eastAsia"/>
        </w:rPr>
        <w:t>购置税、牌照费）以及按规定保留的公务用车燃料费、维修费、过路过桥费、保险费、安全奖励费用等支出；公务接待</w:t>
      </w:r>
      <w:proofErr w:type="gramStart"/>
      <w:r>
        <w:rPr>
          <w:rFonts w:ascii="仿宋" w:eastAsia="仿宋" w:hAnsi="仿宋" w:cs="仿宋" w:hint="eastAsia"/>
        </w:rPr>
        <w:t>费反映</w:t>
      </w:r>
      <w:proofErr w:type="gramEnd"/>
      <w:r>
        <w:rPr>
          <w:rFonts w:ascii="仿宋" w:eastAsia="仿宋" w:hAnsi="仿宋" w:cs="仿宋" w:hint="eastAsia"/>
        </w:rPr>
        <w:t>单位按规定开支的各类公务接待（含外宾接待）费用。</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十八、机关运行经费</w:t>
      </w:r>
      <w:r>
        <w:rPr>
          <w:rFonts w:ascii="仿宋" w:eastAsia="仿宋" w:hAnsi="仿宋" w:cs="仿宋"/>
          <w:b/>
        </w:rPr>
        <w:t>：</w:t>
      </w:r>
      <w:r>
        <w:rPr>
          <w:rFonts w:ascii="仿宋" w:eastAsia="仿宋" w:hAnsi="仿宋" w:cs="仿宋" w:hint="eastAsia"/>
        </w:rPr>
        <w:t>指行政单位（含参照公务员法管理的事业单位）使用财政拨款安排的基本支出中的公用经费支出，</w:t>
      </w:r>
      <w:r>
        <w:rPr>
          <w:rFonts w:ascii="仿宋" w:eastAsia="仿宋" w:hAnsi="仿宋" w:cs="仿宋" w:hint="eastAsia"/>
        </w:rPr>
        <w:t>包括办公及印刷费、邮电费、差旅费、会议费、福利费、日常维修费、专用材料及一般设备购置费、办公用房水电费、办公用房取暖费、办公用房物业管理费、公务用车运行维护费及其他费用。</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十九、一般公共服务支出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商贸事务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招商引资</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反映用于招商引资、优化经济环境等方面的支出。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lastRenderedPageBreak/>
        <w:t>二十、一般公共服务支出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港澳台事务</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其他港澳台事务支出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反映除上述项目以外其他用于港澳台事务方面的支出。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二十一、科学技术支出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科学技术普及</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科普活动</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反映用于开展科普活动的支出。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二十二、科学技术支出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其他科学技术支出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其他科学技术支出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反映其他科学技术支出中除以上各项外用于科技方面的支出。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二十三、社会保障和就业支出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行政单位离退休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反映行政单位（包括实行公务员管理的事业单位）开支的离退休经费。</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二十四、社会保障和就业支出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事业单位离退休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反映事业单位开支的离退休经费。</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二十五、社会保障和就业支出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机关事业单位基本养老保险缴费支出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反映机关事业单位实施养老保险制度由单位缴纳的基本养老保险费支出。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二十六、社会保障和就业支出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行政事业单位养老支出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机关事业单位职业年金缴费支出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反映机关事业单位实施养老保险制度由单位实际缴纳的职业年金支出（</w:t>
      </w:r>
      <w:proofErr w:type="gramStart"/>
      <w:r>
        <w:rPr>
          <w:rFonts w:ascii="仿宋" w:eastAsia="仿宋" w:hAnsi="仿宋" w:cs="仿宋" w:hint="eastAsia"/>
        </w:rPr>
        <w:t>含职业</w:t>
      </w:r>
      <w:proofErr w:type="gramEnd"/>
      <w:r>
        <w:rPr>
          <w:rFonts w:ascii="仿宋" w:eastAsia="仿宋" w:hAnsi="仿宋" w:cs="仿宋" w:hint="eastAsia"/>
        </w:rPr>
        <w:t>年金补记支出）。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二十七、社会保障和就业支出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其他社会保障和就业支出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其他社会保障和就业支出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反映除上述项目以外其</w:t>
      </w:r>
      <w:r>
        <w:rPr>
          <w:rFonts w:ascii="仿宋" w:eastAsia="仿宋" w:hAnsi="仿宋" w:cs="仿宋" w:hint="eastAsia"/>
        </w:rPr>
        <w:lastRenderedPageBreak/>
        <w:t>他用于社会保障和就业方面的支出。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二十八、城乡社区支出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国有土地使用权出让收入安排的支出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农业生产发展支出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反映土地出让收入用于高标准农田建设</w:t>
      </w:r>
      <w:r>
        <w:rPr>
          <w:rFonts w:ascii="仿宋" w:eastAsia="仿宋" w:hAnsi="仿宋" w:cs="仿宋" w:hint="eastAsia"/>
        </w:rPr>
        <w:t>、农田水利建设、农村土地综合整治、耕地及永久基本农田保护支出、现代种业提升等方面的支出。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二十九、城乡社区支出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国有土地使用权出让收入安排的支出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农业农村生态环境支出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反映土地出让收入用于农村人居环境整治、与农业农村直接相关的山水林田湖草生态保护修复等方面的支出。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三十、农林水支出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农业农村</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行政运行</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反映行政单位（包括实行公务员管理的事业单位）的基本支出。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三十一、农林水支出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农业农村</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一般行政管理事务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反映行政单位（包括实行公务员管理的事业单位）未单独设置项级科</w:t>
      </w:r>
      <w:r>
        <w:rPr>
          <w:rFonts w:ascii="仿宋" w:eastAsia="仿宋" w:hAnsi="仿宋" w:cs="仿宋" w:hint="eastAsia"/>
        </w:rPr>
        <w:t>目的其他项目支出。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三十二、农林水支出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农业农村</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事业运行</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反映用于农业事业单位基本支出，事业单位设施、系统运行与资产维护等方面的支出。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三十三、农林水支出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农业农村</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科技转化与推广服务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反映用于农业科技成果转化，农业科技人才奖励，农业新品种、新机具、新技术引进、试验、示范、推广及服务，农村人居环境整治等方面的技术试验示范支出。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三十四、农林水支出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农业农村</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病虫害控制</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lastRenderedPageBreak/>
        <w:t>反映用于病虫鼠害及疫情监测、预报、预防、控制、检疫、防疫所需的仪器、设施、药物、疫苗、种苗，</w:t>
      </w:r>
      <w:proofErr w:type="gramStart"/>
      <w:r>
        <w:rPr>
          <w:rFonts w:ascii="仿宋" w:eastAsia="仿宋" w:hAnsi="仿宋" w:cs="仿宋" w:hint="eastAsia"/>
        </w:rPr>
        <w:t>疫</w:t>
      </w:r>
      <w:proofErr w:type="gramEnd"/>
      <w:r>
        <w:rPr>
          <w:rFonts w:ascii="仿宋" w:eastAsia="仿宋" w:hAnsi="仿宋" w:cs="仿宋" w:hint="eastAsia"/>
        </w:rPr>
        <w:t>畜</w:t>
      </w:r>
      <w:r>
        <w:rPr>
          <w:rFonts w:ascii="仿宋" w:eastAsia="仿宋" w:hAnsi="仿宋" w:cs="仿宋" w:hint="eastAsia"/>
        </w:rPr>
        <w:t>（禽、鱼、植物）防治、扑杀补偿及劳务补助、菌（毒）种保藏及动植物及其产品检疫、检测等方面的支出。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三十五、农林水支出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农业农村</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农产品质</w:t>
      </w:r>
      <w:proofErr w:type="gramStart"/>
      <w:r>
        <w:rPr>
          <w:rFonts w:ascii="仿宋" w:eastAsia="仿宋" w:hAnsi="仿宋" w:cs="仿宋" w:hint="eastAsia"/>
          <w:b/>
          <w:bCs/>
        </w:rPr>
        <w:t>量安全</w:t>
      </w:r>
      <w:proofErr w:type="gramEnd"/>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反映用于农产品及其投入品的质量安全评估、监测、抽查、认证、应急处置，相关标准的制定、修订、实施、监管等方面的支出。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三十六、农林水支出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农业农村</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执法监管</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反映用于农业农村法制建设、行政执法、行政复议、行政诉讼等方面的支出。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三十七、农林水支出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农业农村</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行业业务管理</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反映用于农业农村政策研究、规划编制、评审评估、绩效评价、监督检查等基本业务管理工作的支出。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三十八、农林水支出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农业农村</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农业生产发展</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反映用于粮油生产保障、适度规模经营、农机购置与应用补贴、优势特色主导产业发展、畜牧水产发展、农村一二三产业融合等方面支出。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三十九、农林水支出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农业农村</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农业生态资源保护</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反映用于草原草场利用，渔业水域资源环境保护，农业品种改良提升，以及农业生物资源调查收集、鉴定评价、保存利用等方面的支出。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lastRenderedPageBreak/>
        <w:t>四十、农林水支出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农业农村</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其他农业农村支出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反映除上述项目以外其他用于农业农村方面的支出。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四十一、农林水支出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其他农林水支出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其他农林水支出</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反映除化解债务支出以外其他用于农林水方面的支出。</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四十二、住房保障支出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住房公积金</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反映行政事业单位按人力资源和社会保障部、财政部规定的基本工资和津贴补贴以及规定比例为职工缴纳的住房公积金。</w:t>
      </w:r>
    </w:p>
    <w:p w:rsidR="00D33C55" w:rsidRDefault="00706D03">
      <w:pPr>
        <w:pStyle w:val="a5"/>
        <w:tabs>
          <w:tab w:val="left" w:pos="3864"/>
          <w:tab w:val="left" w:pos="6248"/>
          <w:tab w:val="left" w:pos="7386"/>
        </w:tabs>
        <w:spacing w:line="360" w:lineRule="auto"/>
        <w:ind w:leftChars="200" w:left="440" w:rightChars="229" w:right="504" w:firstLineChars="206" w:firstLine="662"/>
        <w:jc w:val="both"/>
        <w:rPr>
          <w:rFonts w:ascii="仿宋" w:eastAsia="仿宋" w:hAnsi="仿宋" w:cs="仿宋"/>
        </w:rPr>
      </w:pPr>
      <w:r>
        <w:rPr>
          <w:rFonts w:ascii="仿宋" w:eastAsia="仿宋" w:hAnsi="仿宋" w:cs="仿宋" w:hint="eastAsia"/>
          <w:b/>
          <w:bCs/>
        </w:rPr>
        <w:t>四十三、住房保障支出</w:t>
      </w:r>
      <w:r>
        <w:rPr>
          <w:rFonts w:ascii="仿宋" w:eastAsia="仿宋" w:hAnsi="仿宋" w:cs="仿宋" w:hint="eastAsia"/>
          <w:b/>
          <w:bCs/>
        </w:rPr>
        <w:t>(</w:t>
      </w:r>
      <w:r>
        <w:rPr>
          <w:rFonts w:ascii="仿宋" w:eastAsia="仿宋" w:hAnsi="仿宋" w:cs="仿宋" w:hint="eastAsia"/>
          <w:b/>
          <w:bCs/>
        </w:rPr>
        <w:t>类</w:t>
      </w:r>
      <w:r>
        <w:rPr>
          <w:rFonts w:ascii="仿宋" w:eastAsia="仿宋" w:hAnsi="仿宋" w:cs="仿宋" w:hint="eastAsia"/>
          <w:b/>
          <w:bCs/>
        </w:rPr>
        <w:t>)</w:t>
      </w:r>
      <w:r>
        <w:rPr>
          <w:rFonts w:ascii="仿宋" w:eastAsia="仿宋" w:hAnsi="仿宋" w:cs="仿宋" w:hint="eastAsia"/>
          <w:b/>
          <w:bCs/>
        </w:rPr>
        <w:t>住房改革支出</w:t>
      </w:r>
      <w:r>
        <w:rPr>
          <w:rFonts w:ascii="仿宋" w:eastAsia="仿宋" w:hAnsi="仿宋" w:cs="仿宋" w:hint="eastAsia"/>
          <w:b/>
          <w:bCs/>
        </w:rPr>
        <w:t>(</w:t>
      </w:r>
      <w:r>
        <w:rPr>
          <w:rFonts w:ascii="仿宋" w:eastAsia="仿宋" w:hAnsi="仿宋" w:cs="仿宋" w:hint="eastAsia"/>
          <w:b/>
          <w:bCs/>
        </w:rPr>
        <w:t>款</w:t>
      </w:r>
      <w:r>
        <w:rPr>
          <w:rFonts w:ascii="仿宋" w:eastAsia="仿宋" w:hAnsi="仿宋" w:cs="仿宋" w:hint="eastAsia"/>
          <w:b/>
          <w:bCs/>
        </w:rPr>
        <w:t>)</w:t>
      </w:r>
      <w:r>
        <w:rPr>
          <w:rFonts w:ascii="仿宋" w:eastAsia="仿宋" w:hAnsi="仿宋" w:cs="仿宋" w:hint="eastAsia"/>
          <w:b/>
          <w:bCs/>
        </w:rPr>
        <w:t>提租补贴</w:t>
      </w:r>
      <w:r>
        <w:rPr>
          <w:rFonts w:ascii="仿宋" w:eastAsia="仿宋" w:hAnsi="仿宋" w:cs="仿宋" w:hint="eastAsia"/>
          <w:b/>
          <w:bCs/>
        </w:rPr>
        <w:t>(</w:t>
      </w:r>
      <w:r>
        <w:rPr>
          <w:rFonts w:ascii="仿宋" w:eastAsia="仿宋" w:hAnsi="仿宋" w:cs="仿宋" w:hint="eastAsia"/>
          <w:b/>
          <w:bCs/>
        </w:rPr>
        <w:t>项</w:t>
      </w:r>
      <w:r>
        <w:rPr>
          <w:rFonts w:ascii="仿宋" w:eastAsia="仿宋" w:hAnsi="仿宋" w:cs="仿宋" w:hint="eastAsia"/>
          <w:b/>
          <w:bCs/>
        </w:rPr>
        <w:t>)</w:t>
      </w:r>
      <w:r>
        <w:rPr>
          <w:rFonts w:ascii="仿宋" w:eastAsia="仿宋" w:hAnsi="仿宋" w:cs="仿宋"/>
          <w:b/>
        </w:rPr>
        <w:t>：</w:t>
      </w:r>
      <w:r>
        <w:rPr>
          <w:rFonts w:ascii="仿宋" w:eastAsia="仿宋" w:hAnsi="仿宋" w:cs="仿宋" w:hint="eastAsia"/>
        </w:rPr>
        <w:t>反映按房改政策规定的标准，行政事业单位向职工（含离退休人员）发放的租金补贴。</w:t>
      </w:r>
    </w:p>
    <w:sectPr w:rsidR="00D33C55">
      <w:pgSz w:w="11906" w:h="16838"/>
      <w:pgMar w:top="1440" w:right="1080" w:bottom="1440" w:left="1080" w:header="170" w:footer="280" w:gutter="0"/>
      <w:pgNumType w:fmt="numberInDash"/>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D03" w:rsidRDefault="00706D03">
      <w:r>
        <w:separator/>
      </w:r>
    </w:p>
  </w:endnote>
  <w:endnote w:type="continuationSeparator" w:id="0">
    <w:p w:rsidR="00706D03" w:rsidRDefault="00706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Liberation Sans">
    <w:altName w:val="宋体"/>
    <w:charset w:val="86"/>
    <w:family w:val="roman"/>
    <w:pitch w:val="default"/>
    <w:sig w:usb0="00000000" w:usb1="00000000" w:usb2="00000021" w:usb3="00000000" w:csb0="600001BF" w:csb1="DFF70000"/>
  </w:font>
  <w:font w:name="Liberation Mono">
    <w:altName w:val="宋体"/>
    <w:charset w:val="86"/>
    <w:family w:val="roman"/>
    <w:pitch w:val="default"/>
    <w:sig w:usb0="00000000" w:usb1="00000000" w:usb2="00000001" w:usb3="00000000" w:csb0="600001BF" w:csb1="DFF70000"/>
  </w:font>
  <w:font w:name="新宋体">
    <w:panose1 w:val="02010609030101010101"/>
    <w:charset w:val="86"/>
    <w:family w:val="modern"/>
    <w:pitch w:val="fixed"/>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rPr>
        <w:rFonts w:ascii="黑体" w:eastAsia="黑体" w:hAnsi="黑体" w:cs="黑体"/>
      </w:rPr>
    </w:pPr>
    <w:r>
      <w:rPr>
        <w:rFonts w:ascii="黑体" w:eastAsia="黑体" w:hAnsi="黑体" w:cs="黑体" w:hint="eastAsia"/>
        <w:noProof/>
        <w:lang w:val="en-US" w:bidi="ar-SA"/>
      </w:rPr>
      <mc:AlternateContent>
        <mc:Choice Requires="wps">
          <w:drawing>
            <wp:anchor distT="0" distB="0" distL="114300" distR="114300" simplePos="0" relativeHeight="251651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rPr>
                              <w:rFonts w:ascii="黑体" w:eastAsia="黑体" w:hAnsi="黑体" w:cs="黑体"/>
                            </w:rPr>
                          </w:pPr>
                          <w:r>
                            <w:rPr>
                              <w:rFonts w:ascii="黑体" w:eastAsia="黑体" w:hAnsi="黑体" w:cs="黑体" w:hint="eastAsia"/>
                            </w:rPr>
                            <w:fldChar w:fldCharType="begin"/>
                          </w:r>
                          <w:r>
                            <w:rPr>
                              <w:rFonts w:ascii="黑体" w:eastAsia="黑体" w:hAnsi="黑体" w:cs="黑体" w:hint="eastAsia"/>
                            </w:rPr>
                            <w:instrText xml:space="preserve"> PAGE  \* MERGEFORMAT </w:instrText>
                          </w:r>
                          <w:r>
                            <w:rPr>
                              <w:rFonts w:ascii="黑体" w:eastAsia="黑体" w:hAnsi="黑体" w:cs="黑体" w:hint="eastAsia"/>
                            </w:rPr>
                            <w:fldChar w:fldCharType="separate"/>
                          </w:r>
                          <w:r w:rsidR="00204390">
                            <w:rPr>
                              <w:rFonts w:ascii="黑体" w:eastAsia="黑体" w:hAnsi="黑体" w:cs="黑体"/>
                              <w:noProof/>
                            </w:rPr>
                            <w:t>- 1 -</w:t>
                          </w:r>
                          <w:r>
                            <w:rPr>
                              <w:rFonts w:ascii="黑体" w:eastAsia="黑体" w:hAnsi="黑体" w:cs="黑体"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5" o:spid="_x0000_s1026" type="#_x0000_t202" style="position:absolute;left:0;text-align:left;margin-left:0;margin-top:0;width:2in;height:2in;z-index:2516515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" filled="f" stroked="f">
              <v:textbox style="mso-fit-shape-to-text:t" inset="0,0,0,0">
                <w:txbxContent>
                  <w:p w:rsidR="00D33C55" w:rsidRDefault="00706D03">
                    <w:pPr>
                      <w:pStyle w:val="a7"/>
                      <w:rPr>
                        <w:rFonts w:ascii="黑体" w:eastAsia="黑体" w:hAnsi="黑体" w:cs="黑体"/>
                      </w:rPr>
                    </w:pPr>
                    <w:r>
                      <w:rPr>
                        <w:rFonts w:ascii="黑体" w:eastAsia="黑体" w:hAnsi="黑体" w:cs="黑体" w:hint="eastAsia"/>
                      </w:rPr>
                      <w:fldChar w:fldCharType="begin"/>
                    </w:r>
                    <w:r>
                      <w:rPr>
                        <w:rFonts w:ascii="黑体" w:eastAsia="黑体" w:hAnsi="黑体" w:cs="黑体" w:hint="eastAsia"/>
                      </w:rPr>
                      <w:instrText xml:space="preserve"> PAGE  \* MERGEFORMAT </w:instrText>
                    </w:r>
                    <w:r>
                      <w:rPr>
                        <w:rFonts w:ascii="黑体" w:eastAsia="黑体" w:hAnsi="黑体" w:cs="黑体" w:hint="eastAsia"/>
                      </w:rPr>
                      <w:fldChar w:fldCharType="separate"/>
                    </w:r>
                    <w:r w:rsidR="00204390">
                      <w:rPr>
                        <w:rFonts w:ascii="黑体" w:eastAsia="黑体" w:hAnsi="黑体" w:cs="黑体"/>
                        <w:noProof/>
                      </w:rPr>
                      <w:t>- 1 -</w:t>
                    </w:r>
                    <w:r>
                      <w:rPr>
                        <w:rFonts w:ascii="黑体" w:eastAsia="黑体" w:hAnsi="黑体" w:cs="黑体"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rPr>
        <w:rFonts w:ascii="黑体" w:eastAsia="黑体" w:hAnsi="黑体" w:cs="黑体"/>
      </w:rPr>
    </w:pPr>
    <w:r>
      <w:rPr>
        <w:rFonts w:ascii="黑体" w:eastAsia="黑体" w:hAnsi="黑体" w:cs="黑体" w:hint="eastAsia"/>
        <w:noProof/>
        <w:lang w:val="en-US" w:bidi="ar-SA"/>
      </w:rPr>
      <mc:AlternateContent>
        <mc:Choice Requires="wps">
          <w:drawing>
            <wp:anchor distT="0" distB="0" distL="114300" distR="114300" simplePos="0" relativeHeight="251652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rPr>
                              <w:rFonts w:ascii="黑体" w:eastAsia="黑体" w:hAnsi="黑体" w:cs="黑体"/>
                            </w:rPr>
                          </w:pPr>
                          <w:r>
                            <w:rPr>
                              <w:rFonts w:ascii="黑体" w:eastAsia="黑体" w:hAnsi="黑体" w:cs="黑体" w:hint="eastAsia"/>
                            </w:rPr>
                            <w:fldChar w:fldCharType="begin"/>
                          </w:r>
                          <w:r>
                            <w:rPr>
                              <w:rFonts w:ascii="黑体" w:eastAsia="黑体" w:hAnsi="黑体" w:cs="黑体" w:hint="eastAsia"/>
                            </w:rPr>
                            <w:instrText xml:space="preserve"> PAGE  \* MERGEFORMAT </w:instrText>
                          </w:r>
                          <w:r>
                            <w:rPr>
                              <w:rFonts w:ascii="黑体" w:eastAsia="黑体" w:hAnsi="黑体" w:cs="黑体" w:hint="eastAsia"/>
                            </w:rPr>
                            <w:fldChar w:fldCharType="separate"/>
                          </w:r>
                          <w:r w:rsidR="00204390">
                            <w:rPr>
                              <w:rFonts w:ascii="黑体" w:eastAsia="黑体" w:hAnsi="黑体" w:cs="黑体"/>
                              <w:noProof/>
                            </w:rPr>
                            <w:t>- 7 -</w:t>
                          </w:r>
                          <w:r>
                            <w:rPr>
                              <w:rFonts w:ascii="黑体" w:eastAsia="黑体" w:hAnsi="黑体" w:cs="黑体"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41" o:spid="_x0000_s1027" type="#_x0000_t202" style="position:absolute;left:0;text-align:left;margin-left:0;margin-top:0;width:2in;height:2in;z-index:25165260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" filled="f" stroked="f">
              <v:textbox style="mso-fit-shape-to-text:t" inset="0,0,0,0">
                <w:txbxContent>
                  <w:p w:rsidR="00D33C55" w:rsidRDefault="00706D03">
                    <w:pPr>
                      <w:pStyle w:val="a7"/>
                      <w:rPr>
                        <w:rFonts w:ascii="黑体" w:eastAsia="黑体" w:hAnsi="黑体" w:cs="黑体"/>
                      </w:rPr>
                    </w:pPr>
                    <w:r>
                      <w:rPr>
                        <w:rFonts w:ascii="黑体" w:eastAsia="黑体" w:hAnsi="黑体" w:cs="黑体" w:hint="eastAsia"/>
                      </w:rPr>
                      <w:fldChar w:fldCharType="begin"/>
                    </w:r>
                    <w:r>
                      <w:rPr>
                        <w:rFonts w:ascii="黑体" w:eastAsia="黑体" w:hAnsi="黑体" w:cs="黑体" w:hint="eastAsia"/>
                      </w:rPr>
                      <w:instrText xml:space="preserve"> PAGE  \* MERGEFORMAT </w:instrText>
                    </w:r>
                    <w:r>
                      <w:rPr>
                        <w:rFonts w:ascii="黑体" w:eastAsia="黑体" w:hAnsi="黑体" w:cs="黑体" w:hint="eastAsia"/>
                      </w:rPr>
                      <w:fldChar w:fldCharType="separate"/>
                    </w:r>
                    <w:r w:rsidR="00204390">
                      <w:rPr>
                        <w:rFonts w:ascii="黑体" w:eastAsia="黑体" w:hAnsi="黑体" w:cs="黑体"/>
                        <w:noProof/>
                      </w:rPr>
                      <w:t>- 7 -</w:t>
                    </w:r>
                    <w:r>
                      <w:rPr>
                        <w:rFonts w:ascii="黑体" w:eastAsia="黑体" w:hAnsi="黑体" w:cs="黑体"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pPr>
    <w:r>
      <w:rPr>
        <w:rFonts w:hint="eastAsia"/>
        <w:noProof/>
        <w:lang w:val="en-US" w:bidi="ar-SA"/>
      </w:rPr>
      <mc:AlternateContent>
        <mc:Choice Requires="wps">
          <w:drawing>
            <wp:anchor distT="0" distB="0" distL="114300" distR="114300" simplePos="0" relativeHeight="251653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- 9 -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9" o:spid="_x0000_s1028" type="#_x0000_t202" style="position:absolute;left:0;text-align:left;margin-left:0;margin-top:0;width:2in;height:2in;z-index:2516536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" filled="f" stroked="f">
              <v:textbox style="mso-fit-shape-to-text:t" inset="0,0,0,0">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- 9 -</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pPr>
    <w:r>
      <w:rPr>
        <w:rFonts w:hint="eastAsia"/>
        <w:noProof/>
        <w:lang w:val="en-US" w:bidi="ar-SA"/>
      </w:rPr>
      <mc:AlternateContent>
        <mc:Choice Requires="wps">
          <w:drawing>
            <wp:anchor distT="0" distB="0" distL="114300" distR="114300" simplePos="0" relativeHeight="251654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- 11 -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40" o:spid="_x0000_s1029" type="#_x0000_t202" style="position:absolute;left:0;text-align:left;margin-left:0;margin-top:0;width:2in;height:2in;z-index:2516546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A9HAha6AQAAVQMAAA4AAAAAAAAAAAAAAAAALgIAAGRycy9lMm9Eb2Mu&#10;eG1sUEsBAi0AFAAGAAgAAAAhAAxK8O7WAAAABQEAAA8AAAAAAAAAAAAAAAAAFAQAAGRycy9kb3du&#10;cmV2LnhtbFBLBQYAAAAABAAEAPMAAAAXBQAAAAA=&#10;" filled="f" stroked="f">
              <v:textbox style="mso-fit-shape-to-text:t" inset="0,0,0,0">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- 11 -</w:t>
                    </w:r>
                    <w:r>
                      <w:rPr>
                        <w:rFonts w:hint="eastAsia"/>
                      </w:rP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pPr>
    <w:r>
      <w:rPr>
        <w:rFonts w:hint="eastAsia"/>
        <w:noProof/>
        <w:lang w:val="en-US" w:bidi="ar-SA"/>
      </w:rPr>
      <mc:AlternateContent>
        <mc:Choice Requires="wps">
          <w:drawing>
            <wp:anchor distT="0" distB="0" distL="114300" distR="114300" simplePos="0" relativeHeight="251655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- 14 -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7" o:spid="_x0000_s1030" type="#_x0000_t202" style="position:absolute;left:0;text-align:left;margin-left:0;margin-top:0;width:2in;height:2in;z-index:2516556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" filled="f" stroked="f">
              <v:textbox style="mso-fit-shape-to-text:t" inset="0,0,0,0">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- 14 -</w:t>
                    </w:r>
                    <w:r>
                      <w:rPr>
                        <w:rFonts w:hint="eastAsia"/>
                      </w:rP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pPr>
    <w:r>
      <w:rPr>
        <w:rFonts w:hint="eastAsia"/>
        <w:noProof/>
        <w:lang w:val="en-US" w:bidi="ar-SA"/>
      </w:rPr>
      <mc:AlternateContent>
        <mc:Choice Requires="wps">
          <w:drawing>
            <wp:anchor distT="0" distB="0" distL="114300" distR="114300" simplePos="0" relativeHeight="251656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- 16 -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8" o:spid="_x0000_s1031" type="#_x0000_t202" style="position:absolute;left:0;text-align:left;margin-left:0;margin-top:0;width:2in;height:2in;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P4fs4+6AQAAVQMAAA4AAAAAAAAAAAAAAAAALgIAAGRycy9lMm9Eb2Mu&#10;eG1sUEsBAi0AFAAGAAgAAAAhAAxK8O7WAAAABQEAAA8AAAAAAAAAAAAAAAAAFAQAAGRycy9kb3du&#10;cmV2LnhtbFBLBQYAAAAABAAEAPMAAAAXBQAAAAA=&#10;" filled="f" stroked="f">
              <v:textbox style="mso-fit-shape-to-text:t" inset="0,0,0,0">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- 16 -</w:t>
                    </w:r>
                    <w:r>
                      <w:rPr>
                        <w:rFonts w:hint="eastAsia"/>
                      </w:rPr>
                      <w:fldChar w:fldCharType="end"/>
                    </w:r>
                  </w:p>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pPr>
    <w:r>
      <w:rPr>
        <w:rFonts w:hint="eastAsia"/>
        <w:noProof/>
        <w:lang w:val="en-US" w:bidi="ar-SA"/>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- 18 -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29" o:spid="_x0000_s1032" type="#_x0000_t202" style="position:absolute;left:0;text-align:left;margin-left:0;margin-top:0;width:2in;height:2in;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G6ZaeK6AQAAVQMAAA4AAAAAAAAAAAAAAAAALgIAAGRycy9lMm9Eb2Mu&#10;eG1sUEsBAi0AFAAGAAgAAAAhAAxK8O7WAAAABQEAAA8AAAAAAAAAAAAAAAAAFAQAAGRycy9kb3du&#10;cmV2LnhtbFBLBQYAAAAABAAEAPMAAAAXBQAAAAA=&#10;" filled="f" stroked="f">
              <v:textbox style="mso-fit-shape-to-text:t" inset="0,0,0,0">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- 18 -</w:t>
                    </w:r>
                    <w:r>
                      <w:rPr>
                        <w:rFonts w:hint="eastAsia"/>
                      </w:rPr>
                      <w:fldChar w:fldCharType="end"/>
                    </w:r>
                  </w:p>
                </w:txbxContent>
              </v:textbox>
              <w10:wrap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pPr>
    <w:r>
      <w:rPr>
        <w:rFonts w:hint="eastAsia"/>
        <w:noProof/>
        <w:lang w:val="en-US" w:bidi="ar-SA"/>
      </w:rPr>
      <mc:AlternateContent>
        <mc:Choice Requires="wps">
          <w:drawing>
            <wp:anchor distT="0" distB="0" distL="114300" distR="114300" simplePos="0" relativeHeight="251658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- 21 -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0" o:spid="_x0000_s1033" type="#_x0000_t202" style="position:absolute;left:0;text-align:left;margin-left:0;margin-top:0;width:2in;height:2in;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DJuga66AQAAVQMAAA4AAAAAAAAAAAAAAAAALgIAAGRycy9lMm9Eb2Mu&#10;eG1sUEsBAi0AFAAGAAgAAAAhAAxK8O7WAAAABQEAAA8AAAAAAAAAAAAAAAAAFAQAAGRycy9kb3du&#10;cmV2LnhtbFBLBQYAAAAABAAEAPMAAAAXBQAAAAA=&#10;" filled="f" stroked="f">
              <v:textbox style="mso-fit-shape-to-text:t" inset="0,0,0,0">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- 21 -</w:t>
                    </w:r>
                    <w:r>
                      <w:rPr>
                        <w:rFonts w:hint="eastAsia"/>
                      </w:rP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pPr>
    <w:r>
      <w:rPr>
        <w:rFonts w:hint="eastAsia"/>
        <w:noProof/>
        <w:lang w:val="en-US" w:bidi="ar-SA"/>
      </w:rPr>
      <mc:AlternateContent>
        <mc:Choice Requires="wps">
          <w:drawing>
            <wp:anchor distT="0" distB="0" distL="114300" distR="114300" simplePos="0" relativeHeight="251659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- 23 -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1" o:spid="_x0000_s1034" type="#_x0000_t202" style="position:absolute;left:0;text-align:left;margin-left:0;margin-top:0;width:2in;height:2in;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JKjwly6AQAAVQMAAA4AAAAAAAAAAAAAAAAALgIAAGRycy9lMm9Eb2Mu&#10;eG1sUEsBAi0AFAAGAAgAAAAhAAxK8O7WAAAABQEAAA8AAAAAAAAAAAAAAAAAFAQAAGRycy9kb3du&#10;cmV2LnhtbFBLBQYAAAAABAAEAPMAAAAXBQAAAAA=&#10;" filled="f" stroked="f">
              <v:textbox style="mso-fit-shape-to-text:t" inset="0,0,0,0">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- 23 -</w:t>
                    </w:r>
                    <w:r>
                      <w:rPr>
                        <w:rFonts w:hint="eastAsia"/>
                      </w:rP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pPr>
    <w:r>
      <w:rPr>
        <w:rFonts w:hint="eastAsia"/>
        <w:noProof/>
        <w:lang w:val="en-US" w:bidi="ar-SA"/>
      </w:rPr>
      <mc:AlternateContent>
        <mc:Choice Requires="wps">
          <w:drawing>
            <wp:anchor distT="0" distB="0" distL="114300" distR="114300" simplePos="0" relativeHeight="251660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- 26 -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2" o:spid="_x0000_s1035" type="#_x0000_t202" style="position:absolute;left:0;text-align:left;margin-left:0;margin-top:0;width:2in;height:2in;z-index:2516608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AtLOLm6AQAAVgMAAA4AAAAAAAAAAAAAAAAALgIAAGRycy9lMm9Eb2Mu&#10;eG1sUEsBAi0AFAAGAAgAAAAhAAxK8O7WAAAABQEAAA8AAAAAAAAAAAAAAAAAFAQAAGRycy9kb3du&#10;cmV2LnhtbFBLBQYAAAAABAAEAPMAAAAXBQAAAAA=&#10;" filled="f" stroked="f">
              <v:textbox style="mso-fit-shape-to-text:t" inset="0,0,0,0">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- 26 -</w:t>
                    </w:r>
                    <w:r>
                      <w:rPr>
                        <w:rFonts w:hint="eastAsia"/>
                      </w:rPr>
                      <w:fldChar w:fldCharType="end"/>
                    </w:r>
                  </w:p>
                </w:txbxContent>
              </v:textbox>
              <w10:wrap anchorx="margin"/>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pPr>
    <w:r>
      <w:rPr>
        <w:rFonts w:hint="eastAsia"/>
        <w:noProof/>
        <w:lang w:val="en-US" w:bidi="ar-SA"/>
      </w:rPr>
      <mc:AlternateContent>
        <mc:Choice Requires="wps">
          <w:drawing>
            <wp:anchor distT="0" distB="0" distL="114300" distR="114300" simplePos="0" relativeHeight="251661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- 27 -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3" o:spid="_x0000_s1036" type="#_x0000_t202" style="position:absolute;left:0;text-align:left;margin-left:0;margin-top:0;width:2in;height:2in;z-index:25166182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" filled="f" stroked="f">
              <v:textbox style="mso-fit-shape-to-text:t" inset="0,0,0,0">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- 27 -</w:t>
                    </w:r>
                    <w:r>
                      <w:rPr>
                        <w:rFonts w:hint="eastAsia"/>
                      </w:rPr>
                      <w:fldChar w:fldCharType="end"/>
                    </w:r>
                  </w:p>
                </w:txbxContent>
              </v:textbox>
              <w10:wrap anchorx="margin"/>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pPr>
    <w:r>
      <w:rPr>
        <w:rFonts w:hint="eastAsia"/>
        <w:noProof/>
        <w:lang w:val="en-US" w:bidi="ar-SA"/>
      </w:rPr>
      <mc:AlternateContent>
        <mc:Choice Requires="wps">
          <w:drawing>
            <wp:anchor distT="0" distB="0" distL="114300" distR="114300" simplePos="0" relativeHeight="251662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- 29 -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4" o:spid="_x0000_s1037" type="#_x0000_t202" style="position:absolute;left:0;text-align:left;margin-left:0;margin-top:0;width:2in;height:2in;z-index:25166284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Hr0fDm6AQAAVwMAAA4AAAAAAAAAAAAAAAAALgIAAGRycy9lMm9Eb2Mu&#10;eG1sUEsBAi0AFAAGAAgAAAAhAAxK8O7WAAAABQEAAA8AAAAAAAAAAAAAAAAAFAQAAGRycy9kb3du&#10;cmV2LnhtbFBLBQYAAAAABAAEAPMAAAAXBQAAAAA=&#10;" filled="f" stroked="f">
              <v:textbox style="mso-fit-shape-to-text:t" inset="0,0,0,0">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- 29 -</w:t>
                    </w:r>
                    <w:r>
                      <w:rPr>
                        <w:rFonts w:hint="eastAsia"/>
                      </w:rPr>
                      <w:fldChar w:fldCharType="end"/>
                    </w:r>
                  </w:p>
                </w:txbxContent>
              </v:textbox>
              <w10:wrap anchorx="margin"/>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7"/>
      <w:jc w:val="center"/>
    </w:pPr>
    <w:r>
      <w:rPr>
        <w:rFonts w:hint="eastAsia"/>
        <w:noProof/>
        <w:lang w:val="en-US" w:bidi="ar-SA"/>
      </w:rPr>
      <mc:AlternateContent>
        <mc:Choice Requires="wps">
          <w:drawing>
            <wp:anchor distT="0" distB="0" distL="114300" distR="114300" simplePos="0" relativeHeight="251663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- 48 -</w:t>
                          </w:r>
                          <w:r>
                            <w:rPr>
                              <w:rFonts w:hint="eastAsia"/>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1038" o:spid="_x0000_s1038" type="#_x0000_t202" style="position:absolute;left:0;text-align:left;margin-left:0;margin-top:0;width:2in;height:2in;z-index:25166387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" filled="f" stroked="f">
              <v:textbox style="mso-fit-shape-to-text:t" inset="0,0,0,0">
                <w:txbxContent>
                  <w:p w:rsidR="00D33C55" w:rsidRDefault="00706D03">
                    <w:pPr>
                      <w:pStyle w:val="a7"/>
                    </w:pPr>
                    <w:r>
                      <w:rPr>
                        <w:rFonts w:hint="eastAsia"/>
                      </w:rPr>
                      <w:fldChar w:fldCharType="begin"/>
                    </w:r>
                    <w:r>
                      <w:rPr>
                        <w:rFonts w:hint="eastAsia"/>
                      </w:rPr>
                      <w:instrText xml:space="preserve"> PAGE  \* MERGEFORMAT </w:instrText>
                    </w:r>
                    <w:r>
                      <w:rPr>
                        <w:rFonts w:hint="eastAsia"/>
                      </w:rPr>
                      <w:fldChar w:fldCharType="separate"/>
                    </w:r>
                    <w:r w:rsidR="00204390">
                      <w:rPr>
                        <w:noProof/>
                      </w:rPr>
                      <w:t>- 48 -</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D03" w:rsidRDefault="00706D03">
      <w:r>
        <w:separator/>
      </w:r>
    </w:p>
  </w:footnote>
  <w:footnote w:type="continuationSeparator" w:id="0">
    <w:p w:rsidR="00706D03" w:rsidRDefault="00706D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706D03">
    <w:pPr>
      <w:pStyle w:val="a8"/>
      <w:pBdr>
        <w:bottom w:val="single" w:sz="4" w:space="1" w:color="000000"/>
      </w:pBdr>
      <w:jc w:val="both"/>
      <w:rPr>
        <w:lang w:val="en-US"/>
      </w:rPr>
    </w:pPr>
    <w:r>
      <w:rPr>
        <w:rFonts w:hint="eastAsia"/>
        <w:lang w:val="en-US"/>
      </w:rPr>
      <w:t>南京市农业农村局</w:t>
    </w:r>
    <w:r>
      <w:rPr>
        <w:rFonts w:hint="eastAsia"/>
        <w:lang w:val="en-US"/>
      </w:rPr>
      <w:t>2025</w:t>
    </w:r>
    <w:r>
      <w:rPr>
        <w:rFonts w:hint="eastAsia"/>
        <w:lang w:val="en-US"/>
      </w:rPr>
      <w:t>年度</w:t>
    </w:r>
    <w:r>
      <w:t>部门决算公开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3C55" w:rsidRDefault="00D33C55">
    <w:pPr>
      <w:pStyle w:val="a8"/>
      <w:pBdr>
        <w:bottom w:val="none" w:sz="0" w:space="1" w:color="auto"/>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0"/>
  <w:autoHyphenation/>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DBEED555"/>
    <w:rsid w:val="00042122"/>
    <w:rsid w:val="00064984"/>
    <w:rsid w:val="00071789"/>
    <w:rsid w:val="000C024B"/>
    <w:rsid w:val="000F12AB"/>
    <w:rsid w:val="001C31F9"/>
    <w:rsid w:val="001D7787"/>
    <w:rsid w:val="00204390"/>
    <w:rsid w:val="002E63B1"/>
    <w:rsid w:val="00407CA7"/>
    <w:rsid w:val="00413AD8"/>
    <w:rsid w:val="004743E0"/>
    <w:rsid w:val="004C0647"/>
    <w:rsid w:val="005529E3"/>
    <w:rsid w:val="0065427F"/>
    <w:rsid w:val="00671ED7"/>
    <w:rsid w:val="00672164"/>
    <w:rsid w:val="006732F1"/>
    <w:rsid w:val="006E012F"/>
    <w:rsid w:val="00706D03"/>
    <w:rsid w:val="007C0F2D"/>
    <w:rsid w:val="008322BB"/>
    <w:rsid w:val="00867423"/>
    <w:rsid w:val="008B5B05"/>
    <w:rsid w:val="00965B0E"/>
    <w:rsid w:val="009965EA"/>
    <w:rsid w:val="00A6752E"/>
    <w:rsid w:val="00B92181"/>
    <w:rsid w:val="00B97873"/>
    <w:rsid w:val="00BD7F33"/>
    <w:rsid w:val="00C15920"/>
    <w:rsid w:val="00C82582"/>
    <w:rsid w:val="00CF349C"/>
    <w:rsid w:val="00D33C55"/>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1170C"/>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AF5215"/>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5B54BC"/>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qFormat="1"/>
    <w:lsdException w:name="annotation reference"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pPr>
      <w:ind w:left="-40"/>
      <w:outlineLvl w:val="0"/>
    </w:pPr>
    <w:rPr>
      <w:sz w:val="52"/>
      <w:szCs w:val="52"/>
    </w:rPr>
  </w:style>
  <w:style w:type="paragraph" w:styleId="2">
    <w:name w:val="heading 2"/>
    <w:basedOn w:val="a"/>
    <w:next w:val="a"/>
    <w:uiPriority w:val="1"/>
    <w:qFormat/>
    <w:pPr>
      <w:ind w:right="18"/>
      <w:jc w:val="center"/>
      <w:outlineLvl w:val="1"/>
    </w:pPr>
    <w:rPr>
      <w:sz w:val="44"/>
      <w:szCs w:val="44"/>
    </w:rPr>
  </w:style>
  <w:style w:type="paragraph" w:styleId="3">
    <w:name w:val="heading 3"/>
    <w:basedOn w:val="a"/>
    <w:next w:val="a"/>
    <w:uiPriority w:val="1"/>
    <w:qFormat/>
    <w:pPr>
      <w:ind w:left="1"/>
      <w:jc w:val="center"/>
      <w:outlineLvl w:val="2"/>
    </w:pPr>
    <w:rPr>
      <w:sz w:val="40"/>
      <w:szCs w:val="40"/>
    </w:rPr>
  </w:style>
  <w:style w:type="paragraph" w:styleId="4">
    <w:name w:val="heading 4"/>
    <w:basedOn w:val="a"/>
    <w:next w:val="a"/>
    <w:uiPriority w:val="1"/>
    <w:qFormat/>
    <w:pPr>
      <w:jc w:val="center"/>
      <w:outlineLvl w:val="3"/>
    </w:pPr>
    <w:rPr>
      <w:sz w:val="36"/>
      <w:szCs w:val="36"/>
    </w:rPr>
  </w:style>
  <w:style w:type="paragraph" w:styleId="5">
    <w:name w:val="heading 5"/>
    <w:basedOn w:val="a"/>
    <w:next w:val="a"/>
    <w:uiPriority w:val="1"/>
    <w:qFormat/>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uppressLineNumbers/>
      <w:spacing w:before="120" w:after="120"/>
    </w:pPr>
    <w:rPr>
      <w:i/>
      <w:iCs/>
      <w:sz w:val="24"/>
      <w:szCs w:val="24"/>
    </w:rPr>
  </w:style>
  <w:style w:type="paragraph" w:styleId="a4">
    <w:name w:val="annotation text"/>
    <w:basedOn w:val="a"/>
    <w:link w:val="Char"/>
    <w:qFormat/>
  </w:style>
  <w:style w:type="paragraph" w:styleId="a5">
    <w:name w:val="Body Text"/>
    <w:basedOn w:val="a"/>
    <w:uiPriority w:val="1"/>
    <w:qFormat/>
    <w:rPr>
      <w:sz w:val="32"/>
      <w:szCs w:val="32"/>
    </w:rPr>
  </w:style>
  <w:style w:type="paragraph" w:styleId="a6">
    <w:name w:val="Balloon Text"/>
    <w:basedOn w:val="a"/>
    <w:link w:val="Char0"/>
    <w:qFormat/>
    <w:rPr>
      <w:sz w:val="18"/>
      <w:szCs w:val="18"/>
    </w:rPr>
  </w:style>
  <w:style w:type="paragraph" w:styleId="a7">
    <w:name w:val="footer"/>
    <w:basedOn w:val="a"/>
    <w:qFormat/>
    <w:pPr>
      <w:tabs>
        <w:tab w:val="center" w:pos="4153"/>
        <w:tab w:val="right" w:pos="8306"/>
      </w:tabs>
      <w:snapToGrid w:val="0"/>
    </w:pPr>
    <w:rPr>
      <w:sz w:val="18"/>
      <w:szCs w:val="18"/>
    </w:rPr>
  </w:style>
  <w:style w:type="paragraph" w:styleId="a8">
    <w:name w:val="header"/>
    <w:basedOn w:val="a"/>
    <w:qFormat/>
    <w:pPr>
      <w:pBdr>
        <w:bottom w:val="single" w:sz="6" w:space="1" w:color="000000"/>
      </w:pBdr>
      <w:tabs>
        <w:tab w:val="center" w:pos="4153"/>
        <w:tab w:val="right" w:pos="8306"/>
      </w:tabs>
      <w:snapToGrid w:val="0"/>
      <w:jc w:val="center"/>
    </w:pPr>
    <w:rPr>
      <w:sz w:val="18"/>
      <w:szCs w:val="18"/>
    </w:rPr>
  </w:style>
  <w:style w:type="paragraph" w:styleId="a9">
    <w:name w:val="List"/>
    <w:basedOn w:val="a5"/>
    <w:qFormat/>
  </w:style>
  <w:style w:type="paragraph" w:styleId="aa">
    <w:name w:val="annotation subject"/>
    <w:basedOn w:val="a4"/>
    <w:next w:val="a4"/>
    <w:link w:val="Char1"/>
    <w:qFormat/>
    <w:rPr>
      <w:b/>
      <w:bCs/>
    </w:rPr>
  </w:style>
  <w:style w:type="table" w:styleId="ab">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0"/>
    <w:qFormat/>
    <w:rPr>
      <w:sz w:val="21"/>
      <w:szCs w:val="21"/>
    </w:rPr>
  </w:style>
  <w:style w:type="character" w:customStyle="1" w:styleId="ad">
    <w:name w:val="编号符号"/>
    <w:qFormat/>
  </w:style>
  <w:style w:type="character" w:customStyle="1" w:styleId="ae">
    <w:name w:val="页眉 字符"/>
    <w:basedOn w:val="a0"/>
    <w:qFormat/>
    <w:rPr>
      <w:rFonts w:ascii="Arial Unicode MS" w:eastAsia="Arial Unicode MS" w:hAnsi="Arial Unicode MS" w:cs="Arial Unicode MS"/>
      <w:sz w:val="18"/>
      <w:szCs w:val="18"/>
      <w:lang w:val="zh-CN" w:bidi="zh-CN"/>
    </w:rPr>
  </w:style>
  <w:style w:type="character" w:customStyle="1" w:styleId="af">
    <w:name w:val="页脚 字符"/>
    <w:basedOn w:val="a0"/>
    <w:qFormat/>
    <w:rPr>
      <w:rFonts w:ascii="Arial Unicode MS" w:eastAsia="Arial Unicode MS" w:hAnsi="Arial Unicode MS" w:cs="Arial Unicode MS"/>
      <w:sz w:val="18"/>
      <w:szCs w:val="18"/>
      <w:lang w:val="zh-CN" w:bidi="zh-CN"/>
    </w:rPr>
  </w:style>
  <w:style w:type="paragraph" w:customStyle="1" w:styleId="af0">
    <w:name w:val="标题样式"/>
    <w:basedOn w:val="a"/>
    <w:next w:val="a5"/>
    <w:qFormat/>
    <w:pPr>
      <w:keepNext/>
      <w:spacing w:before="240" w:after="120"/>
    </w:pPr>
    <w:rPr>
      <w:rFonts w:ascii="Liberation Sans" w:hAnsi="Liberation Sans"/>
      <w:sz w:val="28"/>
      <w:szCs w:val="28"/>
    </w:rPr>
  </w:style>
  <w:style w:type="paragraph" w:customStyle="1" w:styleId="af1">
    <w:name w:val="索引"/>
    <w:basedOn w:val="a"/>
    <w:qFormat/>
    <w:pPr>
      <w:suppressLineNumbers/>
    </w:pPr>
  </w:style>
  <w:style w:type="paragraph" w:customStyle="1" w:styleId="af2">
    <w:name w:val="页眉与页脚"/>
    <w:basedOn w:val="a"/>
    <w:qFormat/>
  </w:style>
  <w:style w:type="paragraph" w:customStyle="1" w:styleId="10">
    <w:name w:val="列表段落1"/>
    <w:basedOn w:val="a"/>
    <w:uiPriority w:val="1"/>
    <w:qFormat/>
    <w:pPr>
      <w:ind w:left="2039" w:hanging="782"/>
    </w:pPr>
  </w:style>
  <w:style w:type="paragraph" w:customStyle="1" w:styleId="TableParagraph">
    <w:name w:val="Table Paragraph"/>
    <w:basedOn w:val="a"/>
    <w:uiPriority w:val="1"/>
    <w:qFormat/>
    <w:rPr>
      <w:rFonts w:ascii="宋体" w:eastAsia="宋体" w:hAnsi="宋体" w:cs="宋体"/>
    </w:rPr>
  </w:style>
  <w:style w:type="paragraph" w:customStyle="1" w:styleId="af3">
    <w:name w:val="表格内容"/>
    <w:basedOn w:val="a"/>
    <w:qFormat/>
    <w:pPr>
      <w:suppressLineNumbers/>
    </w:pPr>
  </w:style>
  <w:style w:type="paragraph" w:customStyle="1" w:styleId="af4">
    <w:name w:val="表格标题"/>
    <w:basedOn w:val="af3"/>
    <w:qFormat/>
    <w:pPr>
      <w:jc w:val="center"/>
    </w:pPr>
    <w:rPr>
      <w:b/>
      <w:bCs/>
    </w:rPr>
  </w:style>
  <w:style w:type="paragraph" w:customStyle="1" w:styleId="af5">
    <w:name w:val="预格式化的文本"/>
    <w:basedOn w:val="a"/>
    <w:qFormat/>
    <w:rPr>
      <w:rFonts w:ascii="Liberation Mono" w:eastAsia="新宋体" w:hAnsi="Liberation Mono" w:cs="Liberation Mono"/>
      <w:sz w:val="20"/>
      <w:szCs w:val="20"/>
    </w:rPr>
  </w:style>
  <w:style w:type="table" w:customStyle="1" w:styleId="TableNormal">
    <w:name w:val="Table Normal"/>
    <w:uiPriority w:val="2"/>
    <w:unhideWhenUsed/>
    <w:qFormat/>
    <w:tblPr>
      <w:tblCellMar>
        <w:top w:w="0" w:type="dxa"/>
        <w:left w:w="0" w:type="dxa"/>
        <w:bottom w:w="0" w:type="dxa"/>
        <w:right w:w="0" w:type="dxa"/>
      </w:tblCellMar>
    </w:tblPr>
  </w:style>
  <w:style w:type="character" w:customStyle="1" w:styleId="Char0">
    <w:name w:val="批注框文本 Char"/>
    <w:basedOn w:val="a0"/>
    <w:link w:val="a6"/>
    <w:qFormat/>
    <w:rPr>
      <w:rFonts w:ascii="Arial Unicode MS" w:eastAsia="Arial Unicode MS" w:hAnsi="Arial Unicode MS" w:cs="Arial Unicode MS"/>
      <w:sz w:val="18"/>
      <w:szCs w:val="18"/>
      <w:lang w:val="zh-CN" w:bidi="zh-CN"/>
    </w:rPr>
  </w:style>
  <w:style w:type="character" w:customStyle="1" w:styleId="Char">
    <w:name w:val="批注文字 Char"/>
    <w:basedOn w:val="a0"/>
    <w:link w:val="a4"/>
    <w:qFormat/>
    <w:rPr>
      <w:rFonts w:ascii="Arial Unicode MS" w:eastAsia="Arial Unicode MS" w:hAnsi="Arial Unicode MS" w:cs="Arial Unicode MS"/>
      <w:sz w:val="22"/>
      <w:szCs w:val="22"/>
      <w:lang w:val="zh-CN" w:bidi="zh-CN"/>
    </w:rPr>
  </w:style>
  <w:style w:type="character" w:customStyle="1" w:styleId="Char1">
    <w:name w:val="批注主题 Char"/>
    <w:basedOn w:val="Char"/>
    <w:link w:val="aa"/>
    <w:qFormat/>
    <w:rPr>
      <w:rFonts w:ascii="Arial Unicode MS" w:eastAsia="Arial Unicode MS" w:hAnsi="Arial Unicode MS" w:cs="Arial Unicode MS"/>
      <w:b/>
      <w:bCs/>
      <w:sz w:val="22"/>
      <w:szCs w:val="22"/>
      <w:lang w:val="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qFormat="1"/>
    <w:lsdException w:name="annotation reference" w:qFormat="1"/>
    <w:lsdException w:name="List"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pPr>
      <w:widowControl w:val="0"/>
      <w:suppressAutoHyphens/>
    </w:pPr>
    <w:rPr>
      <w:rFonts w:ascii="Arial Unicode MS" w:eastAsia="Arial Unicode MS" w:hAnsi="Arial Unicode MS" w:cs="Arial Unicode MS"/>
      <w:sz w:val="22"/>
      <w:szCs w:val="22"/>
      <w:lang w:val="zh-CN" w:bidi="zh-CN"/>
    </w:rPr>
  </w:style>
  <w:style w:type="paragraph" w:styleId="1">
    <w:name w:val="heading 1"/>
    <w:basedOn w:val="a"/>
    <w:next w:val="a"/>
    <w:uiPriority w:val="1"/>
    <w:qFormat/>
    <w:pPr>
      <w:ind w:left="-40"/>
      <w:outlineLvl w:val="0"/>
    </w:pPr>
    <w:rPr>
      <w:sz w:val="52"/>
      <w:szCs w:val="52"/>
    </w:rPr>
  </w:style>
  <w:style w:type="paragraph" w:styleId="2">
    <w:name w:val="heading 2"/>
    <w:basedOn w:val="a"/>
    <w:next w:val="a"/>
    <w:uiPriority w:val="1"/>
    <w:qFormat/>
    <w:pPr>
      <w:ind w:right="18"/>
      <w:jc w:val="center"/>
      <w:outlineLvl w:val="1"/>
    </w:pPr>
    <w:rPr>
      <w:sz w:val="44"/>
      <w:szCs w:val="44"/>
    </w:rPr>
  </w:style>
  <w:style w:type="paragraph" w:styleId="3">
    <w:name w:val="heading 3"/>
    <w:basedOn w:val="a"/>
    <w:next w:val="a"/>
    <w:uiPriority w:val="1"/>
    <w:qFormat/>
    <w:pPr>
      <w:ind w:left="1"/>
      <w:jc w:val="center"/>
      <w:outlineLvl w:val="2"/>
    </w:pPr>
    <w:rPr>
      <w:sz w:val="40"/>
      <w:szCs w:val="40"/>
    </w:rPr>
  </w:style>
  <w:style w:type="paragraph" w:styleId="4">
    <w:name w:val="heading 4"/>
    <w:basedOn w:val="a"/>
    <w:next w:val="a"/>
    <w:uiPriority w:val="1"/>
    <w:qFormat/>
    <w:pPr>
      <w:jc w:val="center"/>
      <w:outlineLvl w:val="3"/>
    </w:pPr>
    <w:rPr>
      <w:sz w:val="36"/>
      <w:szCs w:val="36"/>
    </w:rPr>
  </w:style>
  <w:style w:type="paragraph" w:styleId="5">
    <w:name w:val="heading 5"/>
    <w:basedOn w:val="a"/>
    <w:next w:val="a"/>
    <w:uiPriority w:val="1"/>
    <w:qFormat/>
    <w:pPr>
      <w:ind w:left="112"/>
      <w:outlineLvl w:val="4"/>
    </w:pPr>
    <w:rPr>
      <w:sz w:val="33"/>
      <w:szCs w:val="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suppressLineNumbers/>
      <w:spacing w:before="120" w:after="120"/>
    </w:pPr>
    <w:rPr>
      <w:i/>
      <w:iCs/>
      <w:sz w:val="24"/>
      <w:szCs w:val="24"/>
    </w:rPr>
  </w:style>
  <w:style w:type="paragraph" w:styleId="a4">
    <w:name w:val="annotation text"/>
    <w:basedOn w:val="a"/>
    <w:link w:val="Char"/>
    <w:qFormat/>
  </w:style>
  <w:style w:type="paragraph" w:styleId="a5">
    <w:name w:val="Body Text"/>
    <w:basedOn w:val="a"/>
    <w:uiPriority w:val="1"/>
    <w:qFormat/>
    <w:rPr>
      <w:sz w:val="32"/>
      <w:szCs w:val="32"/>
    </w:rPr>
  </w:style>
  <w:style w:type="paragraph" w:styleId="a6">
    <w:name w:val="Balloon Text"/>
    <w:basedOn w:val="a"/>
    <w:link w:val="Char0"/>
    <w:qFormat/>
    <w:rPr>
      <w:sz w:val="18"/>
      <w:szCs w:val="18"/>
    </w:rPr>
  </w:style>
  <w:style w:type="paragraph" w:styleId="a7">
    <w:name w:val="footer"/>
    <w:basedOn w:val="a"/>
    <w:qFormat/>
    <w:pPr>
      <w:tabs>
        <w:tab w:val="center" w:pos="4153"/>
        <w:tab w:val="right" w:pos="8306"/>
      </w:tabs>
      <w:snapToGrid w:val="0"/>
    </w:pPr>
    <w:rPr>
      <w:sz w:val="18"/>
      <w:szCs w:val="18"/>
    </w:rPr>
  </w:style>
  <w:style w:type="paragraph" w:styleId="a8">
    <w:name w:val="header"/>
    <w:basedOn w:val="a"/>
    <w:qFormat/>
    <w:pPr>
      <w:pBdr>
        <w:bottom w:val="single" w:sz="6" w:space="1" w:color="000000"/>
      </w:pBdr>
      <w:tabs>
        <w:tab w:val="center" w:pos="4153"/>
        <w:tab w:val="right" w:pos="8306"/>
      </w:tabs>
      <w:snapToGrid w:val="0"/>
      <w:jc w:val="center"/>
    </w:pPr>
    <w:rPr>
      <w:sz w:val="18"/>
      <w:szCs w:val="18"/>
    </w:rPr>
  </w:style>
  <w:style w:type="paragraph" w:styleId="a9">
    <w:name w:val="List"/>
    <w:basedOn w:val="a5"/>
    <w:qFormat/>
  </w:style>
  <w:style w:type="paragraph" w:styleId="aa">
    <w:name w:val="annotation subject"/>
    <w:basedOn w:val="a4"/>
    <w:next w:val="a4"/>
    <w:link w:val="Char1"/>
    <w:qFormat/>
    <w:rPr>
      <w:b/>
      <w:bCs/>
    </w:rPr>
  </w:style>
  <w:style w:type="table" w:styleId="ab">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0"/>
    <w:qFormat/>
    <w:rPr>
      <w:sz w:val="21"/>
      <w:szCs w:val="21"/>
    </w:rPr>
  </w:style>
  <w:style w:type="character" w:customStyle="1" w:styleId="ad">
    <w:name w:val="编号符号"/>
    <w:qFormat/>
  </w:style>
  <w:style w:type="character" w:customStyle="1" w:styleId="ae">
    <w:name w:val="页眉 字符"/>
    <w:basedOn w:val="a0"/>
    <w:qFormat/>
    <w:rPr>
      <w:rFonts w:ascii="Arial Unicode MS" w:eastAsia="Arial Unicode MS" w:hAnsi="Arial Unicode MS" w:cs="Arial Unicode MS"/>
      <w:sz w:val="18"/>
      <w:szCs w:val="18"/>
      <w:lang w:val="zh-CN" w:bidi="zh-CN"/>
    </w:rPr>
  </w:style>
  <w:style w:type="character" w:customStyle="1" w:styleId="af">
    <w:name w:val="页脚 字符"/>
    <w:basedOn w:val="a0"/>
    <w:qFormat/>
    <w:rPr>
      <w:rFonts w:ascii="Arial Unicode MS" w:eastAsia="Arial Unicode MS" w:hAnsi="Arial Unicode MS" w:cs="Arial Unicode MS"/>
      <w:sz w:val="18"/>
      <w:szCs w:val="18"/>
      <w:lang w:val="zh-CN" w:bidi="zh-CN"/>
    </w:rPr>
  </w:style>
  <w:style w:type="paragraph" w:customStyle="1" w:styleId="af0">
    <w:name w:val="标题样式"/>
    <w:basedOn w:val="a"/>
    <w:next w:val="a5"/>
    <w:qFormat/>
    <w:pPr>
      <w:keepNext/>
      <w:spacing w:before="240" w:after="120"/>
    </w:pPr>
    <w:rPr>
      <w:rFonts w:ascii="Liberation Sans" w:hAnsi="Liberation Sans"/>
      <w:sz w:val="28"/>
      <w:szCs w:val="28"/>
    </w:rPr>
  </w:style>
  <w:style w:type="paragraph" w:customStyle="1" w:styleId="af1">
    <w:name w:val="索引"/>
    <w:basedOn w:val="a"/>
    <w:qFormat/>
    <w:pPr>
      <w:suppressLineNumbers/>
    </w:pPr>
  </w:style>
  <w:style w:type="paragraph" w:customStyle="1" w:styleId="af2">
    <w:name w:val="页眉与页脚"/>
    <w:basedOn w:val="a"/>
    <w:qFormat/>
  </w:style>
  <w:style w:type="paragraph" w:customStyle="1" w:styleId="10">
    <w:name w:val="列表段落1"/>
    <w:basedOn w:val="a"/>
    <w:uiPriority w:val="1"/>
    <w:qFormat/>
    <w:pPr>
      <w:ind w:left="2039" w:hanging="782"/>
    </w:pPr>
  </w:style>
  <w:style w:type="paragraph" w:customStyle="1" w:styleId="TableParagraph">
    <w:name w:val="Table Paragraph"/>
    <w:basedOn w:val="a"/>
    <w:uiPriority w:val="1"/>
    <w:qFormat/>
    <w:rPr>
      <w:rFonts w:ascii="宋体" w:eastAsia="宋体" w:hAnsi="宋体" w:cs="宋体"/>
    </w:rPr>
  </w:style>
  <w:style w:type="paragraph" w:customStyle="1" w:styleId="af3">
    <w:name w:val="表格内容"/>
    <w:basedOn w:val="a"/>
    <w:qFormat/>
    <w:pPr>
      <w:suppressLineNumbers/>
    </w:pPr>
  </w:style>
  <w:style w:type="paragraph" w:customStyle="1" w:styleId="af4">
    <w:name w:val="表格标题"/>
    <w:basedOn w:val="af3"/>
    <w:qFormat/>
    <w:pPr>
      <w:jc w:val="center"/>
    </w:pPr>
    <w:rPr>
      <w:b/>
      <w:bCs/>
    </w:rPr>
  </w:style>
  <w:style w:type="paragraph" w:customStyle="1" w:styleId="af5">
    <w:name w:val="预格式化的文本"/>
    <w:basedOn w:val="a"/>
    <w:qFormat/>
    <w:rPr>
      <w:rFonts w:ascii="Liberation Mono" w:eastAsia="新宋体" w:hAnsi="Liberation Mono" w:cs="Liberation Mono"/>
      <w:sz w:val="20"/>
      <w:szCs w:val="20"/>
    </w:rPr>
  </w:style>
  <w:style w:type="table" w:customStyle="1" w:styleId="TableNormal">
    <w:name w:val="Table Normal"/>
    <w:uiPriority w:val="2"/>
    <w:unhideWhenUsed/>
    <w:qFormat/>
    <w:tblPr>
      <w:tblCellMar>
        <w:top w:w="0" w:type="dxa"/>
        <w:left w:w="0" w:type="dxa"/>
        <w:bottom w:w="0" w:type="dxa"/>
        <w:right w:w="0" w:type="dxa"/>
      </w:tblCellMar>
    </w:tblPr>
  </w:style>
  <w:style w:type="character" w:customStyle="1" w:styleId="Char0">
    <w:name w:val="批注框文本 Char"/>
    <w:basedOn w:val="a0"/>
    <w:link w:val="a6"/>
    <w:qFormat/>
    <w:rPr>
      <w:rFonts w:ascii="Arial Unicode MS" w:eastAsia="Arial Unicode MS" w:hAnsi="Arial Unicode MS" w:cs="Arial Unicode MS"/>
      <w:sz w:val="18"/>
      <w:szCs w:val="18"/>
      <w:lang w:val="zh-CN" w:bidi="zh-CN"/>
    </w:rPr>
  </w:style>
  <w:style w:type="character" w:customStyle="1" w:styleId="Char">
    <w:name w:val="批注文字 Char"/>
    <w:basedOn w:val="a0"/>
    <w:link w:val="a4"/>
    <w:qFormat/>
    <w:rPr>
      <w:rFonts w:ascii="Arial Unicode MS" w:eastAsia="Arial Unicode MS" w:hAnsi="Arial Unicode MS" w:cs="Arial Unicode MS"/>
      <w:sz w:val="22"/>
      <w:szCs w:val="22"/>
      <w:lang w:val="zh-CN" w:bidi="zh-CN"/>
    </w:rPr>
  </w:style>
  <w:style w:type="character" w:customStyle="1" w:styleId="Char1">
    <w:name w:val="批注主题 Char"/>
    <w:basedOn w:val="Char"/>
    <w:link w:val="aa"/>
    <w:qFormat/>
    <w:rPr>
      <w:rFonts w:ascii="Arial Unicode MS" w:eastAsia="Arial Unicode MS" w:hAnsi="Arial Unicode MS" w:cs="Arial Unicode MS"/>
      <w:b/>
      <w:bCs/>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 Id="rId22"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54</Pages>
  <Words>4476</Words>
  <Characters>25518</Characters>
  <Application>Microsoft Office Word</Application>
  <DocSecurity>0</DocSecurity>
  <Lines>212</Lines>
  <Paragraphs>59</Paragraphs>
  <ScaleCrop>false</ScaleCrop>
  <Company>微软中国</Company>
  <LinksUpToDate>false</LinksUpToDate>
  <CharactersWithSpaces>29935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部门决算公开</dc:title>
  <dc:creator>陈长军(本处室套红)</dc:creator>
  <cp:lastModifiedBy>Windows 用户</cp:lastModifiedBy>
  <cp:revision>179</cp:revision>
  <dcterms:created xsi:type="dcterms:W3CDTF">2021-04-16T03:22:00Z</dcterms:created>
  <dcterms:modified xsi:type="dcterms:W3CDTF">2026-09-22T09:16:00Z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07710C07F2894C709D6633C63F672C60</vt:lpwstr>
  </property>
  <property fmtid="{D5CDD505-2E9C-101B-9397-08002B2CF9AE}" pid="5" name="KSOProductBuildVer">
    <vt:lpwstr>2052-11.8.2.11718</vt:lpwstr>
  </property>
  <property fmtid="{D5CDD505-2E9C-101B-9397-08002B2CF9AE}" pid="6" name="LastSaved">
    <vt:filetime>2021-04-15T00:00:00Z</vt:filetime>
  </property>
  <property fmtid="{D5CDD505-2E9C-101B-9397-08002B2CF9AE}" pid="7" name="KSOTemplateDocerSaveRecord">
    <vt:lpwstr>eyJoZGlkIjoiNjAyYmZjMGFiMDk2ZTE1NzA0ZjBlYTAyZmVkZDc2ZjAifQ==</vt:lpwstr>
  </property>
</Properties>
</file>